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F9" w:rsidRDefault="00D604F9" w:rsidP="006D1B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جامعة محمد خيضر بسكرة</w:t>
      </w:r>
      <w:r w:rsidR="00675AF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D604F9" w:rsidRDefault="00D604F9" w:rsidP="006D1B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الحقوق والعلوم السياسية</w:t>
      </w:r>
      <w:r w:rsidR="00675AF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F237DA" w:rsidRDefault="00F237DA" w:rsidP="005A5137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قسم: الحقوق                                                           المستوى: سنة ثالث</w:t>
      </w:r>
      <w:r w:rsidR="004D5E7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ة</w:t>
      </w:r>
      <w:r w:rsidR="004D5E7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p w:rsidR="00F237DA" w:rsidRDefault="00F237DA" w:rsidP="005A5137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</w:t>
      </w:r>
      <w:r w:rsidR="005A513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تخصص: قانون عام</w:t>
      </w:r>
      <w:r w:rsidR="004D5E7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4D5E7C" w:rsidRDefault="004D5E7C" w:rsidP="005A5137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</w:t>
      </w:r>
      <w:r w:rsidR="005A513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أستاذة المقياس: حمدي مريم.</w:t>
      </w:r>
    </w:p>
    <w:p w:rsidR="002E3403" w:rsidRDefault="002E3403" w:rsidP="002E3403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11DF7" w:rsidRDefault="00F237DA" w:rsidP="006D1B56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59238C">
        <w:rPr>
          <w:rFonts w:ascii="Sakkal Majalla" w:hAnsi="Sakkal Majalla" w:cs="Sakkal Majalla" w:hint="cs"/>
          <w:b/>
          <w:bCs/>
          <w:sz w:val="44"/>
          <w:szCs w:val="44"/>
          <w:shd w:val="clear" w:color="auto" w:fill="D9D9D9" w:themeFill="background1" w:themeFillShade="D9"/>
          <w:rtl/>
          <w:lang w:bidi="ar-DZ"/>
        </w:rPr>
        <w:t xml:space="preserve">دروس الأعمال الموجهة في مقياس </w:t>
      </w:r>
      <w:r w:rsidR="00D604F9" w:rsidRPr="0059238C">
        <w:rPr>
          <w:rFonts w:ascii="Sakkal Majalla" w:hAnsi="Sakkal Majalla" w:cs="Sakkal Majalla"/>
          <w:b/>
          <w:bCs/>
          <w:sz w:val="44"/>
          <w:szCs w:val="44"/>
          <w:shd w:val="clear" w:color="auto" w:fill="D9D9D9" w:themeFill="background1" w:themeFillShade="D9"/>
          <w:rtl/>
          <w:lang w:bidi="ar-DZ"/>
        </w:rPr>
        <w:t>المنازعات الإدارية</w:t>
      </w:r>
      <w:r w:rsidRPr="0059238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.</w:t>
      </w:r>
    </w:p>
    <w:p w:rsidR="00F237DA" w:rsidRPr="008A18F7" w:rsidRDefault="008A18F7" w:rsidP="00F57907">
      <w:pPr>
        <w:bidi/>
        <w:ind w:firstLine="708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8A18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دراسة </w:t>
      </w:r>
      <w:r w:rsidRPr="00353FBD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مقياس المنازعات الإدارية</w:t>
      </w:r>
      <w:r w:rsidRPr="008A18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يتطلب منا تقسيمه وفق المحاور التالية: </w:t>
      </w:r>
    </w:p>
    <w:p w:rsidR="00D604F9" w:rsidRPr="00D7247F" w:rsidRDefault="00D604F9" w:rsidP="00F57907">
      <w:pPr>
        <w:shd w:val="clear" w:color="auto" w:fill="FFFFFF" w:themeFill="background1"/>
        <w:bidi/>
        <w:ind w:firstLine="708"/>
        <w:jc w:val="both"/>
        <w:rPr>
          <w:rFonts w:ascii="Sakkal Majalla" w:hAnsi="Sakkal Majalla" w:cs="Sakkal Majalla"/>
          <w:b/>
          <w:bCs/>
          <w:sz w:val="40"/>
          <w:szCs w:val="40"/>
          <w:lang w:val="en-US" w:bidi="ar-DZ"/>
        </w:rPr>
      </w:pPr>
      <w:r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الأول: مبدأ المشروعية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D604F9" w:rsidRDefault="00D604F9" w:rsidP="00F5790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تعريف مبدأ المشروعية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D604F9" w:rsidRPr="00DD3218" w:rsidRDefault="00D604F9" w:rsidP="00F5790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الفرق بين مبدأ المشروعية و مبدأ الشرعية.</w:t>
      </w:r>
    </w:p>
    <w:p w:rsidR="00D604F9" w:rsidRDefault="00D604F9" w:rsidP="00F5790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مصادر مبدأ المشروعية.</w:t>
      </w:r>
    </w:p>
    <w:p w:rsidR="00D604F9" w:rsidRPr="00DD3218" w:rsidRDefault="008F5BD4" w:rsidP="00F57907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نطاق مبدأ المشروعية- مجال تطبيق مبدأ المشروعية-.</w:t>
      </w:r>
    </w:p>
    <w:p w:rsidR="008F5BD4" w:rsidRPr="00DD3218" w:rsidRDefault="008F5BD4" w:rsidP="00F57907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ضمانات تطبيق مبدأ المشروعية ( الرقابة بأنواع</w:t>
      </w:r>
      <w:r w:rsid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ــــــــــــ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ها</w:t>
      </w:r>
      <w:r w:rsidR="00FD6A5F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)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: </w:t>
      </w:r>
      <w:r w:rsid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-الرقاب</w:t>
      </w:r>
      <w:r w:rsid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ــــ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ة الإداري</w:t>
      </w:r>
      <w:r w:rsidR="00FD6A5F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ـــــــــ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ة.</w:t>
      </w:r>
    </w:p>
    <w:p w:rsidR="008F5BD4" w:rsidRPr="00DD3218" w:rsidRDefault="008F5BD4" w:rsidP="00F57907">
      <w:pPr>
        <w:bidi/>
        <w:spacing w:after="0" w:line="240" w:lineRule="auto"/>
        <w:ind w:left="72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                                                        </w:t>
      </w:r>
      <w:r w:rsidR="00555E9F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</w:t>
      </w:r>
      <w:r w:rsidR="006D1B56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-الرقابة السياسية.</w:t>
      </w:r>
    </w:p>
    <w:p w:rsidR="008F5BD4" w:rsidRPr="00DD3218" w:rsidRDefault="008F5BD4" w:rsidP="00F57907">
      <w:pPr>
        <w:bidi/>
        <w:spacing w:after="0" w:line="240" w:lineRule="auto"/>
        <w:ind w:left="72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                                           </w:t>
      </w:r>
      <w:r w:rsidRPr="008F5BD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</w:t>
      </w:r>
      <w:r w:rsidRPr="008F5BD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</w:t>
      </w:r>
      <w:r w:rsidR="006D1B5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555E9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</w:t>
      </w:r>
      <w:r w:rsidR="00DD321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6D1B5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8F5BD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-الرقابة القضائي</w:t>
      </w:r>
      <w:r w:rsidR="00FD6A5F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ـــــ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ة.</w:t>
      </w:r>
    </w:p>
    <w:p w:rsidR="00D604F9" w:rsidRPr="00A43E12" w:rsidRDefault="00D604F9" w:rsidP="00F57907">
      <w:pPr>
        <w:bidi/>
        <w:spacing w:after="0"/>
        <w:ind w:firstLine="708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الثاني: الدعاوى الإدارية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D604F9" w:rsidRPr="00DD3218" w:rsidRDefault="00D604F9" w:rsidP="00F5790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تعريفها</w:t>
      </w:r>
      <w:r w:rsidR="00D359E3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D604F9" w:rsidRPr="00DD3218" w:rsidRDefault="00D604F9" w:rsidP="00F5790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خصائصها</w:t>
      </w:r>
      <w:r w:rsidR="00D359E3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D604F9" w:rsidRPr="00DD3218" w:rsidRDefault="00D604F9" w:rsidP="00F5790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أنواعها في ظل قانون الإجراءات المدنية والإدارية.</w:t>
      </w:r>
    </w:p>
    <w:p w:rsidR="008F5BD4" w:rsidRPr="006D1B56" w:rsidRDefault="00D604F9" w:rsidP="00F57907">
      <w:pPr>
        <w:bidi/>
        <w:ind w:left="401" w:firstLine="307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الثا</w:t>
      </w:r>
      <w:r w:rsidR="008F5BD4"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لث</w:t>
      </w:r>
      <w:r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 xml:space="preserve">: </w:t>
      </w:r>
      <w:r w:rsidR="008F5BD4"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الاختصاص القضائي</w:t>
      </w:r>
      <w:r w:rsidR="008A18F7"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 xml:space="preserve"> في المادة الإدارية</w:t>
      </w:r>
      <w:r w:rsidR="00544C1E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 xml:space="preserve"> وتنازع الاختصاص القضائي. </w:t>
      </w:r>
    </w:p>
    <w:p w:rsidR="008F5BD4" w:rsidRPr="00544C1E" w:rsidRDefault="00544C1E" w:rsidP="00F57907">
      <w:pPr>
        <w:pStyle w:val="Paragraphedeliste"/>
        <w:numPr>
          <w:ilvl w:val="0"/>
          <w:numId w:val="12"/>
        </w:numPr>
        <w:tabs>
          <w:tab w:val="right" w:pos="1677"/>
        </w:tabs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أ- 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معيار </w:t>
      </w:r>
      <w:r w:rsidR="008A18F7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تحديد </w:t>
      </w:r>
      <w:r w:rsidR="0065637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الاختصاص القضائي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A01130" w:rsidRPr="00544C1E" w:rsidRDefault="00544C1E" w:rsidP="00F57907">
      <w:pPr>
        <w:tabs>
          <w:tab w:val="right" w:pos="2102"/>
          <w:tab w:val="right" w:pos="2244"/>
        </w:tabs>
        <w:bidi/>
        <w:ind w:left="125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أ-1 </w:t>
      </w:r>
      <w:r w:rsidR="00A01130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المعيار العضوي وإشكالاته العملية.</w:t>
      </w:r>
    </w:p>
    <w:p w:rsidR="00A01130" w:rsidRPr="00544C1E" w:rsidRDefault="00544C1E" w:rsidP="00F57907">
      <w:pPr>
        <w:tabs>
          <w:tab w:val="right" w:pos="1677"/>
          <w:tab w:val="right" w:pos="2244"/>
        </w:tabs>
        <w:bidi/>
        <w:ind w:left="125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أ-2 </w:t>
      </w:r>
      <w:r w:rsidR="00A01130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المعيار المادي.</w:t>
      </w:r>
    </w:p>
    <w:p w:rsidR="008F5BD4" w:rsidRDefault="00544C1E" w:rsidP="00F57907">
      <w:pPr>
        <w:tabs>
          <w:tab w:val="right" w:pos="1677"/>
        </w:tabs>
        <w:bidi/>
        <w:ind w:left="1252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ب- 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توزيع </w:t>
      </w:r>
      <w:r w:rsidR="00CD05F1">
        <w:rPr>
          <w:rFonts w:ascii="Sakkal Majalla" w:hAnsi="Sakkal Majalla" w:cs="Sakkal Majalla" w:hint="cs"/>
          <w:sz w:val="40"/>
          <w:szCs w:val="40"/>
          <w:rtl/>
          <w:lang w:bidi="ar-DZ"/>
        </w:rPr>
        <w:t>قواعد</w:t>
      </w:r>
      <w:r w:rsidR="00F5790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الاختصاص</w:t>
      </w:r>
      <w:r w:rsidR="00171EE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النوعي 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بين الجهات القضائية الإدارية</w:t>
      </w:r>
      <w:r w:rsidR="0065637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</w:t>
      </w:r>
      <w:r w:rsidR="00171EE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القانون </w:t>
      </w:r>
      <w:r w:rsidR="00F57907">
        <w:rPr>
          <w:rFonts w:ascii="Sakkal Majalla" w:hAnsi="Sakkal Majalla" w:cs="Sakkal Majalla" w:hint="cs"/>
          <w:sz w:val="40"/>
          <w:szCs w:val="40"/>
          <w:rtl/>
          <w:lang w:bidi="ar-DZ"/>
        </w:rPr>
        <w:t>ال</w:t>
      </w:r>
      <w:r w:rsidR="00171EE9">
        <w:rPr>
          <w:rFonts w:ascii="Sakkal Majalla" w:hAnsi="Sakkal Majalla" w:cs="Sakkal Majalla" w:hint="cs"/>
          <w:sz w:val="40"/>
          <w:szCs w:val="40"/>
          <w:rtl/>
          <w:lang w:bidi="ar-DZ"/>
        </w:rPr>
        <w:t>جزائري</w:t>
      </w:r>
      <w:r w:rsidR="008F5BD4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( مجلس الدولة والمحاكم الإدارية).</w:t>
      </w:r>
    </w:p>
    <w:p w:rsidR="00533456" w:rsidRDefault="00533456" w:rsidP="00533456">
      <w:pPr>
        <w:tabs>
          <w:tab w:val="right" w:pos="1677"/>
        </w:tabs>
        <w:bidi/>
        <w:ind w:left="1252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ب_1 الاختصاصات القضائية والاستشارية لمجلس الدولة.</w:t>
      </w:r>
    </w:p>
    <w:p w:rsidR="00533456" w:rsidRPr="00544C1E" w:rsidRDefault="00533456" w:rsidP="00533456">
      <w:pPr>
        <w:tabs>
          <w:tab w:val="right" w:pos="1677"/>
        </w:tabs>
        <w:bidi/>
        <w:ind w:left="125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ب-2 الاختصاص النوعي للمحاكم الإدارية.</w:t>
      </w:r>
    </w:p>
    <w:p w:rsidR="008F5BD4" w:rsidRDefault="00A01130" w:rsidP="00F57907">
      <w:pPr>
        <w:pStyle w:val="Paragraphedeliste"/>
        <w:numPr>
          <w:ilvl w:val="0"/>
          <w:numId w:val="12"/>
        </w:numPr>
        <w:tabs>
          <w:tab w:val="right" w:pos="1677"/>
        </w:tabs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النظام القانوني ل</w:t>
      </w:r>
      <w:r w:rsidR="008A18F7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محكمة التنازع</w:t>
      </w:r>
      <w:r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  <w:r w:rsidR="008A18F7" w:rsidRPr="00544C1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544C1E" w:rsidRDefault="00544C1E" w:rsidP="00F57907">
      <w:pPr>
        <w:pStyle w:val="Paragraphedeliste"/>
        <w:tabs>
          <w:tab w:val="right" w:pos="1677"/>
        </w:tabs>
        <w:bidi/>
        <w:ind w:left="1612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2-أ تعريف محكمة التنازع.</w:t>
      </w:r>
    </w:p>
    <w:p w:rsidR="00544C1E" w:rsidRDefault="00544C1E" w:rsidP="00F57907">
      <w:pPr>
        <w:pStyle w:val="Paragraphedeliste"/>
        <w:tabs>
          <w:tab w:val="right" w:pos="1677"/>
        </w:tabs>
        <w:bidi/>
        <w:ind w:left="1612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2-ب تكوينها.</w:t>
      </w:r>
    </w:p>
    <w:p w:rsidR="00544C1E" w:rsidRPr="00544C1E" w:rsidRDefault="00544C1E" w:rsidP="00F57907">
      <w:pPr>
        <w:pStyle w:val="Paragraphedeliste"/>
        <w:tabs>
          <w:tab w:val="right" w:pos="1677"/>
        </w:tabs>
        <w:bidi/>
        <w:ind w:left="161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2-ج اختصاصات محكمة التنازع.</w:t>
      </w:r>
    </w:p>
    <w:p w:rsidR="00AD1D15" w:rsidRDefault="00AD1D15" w:rsidP="00F57907">
      <w:pPr>
        <w:pStyle w:val="Paragraphedeliste"/>
        <w:bidi/>
        <w:ind w:left="108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359E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الرابع: دع</w:t>
      </w:r>
      <w:r w:rsidR="00D359E3" w:rsidRPr="00D359E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ـــــــــــــــــــــــــــــــــ</w:t>
      </w:r>
      <w:r w:rsidRPr="00D359E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وى الإلغ</w:t>
      </w:r>
      <w:r w:rsidR="00D359E3" w:rsidRPr="00D359E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ـــــــــــــــــــــــــــــــــــ</w:t>
      </w:r>
      <w:r w:rsidRPr="00D359E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اء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AD1D15" w:rsidRPr="00DD3218" w:rsidRDefault="00AD1D15" w:rsidP="00F57907">
      <w:pPr>
        <w:pStyle w:val="Paragraphedeliste"/>
        <w:numPr>
          <w:ilvl w:val="0"/>
          <w:numId w:val="6"/>
        </w:numPr>
        <w:tabs>
          <w:tab w:val="right" w:pos="1535"/>
          <w:tab w:val="right" w:pos="1677"/>
        </w:tabs>
        <w:bidi/>
        <w:ind w:hanging="24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الشروط الشكلية.</w:t>
      </w:r>
    </w:p>
    <w:p w:rsidR="00AD1D15" w:rsidRDefault="00AD1D15" w:rsidP="00F57907">
      <w:pPr>
        <w:pStyle w:val="Paragraphedeliste"/>
        <w:numPr>
          <w:ilvl w:val="0"/>
          <w:numId w:val="6"/>
        </w:numPr>
        <w:tabs>
          <w:tab w:val="right" w:pos="1535"/>
        </w:tabs>
        <w:bidi/>
        <w:ind w:left="1252" w:firstLine="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الشروط الموضوعية.</w:t>
      </w:r>
    </w:p>
    <w:p w:rsidR="00DE0E63" w:rsidRPr="00DD3218" w:rsidRDefault="00DE0E63" w:rsidP="00F57907">
      <w:pPr>
        <w:pStyle w:val="Paragraphedeliste"/>
        <w:numPr>
          <w:ilvl w:val="0"/>
          <w:numId w:val="6"/>
        </w:numPr>
        <w:tabs>
          <w:tab w:val="right" w:pos="1535"/>
        </w:tabs>
        <w:bidi/>
        <w:ind w:left="1252" w:firstLine="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أوجه الإلغاء.</w:t>
      </w:r>
    </w:p>
    <w:p w:rsidR="00AD1D15" w:rsidRPr="00DD3218" w:rsidRDefault="00AD1D15" w:rsidP="00F57907">
      <w:pPr>
        <w:pStyle w:val="Paragraphedeliste"/>
        <w:numPr>
          <w:ilvl w:val="0"/>
          <w:numId w:val="6"/>
        </w:numPr>
        <w:tabs>
          <w:tab w:val="right" w:pos="1535"/>
        </w:tabs>
        <w:bidi/>
        <w:ind w:hanging="242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الآثار المترتبة على</w:t>
      </w:r>
      <w:r w:rsidR="006E6B92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رفع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دعوى الإلغاء</w:t>
      </w:r>
      <w:r w:rsidR="009C5B51"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9C5B51" w:rsidRPr="009C5B51" w:rsidRDefault="009C5B51" w:rsidP="00F57907">
      <w:pPr>
        <w:bidi/>
        <w:ind w:left="1134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555E9F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الخامس: الدعوى الاستعجالية في المادة الإدارية ودعوى وقف تنفيذ القرارات الإدارية</w:t>
      </w:r>
      <w:r w:rsidRPr="009C5B5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</w:p>
    <w:p w:rsidR="009C5B51" w:rsidRPr="006D1B56" w:rsidRDefault="006D1B56" w:rsidP="00F57907">
      <w:pPr>
        <w:pStyle w:val="Paragraphedeliste"/>
        <w:numPr>
          <w:ilvl w:val="0"/>
          <w:numId w:val="9"/>
        </w:numPr>
        <w:bidi/>
        <w:ind w:firstLine="325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lang w:bidi="ar-DZ"/>
        </w:rPr>
      </w:pPr>
      <w:r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مفهوم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الدعوى الاستعجالية في المادة الإدارية.</w:t>
      </w:r>
    </w:p>
    <w:p w:rsidR="006D1B56" w:rsidRPr="00DD3218" w:rsidRDefault="006D1B56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تعريفها.</w:t>
      </w:r>
    </w:p>
    <w:p w:rsidR="009C5B51" w:rsidRPr="00DD3218" w:rsidRDefault="009C5B51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الشروط العامة والخاصة للدعوى الاستعجالية في المادة الإدارية.</w:t>
      </w:r>
    </w:p>
    <w:p w:rsidR="006D1B56" w:rsidRPr="00DD3218" w:rsidRDefault="009C5B51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مجالات الدعوى الاستعجالية</w:t>
      </w:r>
      <w:r w:rsidR="00FB6EC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المادة الإدارية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. </w:t>
      </w:r>
    </w:p>
    <w:p w:rsidR="006D1B56" w:rsidRPr="00DD3218" w:rsidRDefault="006D1B56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>الاختصاص القضائي بنظر الدعوى الاستعجالية</w:t>
      </w:r>
      <w:r w:rsidR="00FB6EC3" w:rsidRPr="00FB6EC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B6EC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في المادة الإدارية 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6D1B56" w:rsidRPr="00DD3218" w:rsidRDefault="006D1B56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طرق الطعن في الأوامر الاستعجالية</w:t>
      </w:r>
      <w:r w:rsidR="00FB6EC3" w:rsidRPr="00FB6EC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B6EC3">
        <w:rPr>
          <w:rFonts w:ascii="Sakkal Majalla" w:hAnsi="Sakkal Majalla" w:cs="Sakkal Majalla" w:hint="cs"/>
          <w:sz w:val="40"/>
          <w:szCs w:val="40"/>
          <w:rtl/>
          <w:lang w:bidi="ar-DZ"/>
        </w:rPr>
        <w:t>في المادة الإدارية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6D1B56" w:rsidRPr="00DD3218" w:rsidRDefault="006D1B56" w:rsidP="00F57907">
      <w:pPr>
        <w:pStyle w:val="Paragraphedeliste"/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الاختصاص القضائي بنظر الدعوى الاستعجالية</w:t>
      </w:r>
      <w:r w:rsidR="00FB6EC3" w:rsidRPr="00FB6EC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B6EC3">
        <w:rPr>
          <w:rFonts w:ascii="Sakkal Majalla" w:hAnsi="Sakkal Majalla" w:cs="Sakkal Majalla" w:hint="cs"/>
          <w:sz w:val="40"/>
          <w:szCs w:val="40"/>
          <w:rtl/>
          <w:lang w:bidi="ar-DZ"/>
        </w:rPr>
        <w:t>في المادة الإدارية</w:t>
      </w: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9C5B51" w:rsidRPr="006D1B56" w:rsidRDefault="006D1B56" w:rsidP="00F57907">
      <w:pPr>
        <w:bidi/>
        <w:ind w:left="1134" w:firstLine="685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ب- مفهوم 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دعوى وقف تنفيذ القرارات الإدارية </w:t>
      </w:r>
      <w:r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ب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ناء على أمر من قاضي </w:t>
      </w:r>
      <w:r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لموضوع</w:t>
      </w:r>
      <w:r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،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="003A28F5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و</w:t>
      </w:r>
      <w:r w:rsidR="009C5B51" w:rsidRPr="006D1B56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بناء على أمر استعجالي.</w:t>
      </w:r>
    </w:p>
    <w:p w:rsidR="009C5B51" w:rsidRPr="00DD3218" w:rsidRDefault="006D1B56" w:rsidP="00F57907">
      <w:pPr>
        <w:pStyle w:val="Paragraphedeliste"/>
        <w:numPr>
          <w:ilvl w:val="0"/>
          <w:numId w:val="11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تعريفها.</w:t>
      </w:r>
    </w:p>
    <w:p w:rsidR="00FB6EC3" w:rsidRDefault="006D1B56" w:rsidP="00F57907">
      <w:pPr>
        <w:pStyle w:val="Paragraphedeliste"/>
        <w:numPr>
          <w:ilvl w:val="0"/>
          <w:numId w:val="11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DD3218">
        <w:rPr>
          <w:rFonts w:ascii="Sakkal Majalla" w:hAnsi="Sakkal Majalla" w:cs="Sakkal Majalla" w:hint="cs"/>
          <w:sz w:val="40"/>
          <w:szCs w:val="40"/>
          <w:rtl/>
          <w:lang w:bidi="ar-DZ"/>
        </w:rPr>
        <w:t>شروط رفع دعوى وقف تنفيذ القرارات الإدارية.</w:t>
      </w:r>
    </w:p>
    <w:p w:rsidR="00DE0E63" w:rsidRDefault="00DE0E63" w:rsidP="00F57907">
      <w:pPr>
        <w:bidi/>
        <w:ind w:left="1134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DE0E63">
        <w:rPr>
          <w:rFonts w:ascii="Sakkal Majalla" w:hAnsi="Sakkal Majalla" w:cs="Sakkal Majalla" w:hint="cs"/>
          <w:b/>
          <w:bCs/>
          <w:sz w:val="40"/>
          <w:szCs w:val="40"/>
          <w:shd w:val="clear" w:color="auto" w:fill="D9D9D9" w:themeFill="background1" w:themeFillShade="D9"/>
          <w:rtl/>
          <w:lang w:bidi="ar-DZ"/>
        </w:rPr>
        <w:t>المحور السادس: دعوى التعويض</w:t>
      </w:r>
      <w:r w:rsidRPr="00DE0E63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B65E57" w:rsidRDefault="00B65E57" w:rsidP="00F57907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الشروط الشكلية</w:t>
      </w:r>
      <w:r w:rsidR="00ED2A95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ED2A95" w:rsidRPr="00B65E57" w:rsidRDefault="00ED2A95" w:rsidP="00F57907">
      <w:pPr>
        <w:pStyle w:val="Paragraphedeliste"/>
        <w:numPr>
          <w:ilvl w:val="0"/>
          <w:numId w:val="15"/>
        </w:numPr>
        <w:bidi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الشروط الموضوعية.</w:t>
      </w:r>
    </w:p>
    <w:p w:rsidR="009C5B51" w:rsidRPr="009C5B51" w:rsidRDefault="009C5B51" w:rsidP="00F57907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sectPr w:rsidR="009C5B51" w:rsidRPr="009C5B51" w:rsidSect="004F400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41" w:rsidRDefault="00B93B41" w:rsidP="00FD6A5F">
      <w:pPr>
        <w:spacing w:after="0" w:line="240" w:lineRule="auto"/>
      </w:pPr>
      <w:r>
        <w:separator/>
      </w:r>
    </w:p>
  </w:endnote>
  <w:endnote w:type="continuationSeparator" w:id="1">
    <w:p w:rsidR="00B93B41" w:rsidRDefault="00B93B41" w:rsidP="00FD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6645"/>
      <w:docPartObj>
        <w:docPartGallery w:val="Page Numbers (Bottom of Page)"/>
        <w:docPartUnique/>
      </w:docPartObj>
    </w:sdtPr>
    <w:sdtContent>
      <w:p w:rsidR="00FD6A5F" w:rsidRDefault="00F91E9C">
        <w:pPr>
          <w:pStyle w:val="Pieddepage"/>
          <w:jc w:val="center"/>
        </w:pPr>
        <w:fldSimple w:instr=" PAGE   \* MERGEFORMAT ">
          <w:r w:rsidR="00533456">
            <w:rPr>
              <w:noProof/>
            </w:rPr>
            <w:t>2</w:t>
          </w:r>
        </w:fldSimple>
      </w:p>
    </w:sdtContent>
  </w:sdt>
  <w:p w:rsidR="00FD6A5F" w:rsidRDefault="00FD6A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41" w:rsidRDefault="00B93B41" w:rsidP="00FD6A5F">
      <w:pPr>
        <w:spacing w:after="0" w:line="240" w:lineRule="auto"/>
      </w:pPr>
      <w:r>
        <w:separator/>
      </w:r>
    </w:p>
  </w:footnote>
  <w:footnote w:type="continuationSeparator" w:id="1">
    <w:p w:rsidR="00B93B41" w:rsidRDefault="00B93B41" w:rsidP="00FD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03D"/>
    <w:multiLevelType w:val="hybridMultilevel"/>
    <w:tmpl w:val="129A1BFC"/>
    <w:lvl w:ilvl="0" w:tplc="A32C749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4C663D"/>
    <w:multiLevelType w:val="hybridMultilevel"/>
    <w:tmpl w:val="DB12BBDE"/>
    <w:lvl w:ilvl="0" w:tplc="9B3238D0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7242F39"/>
    <w:multiLevelType w:val="hybridMultilevel"/>
    <w:tmpl w:val="A28C63A0"/>
    <w:lvl w:ilvl="0" w:tplc="42040614">
      <w:start w:val="1"/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1B4E47"/>
    <w:multiLevelType w:val="hybridMultilevel"/>
    <w:tmpl w:val="C1661CA6"/>
    <w:lvl w:ilvl="0" w:tplc="8D22B662">
      <w:start w:val="1"/>
      <w:numFmt w:val="decimal"/>
      <w:lvlText w:val="%1-"/>
      <w:lvlJc w:val="left"/>
      <w:pPr>
        <w:ind w:left="1612" w:hanging="360"/>
      </w:pPr>
      <w:rPr>
        <w:rFonts w:ascii="Sakkal Majalla" w:eastAsiaTheme="minorHAnsi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4">
    <w:nsid w:val="17D503E5"/>
    <w:multiLevelType w:val="hybridMultilevel"/>
    <w:tmpl w:val="5576127A"/>
    <w:lvl w:ilvl="0" w:tplc="12D494F6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38559BD"/>
    <w:multiLevelType w:val="hybridMultilevel"/>
    <w:tmpl w:val="68F28ADC"/>
    <w:lvl w:ilvl="0" w:tplc="58426926">
      <w:start w:val="1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C362D8"/>
    <w:multiLevelType w:val="hybridMultilevel"/>
    <w:tmpl w:val="1952B29A"/>
    <w:lvl w:ilvl="0" w:tplc="D5DCE3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D0D47"/>
    <w:multiLevelType w:val="hybridMultilevel"/>
    <w:tmpl w:val="D6CABABE"/>
    <w:lvl w:ilvl="0" w:tplc="8B00F6F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EF57AF"/>
    <w:multiLevelType w:val="hybridMultilevel"/>
    <w:tmpl w:val="DFD0AF2C"/>
    <w:lvl w:ilvl="0" w:tplc="96C6C6AC">
      <w:start w:val="1"/>
      <w:numFmt w:val="decimal"/>
      <w:lvlText w:val="%1-"/>
      <w:lvlJc w:val="left"/>
      <w:pPr>
        <w:ind w:left="163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D6B5215"/>
    <w:multiLevelType w:val="hybridMultilevel"/>
    <w:tmpl w:val="A1D012DE"/>
    <w:lvl w:ilvl="0" w:tplc="0ACA4D8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DF27E0"/>
    <w:multiLevelType w:val="hybridMultilevel"/>
    <w:tmpl w:val="DBBC391A"/>
    <w:lvl w:ilvl="0" w:tplc="F208DD1A">
      <w:start w:val="1"/>
      <w:numFmt w:val="arabicAlpha"/>
      <w:lvlText w:val="%1-"/>
      <w:lvlJc w:val="left"/>
      <w:pPr>
        <w:ind w:left="1494" w:hanging="360"/>
      </w:pPr>
      <w:rPr>
        <w:rFonts w:ascii="Sakkal Majalla" w:eastAsiaTheme="minorHAnsi" w:hAnsi="Sakkal Majalla" w:cs="Sakkal Majalla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D76544B"/>
    <w:multiLevelType w:val="hybridMultilevel"/>
    <w:tmpl w:val="54361C62"/>
    <w:lvl w:ilvl="0" w:tplc="3192FBD2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A95B47"/>
    <w:multiLevelType w:val="hybridMultilevel"/>
    <w:tmpl w:val="C298E9D4"/>
    <w:lvl w:ilvl="0" w:tplc="2CA891FE">
      <w:start w:val="1"/>
      <w:numFmt w:val="decimal"/>
      <w:lvlText w:val="%1-"/>
      <w:lvlJc w:val="left"/>
      <w:pPr>
        <w:ind w:left="163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2130BD1"/>
    <w:multiLevelType w:val="hybridMultilevel"/>
    <w:tmpl w:val="E1CAA468"/>
    <w:lvl w:ilvl="0" w:tplc="9B70C0D0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733273"/>
    <w:multiLevelType w:val="hybridMultilevel"/>
    <w:tmpl w:val="1700CB6A"/>
    <w:lvl w:ilvl="0" w:tplc="4272890E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4F9"/>
    <w:rsid w:val="00166217"/>
    <w:rsid w:val="00171EE9"/>
    <w:rsid w:val="002E3403"/>
    <w:rsid w:val="00353FBD"/>
    <w:rsid w:val="003A28F5"/>
    <w:rsid w:val="004D4DF4"/>
    <w:rsid w:val="004D5E7C"/>
    <w:rsid w:val="004F4006"/>
    <w:rsid w:val="00533456"/>
    <w:rsid w:val="00544C1E"/>
    <w:rsid w:val="00555E9F"/>
    <w:rsid w:val="0059238C"/>
    <w:rsid w:val="005A5137"/>
    <w:rsid w:val="0061354D"/>
    <w:rsid w:val="0063064A"/>
    <w:rsid w:val="00656374"/>
    <w:rsid w:val="00675AF8"/>
    <w:rsid w:val="006D1B56"/>
    <w:rsid w:val="006E6B92"/>
    <w:rsid w:val="00840416"/>
    <w:rsid w:val="008A18F7"/>
    <w:rsid w:val="008F5BD4"/>
    <w:rsid w:val="00976F2A"/>
    <w:rsid w:val="009C5B51"/>
    <w:rsid w:val="00A01130"/>
    <w:rsid w:val="00A43E12"/>
    <w:rsid w:val="00A44C9F"/>
    <w:rsid w:val="00AB1F56"/>
    <w:rsid w:val="00AD1D15"/>
    <w:rsid w:val="00B65E57"/>
    <w:rsid w:val="00B93B41"/>
    <w:rsid w:val="00C32BB8"/>
    <w:rsid w:val="00CD05F1"/>
    <w:rsid w:val="00D17E67"/>
    <w:rsid w:val="00D23CB2"/>
    <w:rsid w:val="00D359E3"/>
    <w:rsid w:val="00D604F9"/>
    <w:rsid w:val="00D7247F"/>
    <w:rsid w:val="00DD3218"/>
    <w:rsid w:val="00DE0E63"/>
    <w:rsid w:val="00ED2A95"/>
    <w:rsid w:val="00F02510"/>
    <w:rsid w:val="00F11DF7"/>
    <w:rsid w:val="00F237DA"/>
    <w:rsid w:val="00F47110"/>
    <w:rsid w:val="00F57907"/>
    <w:rsid w:val="00F91E9C"/>
    <w:rsid w:val="00FB6EC3"/>
    <w:rsid w:val="00F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04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D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D6A5F"/>
  </w:style>
  <w:style w:type="paragraph" w:styleId="Pieddepage">
    <w:name w:val="footer"/>
    <w:basedOn w:val="Normal"/>
    <w:link w:val="PieddepageCar"/>
    <w:uiPriority w:val="99"/>
    <w:unhideWhenUsed/>
    <w:rsid w:val="00FD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36</cp:revision>
  <cp:lastPrinted>2020-03-11T09:55:00Z</cp:lastPrinted>
  <dcterms:created xsi:type="dcterms:W3CDTF">2020-03-11T07:13:00Z</dcterms:created>
  <dcterms:modified xsi:type="dcterms:W3CDTF">2020-03-11T13:38:00Z</dcterms:modified>
</cp:coreProperties>
</file>