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782" w:rsidRDefault="007B1C97" w:rsidP="007B1C97">
      <w:pPr>
        <w:jc w:val="center"/>
        <w:rPr>
          <w:rFonts w:ascii="Traditional Arabic" w:hAnsi="Traditional Arabic" w:cs="Traditional Arabic"/>
          <w:b/>
          <w:bCs/>
          <w:sz w:val="32"/>
          <w:szCs w:val="32"/>
          <w:rtl/>
        </w:rPr>
      </w:pPr>
      <w:bookmarkStart w:id="0" w:name="_GoBack"/>
      <w:r w:rsidRPr="007B1C97">
        <w:rPr>
          <w:rFonts w:ascii="Traditional Arabic" w:hAnsi="Traditional Arabic" w:cs="Traditional Arabic"/>
          <w:b/>
          <w:bCs/>
          <w:sz w:val="32"/>
          <w:szCs w:val="32"/>
          <w:rtl/>
        </w:rPr>
        <w:t>المحور الأوّل</w:t>
      </w:r>
    </w:p>
    <w:p w:rsidR="007B1C97" w:rsidRDefault="007B1C97" w:rsidP="007B1C97">
      <w:pPr>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مفهوم الاستحسان</w:t>
      </w:r>
    </w:p>
    <w:p w:rsidR="007B1C97" w:rsidRDefault="007B1C97" w:rsidP="007B1C97">
      <w:pPr>
        <w:jc w:val="both"/>
        <w:rPr>
          <w:rFonts w:hint="cs"/>
          <w:b/>
          <w:bCs/>
          <w:rtl/>
          <w:lang w:val="fr-FR"/>
        </w:rPr>
      </w:pPr>
    </w:p>
    <w:bookmarkEnd w:id="0"/>
    <w:p w:rsidR="007B1C97" w:rsidRPr="007B1C97" w:rsidRDefault="007B1C97" w:rsidP="007B1C97">
      <w:pPr>
        <w:pStyle w:val="Heading8"/>
        <w:jc w:val="both"/>
        <w:rPr>
          <w:rFonts w:ascii="Traditional Arabic" w:hAnsi="Traditional Arabic"/>
          <w:rtl/>
          <w:lang w:val="fr-FR"/>
        </w:rPr>
      </w:pPr>
      <w:r w:rsidRPr="007B1C97">
        <w:rPr>
          <w:rFonts w:ascii="Traditional Arabic" w:hAnsi="Traditional Arabic"/>
          <w:rtl/>
          <w:lang w:val="fr-FR"/>
        </w:rPr>
        <w:t>تعريف الاستحسان</w:t>
      </w:r>
    </w:p>
    <w:p w:rsidR="007B1C97" w:rsidRPr="007B1C97" w:rsidRDefault="007B1C97" w:rsidP="007B1C97">
      <w:pPr>
        <w:jc w:val="both"/>
        <w:rPr>
          <w:rFonts w:ascii="Traditional Arabic" w:hAnsi="Traditional Arabic" w:cs="Traditional Arabic"/>
          <w:sz w:val="32"/>
          <w:szCs w:val="32"/>
          <w:rtl/>
          <w:lang w:val="fr-FR"/>
        </w:rPr>
      </w:pPr>
      <w:r w:rsidRPr="007B1C97">
        <w:rPr>
          <w:rFonts w:ascii="Traditional Arabic" w:hAnsi="Traditional Arabic" w:cs="Traditional Arabic"/>
          <w:b/>
          <w:bCs/>
          <w:sz w:val="32"/>
          <w:szCs w:val="32"/>
          <w:rtl/>
          <w:lang w:val="fr-FR"/>
        </w:rPr>
        <w:t xml:space="preserve">لـغـة : </w:t>
      </w:r>
      <w:r w:rsidRPr="007B1C97">
        <w:rPr>
          <w:rFonts w:ascii="Traditional Arabic" w:hAnsi="Traditional Arabic" w:cs="Traditional Arabic"/>
          <w:sz w:val="32"/>
          <w:szCs w:val="32"/>
          <w:rtl/>
          <w:lang w:val="fr-FR"/>
        </w:rPr>
        <w:t>الاستحسان في اللغة من الحسن، وهو عدّ الشيء حسناً .. وقد ورد هذا اللفظ في الكتاب والسنّة وأقوال المجتهدين ولو من غير القائلين بحجّيته، ممّا يدلّ على أنّه لا خلاف في جواز استعمال لفظ الاستحسان، وإنّما الخلاف في اعتباره دليلاً معتبراً ..</w:t>
      </w:r>
    </w:p>
    <w:p w:rsidR="007B1C97" w:rsidRPr="007B1C97" w:rsidRDefault="007B1C97" w:rsidP="007B1C97">
      <w:pPr>
        <w:jc w:val="both"/>
        <w:rPr>
          <w:rFonts w:ascii="Traditional Arabic" w:hAnsi="Traditional Arabic" w:cs="Traditional Arabic"/>
          <w:sz w:val="32"/>
          <w:szCs w:val="32"/>
          <w:rtl/>
          <w:lang w:val="fr-FR"/>
        </w:rPr>
      </w:pPr>
      <w:r w:rsidRPr="007B1C97">
        <w:rPr>
          <w:rFonts w:ascii="Traditional Arabic" w:hAnsi="Traditional Arabic" w:cs="Traditional Arabic"/>
          <w:sz w:val="32"/>
          <w:szCs w:val="32"/>
          <w:rtl/>
          <w:lang w:val="fr-FR"/>
        </w:rPr>
        <w:t>أمّا الكتاب فقوله تعالى: {الذين يستمعون القول فيتّبعون أحسنه أوْلئك الذين هداهم الله وأوْلئك هم أوْلوا الالباب}</w:t>
      </w:r>
      <w:r w:rsidRPr="007B1C97">
        <w:rPr>
          <w:rStyle w:val="FootnoteReference"/>
          <w:rFonts w:ascii="Traditional Arabic" w:hAnsi="Traditional Arabic" w:cs="Traditional Arabic"/>
          <w:sz w:val="32"/>
          <w:szCs w:val="32"/>
          <w:rtl/>
          <w:lang w:val="fr-FR"/>
        </w:rPr>
        <w:footnoteReference w:id="1"/>
      </w:r>
      <w:r w:rsidRPr="007B1C97">
        <w:rPr>
          <w:rFonts w:ascii="Traditional Arabic" w:hAnsi="Traditional Arabic" w:cs="Traditional Arabic"/>
          <w:sz w:val="32"/>
          <w:szCs w:val="32"/>
          <w:rtl/>
          <w:lang w:val="fr-FR"/>
        </w:rPr>
        <w:t>، وقوله تعالى مخاطباً موسى عليه السلام : {وامر قومك ياخذوا بأحسنها سأريكم دار الفاسقين}</w:t>
      </w:r>
      <w:r w:rsidRPr="007B1C97">
        <w:rPr>
          <w:rStyle w:val="FootnoteReference"/>
          <w:rFonts w:ascii="Traditional Arabic" w:hAnsi="Traditional Arabic" w:cs="Traditional Arabic"/>
          <w:sz w:val="32"/>
          <w:szCs w:val="32"/>
          <w:rtl/>
          <w:lang w:val="fr-FR"/>
        </w:rPr>
        <w:footnoteReference w:id="2"/>
      </w:r>
      <w:r w:rsidRPr="007B1C97">
        <w:rPr>
          <w:rFonts w:ascii="Traditional Arabic" w:hAnsi="Traditional Arabic" w:cs="Traditional Arabic"/>
          <w:sz w:val="32"/>
          <w:szCs w:val="32"/>
          <w:rtl/>
          <w:lang w:val="fr-FR"/>
        </w:rPr>
        <w:t>..</w:t>
      </w:r>
    </w:p>
    <w:p w:rsidR="007B1C97" w:rsidRPr="007B1C97" w:rsidRDefault="007B1C97" w:rsidP="007B1C97">
      <w:pPr>
        <w:jc w:val="both"/>
        <w:rPr>
          <w:rFonts w:ascii="Traditional Arabic" w:hAnsi="Traditional Arabic" w:cs="Traditional Arabic"/>
          <w:sz w:val="32"/>
          <w:szCs w:val="32"/>
          <w:rtl/>
          <w:lang w:val="fr-FR"/>
        </w:rPr>
      </w:pPr>
      <w:r w:rsidRPr="007B1C97">
        <w:rPr>
          <w:rFonts w:ascii="Traditional Arabic" w:hAnsi="Traditional Arabic" w:cs="Traditional Arabic"/>
          <w:sz w:val="32"/>
          <w:szCs w:val="32"/>
          <w:rtl/>
          <w:lang w:val="fr-FR"/>
        </w:rPr>
        <w:t xml:space="preserve">وأمّا السنّة : فـ( عن زِرِّ بْنِ حُبَيْشٍ عَنْ عَبْدِ اللَّهِ بْنِ مَسْعُودٍ قَالَ إِنَّ اللَّهَ نَظَرَ فِي قُلُوبِ الْعِبَادِ فَوَجَدَ قَلْبَ مُحَمَّدٍ </w:t>
      </w:r>
      <w:r w:rsidRPr="007B1C97">
        <w:rPr>
          <w:rFonts w:ascii="Traditional Arabic" w:hAnsi="Traditional Arabic" w:cs="Traditional Arabic"/>
          <w:sz w:val="32"/>
          <w:szCs w:val="32"/>
        </w:rPr>
        <w:sym w:font="AGA Arabesque" w:char="F072"/>
      </w:r>
      <w:r w:rsidRPr="007B1C97">
        <w:rPr>
          <w:rFonts w:ascii="Traditional Arabic" w:hAnsi="Traditional Arabic" w:cs="Traditional Arabic"/>
          <w:sz w:val="32"/>
          <w:szCs w:val="32"/>
          <w:rtl/>
          <w:lang w:val="fr-FR"/>
        </w:rPr>
        <w:t xml:space="preserve"> خَيْرَ قُلُوبِ الْعِبَادِ فَاصْطَفَاهُ لِنَفْسِهِ فَابْتَعَثَهُ بِرِسَالَتِهِ ثُمَّ نَظَرَ فِي قُلُوبِ الْعِبَادِ بَعْدَ قَلْبِ مُحَمَّدٍ فَوَجَدَ قُلُوبَ أَصْحَابِهِ خَيْرَ قُلُوبِ الْعِبَادِ فَجَعَلَهُمْ وُزَرَاءَ نَبِيِّهِ يُقَاتِلُونَ عَلَى دِينِهِ </w:t>
      </w:r>
      <w:r w:rsidRPr="007B1C97">
        <w:rPr>
          <w:rFonts w:ascii="Traditional Arabic" w:hAnsi="Traditional Arabic" w:cs="Traditional Arabic"/>
          <w:b/>
          <w:bCs/>
          <w:sz w:val="32"/>
          <w:szCs w:val="32"/>
          <w:rtl/>
          <w:lang w:val="fr-FR"/>
        </w:rPr>
        <w:t>فَمَا رَأَى الْمُسْلِمُونَ حَسَنًا فَهُوَ عِنْدَ اللَّهِ حَسَنٌ وَمَا رَأَوْا سَيِّئًا فَهُوَ عِنْدَ اللَّهِ سَيِّئٌ</w:t>
      </w:r>
      <w:r w:rsidRPr="007B1C97">
        <w:rPr>
          <w:rFonts w:ascii="Traditional Arabic" w:hAnsi="Traditional Arabic" w:cs="Traditional Arabic"/>
          <w:sz w:val="32"/>
          <w:szCs w:val="32"/>
          <w:rtl/>
          <w:lang w:val="fr-FR"/>
        </w:rPr>
        <w:t xml:space="preserve">  )</w:t>
      </w:r>
      <w:r w:rsidRPr="007B1C97">
        <w:rPr>
          <w:rStyle w:val="FootnoteReference"/>
          <w:rFonts w:ascii="Traditional Arabic" w:hAnsi="Traditional Arabic" w:cs="Traditional Arabic"/>
          <w:sz w:val="32"/>
          <w:szCs w:val="32"/>
          <w:rtl/>
          <w:lang w:val="fr-FR"/>
        </w:rPr>
        <w:footnoteReference w:id="3"/>
      </w:r>
      <w:r w:rsidRPr="007B1C97">
        <w:rPr>
          <w:rFonts w:ascii="Traditional Arabic" w:hAnsi="Traditional Arabic" w:cs="Traditional Arabic"/>
          <w:sz w:val="32"/>
          <w:szCs w:val="32"/>
          <w:rtl/>
          <w:lang w:val="fr-FR"/>
        </w:rPr>
        <w:t xml:space="preserve"> ..</w:t>
      </w:r>
    </w:p>
    <w:p w:rsidR="007B1C97" w:rsidRPr="007B1C97" w:rsidRDefault="007B1C97" w:rsidP="007B1C97">
      <w:pPr>
        <w:jc w:val="both"/>
        <w:rPr>
          <w:rFonts w:ascii="Traditional Arabic" w:hAnsi="Traditional Arabic" w:cs="Traditional Arabic"/>
          <w:sz w:val="32"/>
          <w:szCs w:val="32"/>
          <w:rtl/>
          <w:lang w:val="fr-FR"/>
        </w:rPr>
      </w:pPr>
      <w:r w:rsidRPr="007B1C97">
        <w:rPr>
          <w:rFonts w:ascii="Traditional Arabic" w:hAnsi="Traditional Arabic" w:cs="Traditional Arabic"/>
          <w:sz w:val="32"/>
          <w:szCs w:val="32"/>
          <w:rtl/>
          <w:lang w:val="fr-FR"/>
        </w:rPr>
        <w:t>وأمّا ورود لفظ الاستحسان في عبارات المجتهدين، فمن ذلك ما نقل عن الأئمّة من أنّهم استحسنوا دخول الحمّام من غير تقدير عوض الماء المستعمل ولا تقدير مدّة المكوث فيه، وتقدير الأجرة، كذلك استحسانهم شرب الماء من أيدي السقّائين من غير تقدير للماء وعوضه، وكقول الشافعي : أستحسن في المتعة - وهي الهدية بعد طلاق المرأة غير المدخول بها التي لم يعيّن لها مهر – أن تكون ثلاثين درهماً، وكقوله : أستحسن ثبوت الشفعة للشفيع إلى ثلاثة أيّام، وقوله أيضاً: وأستحسن التحليف على المصحف ونحو ذلك ..</w:t>
      </w:r>
    </w:p>
    <w:p w:rsidR="007B1C97" w:rsidRDefault="007B1C97" w:rsidP="007B1C97">
      <w:pPr>
        <w:pStyle w:val="BodyText2"/>
        <w:jc w:val="both"/>
        <w:rPr>
          <w:rFonts w:ascii="Traditional Arabic" w:hAnsi="Traditional Arabic"/>
          <w:rtl/>
        </w:rPr>
      </w:pPr>
      <w:r w:rsidRPr="007B1C97">
        <w:rPr>
          <w:rFonts w:ascii="Traditional Arabic" w:hAnsi="Traditional Arabic"/>
          <w:rtl/>
        </w:rPr>
        <w:t xml:space="preserve">فقد تبيّن لنا إذن أنّ الخلاف ليس في لفظ الاستحسان ولكن في </w:t>
      </w:r>
      <w:r>
        <w:rPr>
          <w:rFonts w:ascii="Traditional Arabic" w:hAnsi="Traditional Arabic"/>
          <w:rtl/>
        </w:rPr>
        <w:t>مدلوله الاصطلاحي، فما هي حقيقته</w:t>
      </w:r>
      <w:r w:rsidRPr="007B1C97">
        <w:rPr>
          <w:rFonts w:ascii="Traditional Arabic" w:hAnsi="Traditional Arabic"/>
          <w:rtl/>
        </w:rPr>
        <w:t>؟</w:t>
      </w:r>
    </w:p>
    <w:p w:rsidR="007B1C97" w:rsidRPr="007B1C97" w:rsidRDefault="007B1C97" w:rsidP="007B1C97">
      <w:pPr>
        <w:pStyle w:val="BodyText2"/>
        <w:spacing w:before="240"/>
        <w:jc w:val="both"/>
        <w:rPr>
          <w:rFonts w:ascii="Traditional Arabic" w:hAnsi="Traditional Arabic"/>
          <w:b/>
          <w:bCs/>
          <w:rtl/>
        </w:rPr>
      </w:pPr>
      <w:r w:rsidRPr="007B1C97">
        <w:rPr>
          <w:rFonts w:ascii="Traditional Arabic" w:hAnsi="Traditional Arabic" w:hint="cs"/>
          <w:b/>
          <w:bCs/>
          <w:rtl/>
        </w:rPr>
        <w:t>التعريف الاصطلاحي:</w:t>
      </w:r>
    </w:p>
    <w:p w:rsidR="007B1C97" w:rsidRPr="007B1C97" w:rsidRDefault="007B1C97" w:rsidP="007B1C97">
      <w:pPr>
        <w:overflowPunct w:val="0"/>
        <w:autoSpaceDE w:val="0"/>
        <w:autoSpaceDN w:val="0"/>
        <w:adjustRightInd w:val="0"/>
        <w:ind w:firstLine="397"/>
        <w:jc w:val="both"/>
        <w:textAlignment w:val="baseline"/>
        <w:rPr>
          <w:rFonts w:ascii="Times New Roman" w:eastAsia="Times New Roman" w:hAnsi="Times New Roman" w:cs="Traditional Arabic" w:hint="cs"/>
          <w:sz w:val="32"/>
          <w:szCs w:val="32"/>
          <w:rtl/>
          <w:lang w:val="fr-FR" w:eastAsia="ar-SA"/>
        </w:rPr>
      </w:pPr>
      <w:r>
        <w:rPr>
          <w:rFonts w:ascii="Times New Roman" w:eastAsia="Times New Roman" w:hAnsi="Times New Roman" w:cs="Traditional Arabic" w:hint="cs"/>
          <w:sz w:val="32"/>
          <w:szCs w:val="32"/>
          <w:rtl/>
          <w:lang w:val="fr-FR" w:eastAsia="ar-SA"/>
        </w:rPr>
        <w:t>بعد تتبّع عبارات الأصوليّين في تعريفاتهم للاستحسان،</w:t>
      </w:r>
      <w:r w:rsidRPr="007B1C97">
        <w:rPr>
          <w:rFonts w:ascii="Times New Roman" w:eastAsia="Times New Roman" w:hAnsi="Times New Roman" w:cs="Traditional Arabic" w:hint="cs"/>
          <w:sz w:val="32"/>
          <w:szCs w:val="32"/>
          <w:rtl/>
          <w:lang w:val="fr-FR" w:eastAsia="ar-SA"/>
        </w:rPr>
        <w:t xml:space="preserve"> نلاحظ أنّه يتلخّص في أمرين، ويطلق عند العلماء بإطلاقين : </w:t>
      </w:r>
    </w:p>
    <w:p w:rsidR="007B1C97" w:rsidRPr="007B1C97" w:rsidRDefault="007B1C97" w:rsidP="007B1C97">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7B1C97">
        <w:rPr>
          <w:rFonts w:ascii="Times New Roman" w:eastAsia="Times New Roman" w:hAnsi="Times New Roman" w:cs="Traditional Arabic" w:hint="cs"/>
          <w:b/>
          <w:bCs/>
          <w:sz w:val="32"/>
          <w:szCs w:val="32"/>
          <w:rtl/>
          <w:lang w:val="fr-FR" w:eastAsia="ar-SA"/>
        </w:rPr>
        <w:lastRenderedPageBreak/>
        <w:t>الأوّل :</w:t>
      </w:r>
      <w:r w:rsidRPr="007B1C97">
        <w:rPr>
          <w:rFonts w:ascii="Times New Roman" w:eastAsia="Times New Roman" w:hAnsi="Times New Roman" w:cs="Traditional Arabic" w:hint="cs"/>
          <w:sz w:val="32"/>
          <w:szCs w:val="32"/>
          <w:rtl/>
          <w:lang w:val="fr-FR" w:eastAsia="ar-SA"/>
        </w:rPr>
        <w:t xml:space="preserve"> أنّه قياس خفيت علّته لبعدها عن الذهن في مقابلة قياس ظهرت علّته لتبادرها إليه، وبتعبير آخر: ترجيح قياس خفي على قياس جلي بناء على دليل .. وقد أشار إلى هذا تعريف اللخمي المالكي والكرخي وغيره من علماء الحنفية ..</w:t>
      </w:r>
    </w:p>
    <w:p w:rsidR="007B1C97" w:rsidRPr="007B1C97" w:rsidRDefault="007B1C97" w:rsidP="007B1C97">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7B1C97">
        <w:rPr>
          <w:rFonts w:ascii="Times New Roman" w:eastAsia="Times New Roman" w:hAnsi="Times New Roman" w:cs="Traditional Arabic" w:hint="cs"/>
          <w:b/>
          <w:bCs/>
          <w:sz w:val="32"/>
          <w:szCs w:val="32"/>
          <w:rtl/>
          <w:lang w:val="fr-FR" w:eastAsia="ar-SA"/>
        </w:rPr>
        <w:t>الثاني :</w:t>
      </w:r>
      <w:r w:rsidRPr="007B1C97">
        <w:rPr>
          <w:rFonts w:ascii="Times New Roman" w:eastAsia="Times New Roman" w:hAnsi="Times New Roman" w:cs="Traditional Arabic" w:hint="cs"/>
          <w:sz w:val="32"/>
          <w:szCs w:val="32"/>
          <w:rtl/>
          <w:lang w:val="fr-FR" w:eastAsia="ar-SA"/>
        </w:rPr>
        <w:t xml:space="preserve"> استثناء مسألة جزئية من أصل كلّي؛ دليلاً كان أو قاعدة، لدليل خاصّ يقتضي هذا الاستثناء من نصّ أو إجماع أو ضرورة أو غيرها، كما جاء في تعريف ابن العربي والشاطبي وابن قدامة ..</w:t>
      </w:r>
    </w:p>
    <w:p w:rsidR="007B1C97" w:rsidRPr="007B1C97" w:rsidRDefault="007B1C97" w:rsidP="007B1C97">
      <w:pPr>
        <w:overflowPunct w:val="0"/>
        <w:autoSpaceDE w:val="0"/>
        <w:autoSpaceDN w:val="0"/>
        <w:adjustRightInd w:val="0"/>
        <w:jc w:val="both"/>
        <w:textAlignment w:val="baseline"/>
        <w:rPr>
          <w:rFonts w:ascii="Times New Roman" w:eastAsia="Times New Roman" w:hAnsi="Times New Roman" w:cs="Traditional Arabic" w:hint="cs"/>
          <w:b/>
          <w:bCs/>
          <w:sz w:val="32"/>
          <w:szCs w:val="32"/>
          <w:rtl/>
          <w:lang w:val="fr-FR" w:eastAsia="ar-SA"/>
        </w:rPr>
      </w:pPr>
      <w:r w:rsidRPr="007B1C97">
        <w:rPr>
          <w:rFonts w:ascii="Times New Roman" w:eastAsia="Times New Roman" w:hAnsi="Times New Roman" w:cs="Traditional Arabic" w:hint="cs"/>
          <w:b/>
          <w:bCs/>
          <w:sz w:val="32"/>
          <w:szCs w:val="32"/>
          <w:rtl/>
          <w:lang w:val="fr-FR" w:eastAsia="ar-SA"/>
        </w:rPr>
        <w:t>توضيح الإطلاق الأوّل للاستحسان :</w:t>
      </w:r>
    </w:p>
    <w:p w:rsidR="007B1C97" w:rsidRPr="007B1C97" w:rsidRDefault="007B1C97" w:rsidP="007B1C97">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7B1C97">
        <w:rPr>
          <w:rFonts w:ascii="Times New Roman" w:eastAsia="Times New Roman" w:hAnsi="Times New Roman" w:cs="Traditional Arabic" w:hint="cs"/>
          <w:sz w:val="32"/>
          <w:szCs w:val="32"/>
          <w:rtl/>
          <w:lang w:val="fr-FR" w:eastAsia="ar-SA"/>
        </w:rPr>
        <w:t xml:space="preserve">إنّ من بين المسائل والحوادث ما لم يرد بحكمه نصّ ولا إجماع، وإذا أريد قياسه على نظير له ورد النصّ أو الإجماع بحكمه نجد أنّ له شبهين بأصلين مختلفي الحكم، ليسا على درجة واحدة من حيث ظهور العلّة وخفاؤها، فإحداهما قريبة إلى الذهن والأخرى بعيدة عنه، فإذا ألحقناه بناء على الشبه البعيد، كان هذا العدول استحساناً، ويسمّى الحكم الثابت به حكماً مستحسَناً، وثابتاً على خلاف القياس .. ومثاله : حقّ المرور بالنسبة لوقف الأراضي الزراعية، تنازعه شبهان مختلفان، </w:t>
      </w:r>
      <w:r w:rsidRPr="007B1C97">
        <w:rPr>
          <w:rFonts w:ascii="Times New Roman" w:eastAsia="Times New Roman" w:hAnsi="Times New Roman" w:cs="Traditional Arabic" w:hint="cs"/>
          <w:sz w:val="32"/>
          <w:szCs w:val="32"/>
          <w:u w:val="single"/>
          <w:rtl/>
          <w:lang w:val="fr-FR" w:eastAsia="ar-SA"/>
        </w:rPr>
        <w:t>أحدهما</w:t>
      </w:r>
      <w:r w:rsidRPr="007B1C97">
        <w:rPr>
          <w:rFonts w:ascii="Times New Roman" w:eastAsia="Times New Roman" w:hAnsi="Times New Roman" w:cs="Traditional Arabic" w:hint="cs"/>
          <w:sz w:val="32"/>
          <w:szCs w:val="32"/>
          <w:rtl/>
          <w:lang w:val="fr-FR" w:eastAsia="ar-SA"/>
        </w:rPr>
        <w:t xml:space="preserve"> ظاهر وهو قياس وقف الأرض على بيعها بجامع أنّ كلاًّ منهما يُخرِج العين عن ملك صاحبها، وحيث كان حقّ المرور في بيع الأرض الزراعية لا يتبعها إلاّ بالنصّ عليه عند العقد كان وقفها لا يتبعها حقّ المرور إلاّ بالنصّ . </w:t>
      </w:r>
      <w:r w:rsidRPr="007B1C97">
        <w:rPr>
          <w:rFonts w:ascii="Times New Roman" w:eastAsia="Times New Roman" w:hAnsi="Times New Roman" w:cs="Traditional Arabic" w:hint="cs"/>
          <w:sz w:val="32"/>
          <w:szCs w:val="32"/>
          <w:u w:val="single"/>
          <w:rtl/>
          <w:lang w:val="fr-FR" w:eastAsia="ar-SA"/>
        </w:rPr>
        <w:t>وثاني النظرين</w:t>
      </w:r>
      <w:r w:rsidRPr="007B1C97">
        <w:rPr>
          <w:rFonts w:ascii="Times New Roman" w:eastAsia="Times New Roman" w:hAnsi="Times New Roman" w:cs="Traditional Arabic" w:hint="cs"/>
          <w:sz w:val="32"/>
          <w:szCs w:val="32"/>
          <w:rtl/>
          <w:lang w:val="fr-FR" w:eastAsia="ar-SA"/>
        </w:rPr>
        <w:t xml:space="preserve"> خفي، وهو قياس وقف الأراضي الزراعية على إجارتها، بجامع أنّ كلاًّ منهما يفيد ملك الانتفاع بالعين، ولمّا كانت الأرض الزراعية إذا أُجِّرت يدخل حقّ المرور تبعاً يكون وقفها يدخل فيه حقّ المرور ..</w:t>
      </w:r>
    </w:p>
    <w:p w:rsidR="007B1C97" w:rsidRPr="007B1C97" w:rsidRDefault="007B1C97" w:rsidP="007B1C97">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7B1C97">
        <w:rPr>
          <w:rFonts w:ascii="Times New Roman" w:eastAsia="Times New Roman" w:hAnsi="Times New Roman" w:cs="Traditional Arabic" w:hint="cs"/>
          <w:sz w:val="32"/>
          <w:szCs w:val="32"/>
          <w:rtl/>
          <w:lang w:val="fr-FR" w:eastAsia="ar-SA"/>
        </w:rPr>
        <w:t xml:space="preserve">فهذان النظران مختلفان، أحدهما ظاهر والآخر خفي، ولكنّ المجتهد عدل عن القياس على الظاهر إلى الخفيّ لما ترجّح لديه أنّ المقصود من الوقف انتفاع الموقوف عليهم، ولا يمكن الانتفاع بالأرض إلاّ بحقّ المرور، فلهذا حُكِم بدخول حقّ المرور في وقف الأرض الزراعية، ويكون العدول عن عدم دخول حقّ المرور هو الاستحسان .. </w:t>
      </w:r>
    </w:p>
    <w:p w:rsidR="007B1C97" w:rsidRPr="007B1C97" w:rsidRDefault="007B1C97" w:rsidP="007B1C97">
      <w:pPr>
        <w:overflowPunct w:val="0"/>
        <w:autoSpaceDE w:val="0"/>
        <w:autoSpaceDN w:val="0"/>
        <w:adjustRightInd w:val="0"/>
        <w:jc w:val="both"/>
        <w:textAlignment w:val="baseline"/>
        <w:rPr>
          <w:rFonts w:ascii="Times New Roman" w:eastAsia="Times New Roman" w:hAnsi="Times New Roman" w:cs="Traditional Arabic" w:hint="cs"/>
          <w:b/>
          <w:bCs/>
          <w:sz w:val="32"/>
          <w:szCs w:val="32"/>
          <w:rtl/>
          <w:lang w:val="fr-FR" w:eastAsia="ar-SA"/>
        </w:rPr>
      </w:pPr>
      <w:r w:rsidRPr="007B1C97">
        <w:rPr>
          <w:rFonts w:ascii="Times New Roman" w:eastAsia="Times New Roman" w:hAnsi="Times New Roman" w:cs="Traditional Arabic" w:hint="cs"/>
          <w:b/>
          <w:bCs/>
          <w:sz w:val="32"/>
          <w:szCs w:val="32"/>
          <w:rtl/>
          <w:lang w:val="fr-FR" w:eastAsia="ar-SA"/>
        </w:rPr>
        <w:t>توضيح الإطلاق الثاني للاستحسان :</w:t>
      </w:r>
    </w:p>
    <w:p w:rsidR="007B1C97" w:rsidRPr="007B1C97" w:rsidRDefault="007B1C97" w:rsidP="007B1C97">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7B1C97">
        <w:rPr>
          <w:rFonts w:ascii="Times New Roman" w:eastAsia="Times New Roman" w:hAnsi="Times New Roman" w:cs="Traditional Arabic" w:hint="cs"/>
          <w:sz w:val="32"/>
          <w:szCs w:val="32"/>
          <w:rtl/>
          <w:lang w:val="fr-FR" w:eastAsia="ar-SA"/>
        </w:rPr>
        <w:t>أمّا الاستحسان بالنسبة للإطلاق الثاني، فيتّضح بما إذا عرضت حادثة للمجتهد تندرج تحت دليل من الأدلّة الشرعية العامّة، أو قاعدة من القواعد الكلّية . إلاّ أنّه وجد دليلاً خاصّاً بها من نصّ أو إجماع اقتضى استثناءها وإعطاءها حكماً مخالفاً للحكم العامّ أو القاعدة الكلّية، فإذا عدل المجتهد عن إعطاء هذه المسألة حكم نظائرها المندرجة تحت الدليل العام أو القاعدة إلى حكم آخر نظراً للدليل الخاصّ الذي وجده المجتهد كان هذا العدول هوالاستحسان .</w:t>
      </w:r>
    </w:p>
    <w:p w:rsidR="007B1C97" w:rsidRPr="007B1C97" w:rsidRDefault="007B1C97" w:rsidP="007B1C97">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7B1C97">
        <w:rPr>
          <w:rFonts w:ascii="Times New Roman" w:eastAsia="Times New Roman" w:hAnsi="Times New Roman" w:cs="Traditional Arabic" w:hint="cs"/>
          <w:sz w:val="32"/>
          <w:szCs w:val="32"/>
          <w:rtl/>
          <w:lang w:val="fr-FR" w:eastAsia="ar-SA"/>
        </w:rPr>
        <w:t xml:space="preserve">- فمن أمثلة ما اندرج </w:t>
      </w:r>
      <w:r w:rsidRPr="007B1C97">
        <w:rPr>
          <w:rFonts w:ascii="Times New Roman" w:eastAsia="Times New Roman" w:hAnsi="Times New Roman" w:cs="Traditional Arabic" w:hint="cs"/>
          <w:sz w:val="32"/>
          <w:szCs w:val="32"/>
          <w:u w:val="single"/>
          <w:rtl/>
          <w:lang w:val="fr-FR" w:eastAsia="ar-SA"/>
        </w:rPr>
        <w:t>تحت دليل من أدلّة الشرع العامّة</w:t>
      </w:r>
      <w:r w:rsidRPr="007B1C97">
        <w:rPr>
          <w:rFonts w:ascii="Times New Roman" w:eastAsia="Times New Roman" w:hAnsi="Times New Roman" w:cs="Traditional Arabic" w:hint="cs"/>
          <w:sz w:val="32"/>
          <w:szCs w:val="32"/>
          <w:rtl/>
          <w:lang w:val="fr-FR" w:eastAsia="ar-SA"/>
        </w:rPr>
        <w:t xml:space="preserve">، وورد النصّ بحكمه المخالف، السلَم؛ وهو بيع شيء مؤجّل موصوف في الذمّة بثمن عاجلٍ، فهذا بيع منهيّ عنه لكونه مندرجاً تحت النهي الوارد في </w:t>
      </w:r>
      <w:r w:rsidRPr="007B1C97">
        <w:rPr>
          <w:rFonts w:ascii="Times New Roman" w:eastAsia="Times New Roman" w:hAnsi="Times New Roman" w:cs="Traditional Arabic" w:hint="cs"/>
          <w:sz w:val="32"/>
          <w:szCs w:val="32"/>
          <w:rtl/>
          <w:lang w:val="fr-FR" w:eastAsia="ar-SA"/>
        </w:rPr>
        <w:lastRenderedPageBreak/>
        <w:t xml:space="preserve">قوله </w:t>
      </w:r>
      <w:r w:rsidRPr="007B1C97">
        <w:rPr>
          <w:rFonts w:ascii="Times New Roman" w:eastAsia="Times New Roman" w:hAnsi="Times New Roman" w:cs="Traditional Arabic"/>
          <w:sz w:val="32"/>
          <w:szCs w:val="32"/>
          <w:lang w:val="fr-FR" w:eastAsia="ar-SA"/>
        </w:rPr>
        <w:sym w:font="AGA Arabesque" w:char="F072"/>
      </w:r>
      <w:r w:rsidRPr="007B1C97">
        <w:rPr>
          <w:rFonts w:ascii="Times New Roman" w:eastAsia="Times New Roman" w:hAnsi="Times New Roman" w:cs="Traditional Arabic" w:hint="cs"/>
          <w:sz w:val="32"/>
          <w:szCs w:val="32"/>
          <w:rtl/>
          <w:lang w:val="fr-FR" w:eastAsia="ar-SA"/>
        </w:rPr>
        <w:t xml:space="preserve"> فيما رواه عنه حكيم بن حزام :( لا تبع ما ليس عندك </w:t>
      </w:r>
      <w:r w:rsidRPr="007B1C97">
        <w:rPr>
          <w:rFonts w:ascii="Times New Roman" w:eastAsia="Times New Roman" w:hAnsi="Times New Roman" w:cs="Traditional Arabic"/>
          <w:sz w:val="32"/>
          <w:szCs w:val="32"/>
          <w:vertAlign w:val="superscript"/>
          <w:rtl/>
          <w:lang w:eastAsia="ar-SA"/>
        </w:rPr>
        <w:footnoteReference w:id="4"/>
      </w:r>
      <w:r w:rsidRPr="007B1C97">
        <w:rPr>
          <w:rFonts w:ascii="Times New Roman" w:eastAsia="Times New Roman" w:hAnsi="Times New Roman" w:cs="Traditional Arabic" w:hint="cs"/>
          <w:sz w:val="32"/>
          <w:szCs w:val="32"/>
          <w:rtl/>
          <w:lang w:val="fr-FR" w:eastAsia="ar-SA"/>
        </w:rPr>
        <w:t xml:space="preserve">)، ومقتضى هذا الاندراج أنّ عقد السلم لا يجوز لأنّه بيع معدومٍ، لكن ورد نصّ عن ابن عبّاس </w:t>
      </w:r>
      <w:r w:rsidRPr="007B1C97">
        <w:rPr>
          <w:rFonts w:ascii="Times New Roman" w:eastAsia="Times New Roman" w:hAnsi="Times New Roman" w:cs="Traditional Arabic"/>
          <w:sz w:val="32"/>
          <w:szCs w:val="32"/>
          <w:lang w:val="fr-FR" w:eastAsia="ar-SA"/>
        </w:rPr>
        <w:sym w:font="AGA Arabesque" w:char="F074"/>
      </w:r>
      <w:r w:rsidRPr="007B1C97">
        <w:rPr>
          <w:rFonts w:ascii="Times New Roman" w:eastAsia="Times New Roman" w:hAnsi="Times New Roman" w:cs="Traditional Arabic" w:hint="cs"/>
          <w:sz w:val="32"/>
          <w:szCs w:val="32"/>
          <w:rtl/>
          <w:lang w:val="fr-FR" w:eastAsia="ar-SA"/>
        </w:rPr>
        <w:t xml:space="preserve"> أنّه </w:t>
      </w:r>
      <w:r w:rsidRPr="007B1C97">
        <w:rPr>
          <w:rFonts w:ascii="Times New Roman" w:eastAsia="Times New Roman" w:hAnsi="Times New Roman" w:cs="Traditional Arabic"/>
          <w:sz w:val="32"/>
          <w:szCs w:val="32"/>
          <w:lang w:val="fr-FR" w:eastAsia="ar-SA"/>
        </w:rPr>
        <w:sym w:font="AGA Arabesque" w:char="F072"/>
      </w:r>
      <w:r w:rsidRPr="007B1C97">
        <w:rPr>
          <w:rFonts w:ascii="Times New Roman" w:eastAsia="Times New Roman" w:hAnsi="Times New Roman" w:cs="Traditional Arabic" w:hint="cs"/>
          <w:sz w:val="32"/>
          <w:szCs w:val="32"/>
          <w:rtl/>
          <w:lang w:val="fr-FR" w:eastAsia="ar-SA"/>
        </w:rPr>
        <w:t xml:space="preserve"> قال : ( مَنْ أَسْلَفَ فِي شَيْءٍ فَفِي كَيْلٍ مَعْلُومٍ وَوَزْنٍ مَعْلُومٍ إِلَى أَجَلٍ مَعْلُومٍ )</w:t>
      </w:r>
      <w:r w:rsidRPr="007B1C97">
        <w:rPr>
          <w:rFonts w:ascii="Times New Roman" w:eastAsia="Times New Roman" w:hAnsi="Times New Roman" w:cs="Traditional Arabic"/>
          <w:sz w:val="32"/>
          <w:szCs w:val="32"/>
          <w:vertAlign w:val="superscript"/>
          <w:rtl/>
          <w:lang w:eastAsia="ar-SA"/>
        </w:rPr>
        <w:footnoteReference w:id="5"/>
      </w:r>
      <w:r w:rsidRPr="007B1C97">
        <w:rPr>
          <w:rFonts w:ascii="Times New Roman" w:eastAsia="Times New Roman" w:hAnsi="Times New Roman" w:cs="Traditional Arabic" w:hint="cs"/>
          <w:sz w:val="32"/>
          <w:szCs w:val="32"/>
          <w:rtl/>
          <w:lang w:val="fr-FR" w:eastAsia="ar-SA"/>
        </w:rPr>
        <w:t>، وبمقتضاه عدل المجتهد عن عدم جواز السلم إلى جوازه، مستثنياً له من حكم الدليل العامّ بسبب النصّ الوارد، فعدول المجتهد هذا يسمّى استحساناً .</w:t>
      </w:r>
    </w:p>
    <w:p w:rsidR="007B1C97" w:rsidRPr="007B1C97" w:rsidRDefault="007B1C97" w:rsidP="007B1C97">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7B1C97">
        <w:rPr>
          <w:rFonts w:ascii="Times New Roman" w:eastAsia="Times New Roman" w:hAnsi="Times New Roman" w:cs="Traditional Arabic" w:hint="cs"/>
          <w:sz w:val="32"/>
          <w:szCs w:val="32"/>
          <w:rtl/>
          <w:lang w:val="fr-FR" w:eastAsia="ar-SA"/>
        </w:rPr>
        <w:t xml:space="preserve">- ومن أمثلة ما اندرج </w:t>
      </w:r>
      <w:r w:rsidRPr="007B1C97">
        <w:rPr>
          <w:rFonts w:ascii="Times New Roman" w:eastAsia="Times New Roman" w:hAnsi="Times New Roman" w:cs="Traditional Arabic" w:hint="cs"/>
          <w:sz w:val="32"/>
          <w:szCs w:val="32"/>
          <w:u w:val="single"/>
          <w:rtl/>
          <w:lang w:val="fr-FR" w:eastAsia="ar-SA"/>
        </w:rPr>
        <w:t>تحت قاعدة من قواعد الشرع</w:t>
      </w:r>
      <w:r w:rsidRPr="007B1C97">
        <w:rPr>
          <w:rFonts w:ascii="Times New Roman" w:eastAsia="Times New Roman" w:hAnsi="Times New Roman" w:cs="Traditional Arabic" w:hint="cs"/>
          <w:sz w:val="32"/>
          <w:szCs w:val="32"/>
          <w:rtl/>
          <w:lang w:val="fr-FR" w:eastAsia="ar-SA"/>
        </w:rPr>
        <w:t xml:space="preserve"> وورد النصّ باستثنائه الأكل نسياناً في رمضان، فإنّ مقتضى القاعدة المقرّرة أنّ الصوم يفسد بفساد ركنه؛ أي أنّ الإمساك عن المفطرات وهو ركن الصوم يفوّت بالأكل لأنّ الإمساك لا يبقى معه، لكنّ الأكل مع النسيان في رمضان غير مفسد للصوم استثناء من القاعدة العامّة بسبب النصّ الوارد عن النبيّ </w:t>
      </w:r>
      <w:r w:rsidRPr="007B1C97">
        <w:rPr>
          <w:rFonts w:ascii="Times New Roman" w:eastAsia="Times New Roman" w:hAnsi="Times New Roman" w:cs="Traditional Arabic"/>
          <w:sz w:val="32"/>
          <w:szCs w:val="32"/>
          <w:lang w:val="fr-FR" w:eastAsia="ar-SA"/>
        </w:rPr>
        <w:sym w:font="AGA Arabesque" w:char="F072"/>
      </w:r>
      <w:r w:rsidRPr="007B1C97">
        <w:rPr>
          <w:rFonts w:ascii="Times New Roman" w:eastAsia="Times New Roman" w:hAnsi="Times New Roman" w:cs="Traditional Arabic" w:hint="cs"/>
          <w:sz w:val="32"/>
          <w:szCs w:val="32"/>
          <w:rtl/>
          <w:lang w:val="fr-FR" w:eastAsia="ar-SA"/>
        </w:rPr>
        <w:t xml:space="preserve"> فيما رواه أبو هريرة : (من نسي وهو صائم فأكل أو شرب فليتمّ صومه فإنّما الله أطعمه وسقاه )</w:t>
      </w:r>
      <w:r w:rsidRPr="007B1C97">
        <w:rPr>
          <w:rFonts w:ascii="Times New Roman" w:eastAsia="Times New Roman" w:hAnsi="Times New Roman" w:cs="Traditional Arabic"/>
          <w:sz w:val="32"/>
          <w:szCs w:val="32"/>
          <w:vertAlign w:val="superscript"/>
          <w:rtl/>
          <w:lang w:eastAsia="ar-SA"/>
        </w:rPr>
        <w:footnoteReference w:id="6"/>
      </w:r>
      <w:r w:rsidRPr="007B1C97">
        <w:rPr>
          <w:rFonts w:ascii="Times New Roman" w:eastAsia="Times New Roman" w:hAnsi="Times New Roman" w:cs="Traditional Arabic" w:hint="cs"/>
          <w:sz w:val="32"/>
          <w:szCs w:val="32"/>
          <w:rtl/>
          <w:lang w:val="fr-FR" w:eastAsia="ar-SA"/>
        </w:rPr>
        <w:t xml:space="preserve">، فإذا عدل المجتهد عن القاعدة العامّة؛ وهي فساد الصوم بالأكل نسياناً إلى عدم فساده بهذا الدليل، كان هذا العدول هو الاستحسان .. والملاحظ أنّ </w:t>
      </w:r>
      <w:r w:rsidRPr="007B1C97">
        <w:rPr>
          <w:rFonts w:ascii="Times New Roman" w:eastAsia="Times New Roman" w:hAnsi="Times New Roman" w:cs="Traditional Arabic" w:hint="cs"/>
          <w:b/>
          <w:bCs/>
          <w:sz w:val="32"/>
          <w:szCs w:val="32"/>
          <w:rtl/>
          <w:lang w:val="fr-FR" w:eastAsia="ar-SA"/>
        </w:rPr>
        <w:t xml:space="preserve">المالكية </w:t>
      </w:r>
      <w:r w:rsidRPr="007B1C97">
        <w:rPr>
          <w:rFonts w:ascii="Times New Roman" w:eastAsia="Times New Roman" w:hAnsi="Times New Roman" w:cs="Traditional Arabic" w:hint="cs"/>
          <w:sz w:val="32"/>
          <w:szCs w:val="32"/>
          <w:rtl/>
          <w:lang w:val="fr-FR" w:eastAsia="ar-SA"/>
        </w:rPr>
        <w:t>يرون فساد الصوم بالأكل نسياناً في رمضان، أمّا صوم النافلة فلا يفسد ..</w:t>
      </w:r>
    </w:p>
    <w:p w:rsidR="007B1C97" w:rsidRPr="007B1C97" w:rsidRDefault="007B1C97" w:rsidP="007B1C97">
      <w:pPr>
        <w:jc w:val="both"/>
        <w:rPr>
          <w:rFonts w:ascii="Traditional Arabic" w:hAnsi="Traditional Arabic" w:cs="Traditional Arabic"/>
          <w:sz w:val="32"/>
          <w:szCs w:val="32"/>
        </w:rPr>
      </w:pPr>
    </w:p>
    <w:sectPr w:rsidR="007B1C97" w:rsidRPr="007B1C97" w:rsidSect="00AF347D">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66F" w:rsidRDefault="00DD766F" w:rsidP="007B1C97">
      <w:r>
        <w:separator/>
      </w:r>
    </w:p>
  </w:endnote>
  <w:endnote w:type="continuationSeparator" w:id="0">
    <w:p w:rsidR="00DD766F" w:rsidRDefault="00DD766F" w:rsidP="007B1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auto"/>
    <w:pitch w:val="variable"/>
    <w:sig w:usb0="8000202F" w:usb1="90000008" w:usb2="00000008" w:usb3="00000000" w:csb0="00000041" w:csb1="00000000"/>
  </w:font>
  <w:font w:name="AGA Arabesque">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66F" w:rsidRDefault="00DD766F" w:rsidP="007B1C97">
      <w:r>
        <w:separator/>
      </w:r>
    </w:p>
  </w:footnote>
  <w:footnote w:type="continuationSeparator" w:id="0">
    <w:p w:rsidR="00DD766F" w:rsidRDefault="00DD766F" w:rsidP="007B1C97">
      <w:r>
        <w:continuationSeparator/>
      </w:r>
    </w:p>
  </w:footnote>
  <w:footnote w:id="1">
    <w:p w:rsidR="007B1C97" w:rsidRDefault="007B1C97" w:rsidP="007B1C97">
      <w:pPr>
        <w:pStyle w:val="FootnoteText"/>
        <w:rPr>
          <w:rFonts w:hint="cs"/>
          <w:rtl/>
        </w:rPr>
      </w:pPr>
      <w:r>
        <w:rPr>
          <w:rStyle w:val="FootnoteReference"/>
        </w:rPr>
        <w:footnoteRef/>
      </w:r>
      <w:r>
        <w:rPr>
          <w:lang w:bidi="ar-SA"/>
        </w:rPr>
        <w:t xml:space="preserve"> </w:t>
      </w:r>
      <w:r>
        <w:rPr>
          <w:rFonts w:hint="cs"/>
          <w:rtl/>
        </w:rPr>
        <w:t xml:space="preserve"> - سورة الزمر : الآية </w:t>
      </w:r>
      <w:r>
        <w:rPr>
          <w:rFonts w:hint="cs"/>
          <w:sz w:val="24"/>
          <w:szCs w:val="24"/>
          <w:rtl/>
        </w:rPr>
        <w:t>18</w:t>
      </w:r>
      <w:r>
        <w:rPr>
          <w:rFonts w:hint="cs"/>
          <w:rtl/>
        </w:rPr>
        <w:t xml:space="preserve"> .</w:t>
      </w:r>
    </w:p>
  </w:footnote>
  <w:footnote w:id="2">
    <w:p w:rsidR="007B1C97" w:rsidRDefault="007B1C97" w:rsidP="007B1C97">
      <w:pPr>
        <w:pStyle w:val="FootnoteText"/>
        <w:rPr>
          <w:rFonts w:hint="cs"/>
          <w:rtl/>
        </w:rPr>
      </w:pPr>
      <w:r>
        <w:rPr>
          <w:rStyle w:val="FootnoteReference"/>
        </w:rPr>
        <w:footnoteRef/>
      </w:r>
      <w:r>
        <w:rPr>
          <w:lang w:bidi="ar-SA"/>
        </w:rPr>
        <w:t xml:space="preserve"> </w:t>
      </w:r>
      <w:r>
        <w:rPr>
          <w:rFonts w:hint="cs"/>
          <w:rtl/>
        </w:rPr>
        <w:t xml:space="preserve"> </w:t>
      </w:r>
      <w:r>
        <w:rPr>
          <w:rFonts w:hint="cs"/>
          <w:rtl/>
        </w:rPr>
        <w:t xml:space="preserve">- </w:t>
      </w:r>
      <w:r>
        <w:rPr>
          <w:rFonts w:hint="cs"/>
          <w:rtl/>
        </w:rPr>
        <w:t xml:space="preserve">سورة الأعراف : الآية </w:t>
      </w:r>
      <w:r>
        <w:rPr>
          <w:rFonts w:hint="cs"/>
          <w:sz w:val="24"/>
          <w:szCs w:val="24"/>
          <w:rtl/>
        </w:rPr>
        <w:t>145</w:t>
      </w:r>
      <w:r>
        <w:rPr>
          <w:rFonts w:hint="cs"/>
          <w:rtl/>
        </w:rPr>
        <w:t xml:space="preserve"> .</w:t>
      </w:r>
    </w:p>
  </w:footnote>
  <w:footnote w:id="3">
    <w:p w:rsidR="007B1C97" w:rsidRDefault="007B1C97" w:rsidP="007B1C97">
      <w:pPr>
        <w:pStyle w:val="FootnoteText"/>
        <w:rPr>
          <w:rFonts w:hint="cs"/>
          <w:rtl/>
        </w:rPr>
      </w:pPr>
      <w:r>
        <w:rPr>
          <w:rStyle w:val="FootnoteReference"/>
        </w:rPr>
        <w:footnoteRef/>
      </w:r>
      <w:r>
        <w:rPr>
          <w:lang w:bidi="ar-SA"/>
        </w:rPr>
        <w:t xml:space="preserve"> </w:t>
      </w:r>
      <w:r>
        <w:rPr>
          <w:rFonts w:hint="cs"/>
          <w:rtl/>
        </w:rPr>
        <w:t xml:space="preserve"> </w:t>
      </w:r>
      <w:r>
        <w:rPr>
          <w:rFonts w:hint="cs"/>
          <w:rtl/>
        </w:rPr>
        <w:t>- رواه الإمام أحمد موقوفاً على ابن مسعود بإسناد حسن .</w:t>
      </w:r>
    </w:p>
  </w:footnote>
  <w:footnote w:id="4">
    <w:p w:rsidR="007B1C97" w:rsidRDefault="007B1C97" w:rsidP="007B1C97">
      <w:pPr>
        <w:pStyle w:val="FootnoteText"/>
        <w:rPr>
          <w:rFonts w:hint="cs"/>
          <w:rtl/>
        </w:rPr>
      </w:pPr>
      <w:r>
        <w:rPr>
          <w:rStyle w:val="FootnoteReference"/>
        </w:rPr>
        <w:footnoteRef/>
      </w:r>
      <w:r>
        <w:rPr>
          <w:lang w:bidi="ar-SA"/>
        </w:rPr>
        <w:t xml:space="preserve"> </w:t>
      </w:r>
      <w:r>
        <w:rPr>
          <w:rFonts w:hint="cs"/>
          <w:rtl/>
        </w:rPr>
        <w:t xml:space="preserve"> </w:t>
      </w:r>
      <w:r>
        <w:rPr>
          <w:rFonts w:hint="cs"/>
          <w:rtl/>
        </w:rPr>
        <w:t>- رواه الترمذي وأبو داود والنسائي وابن ماجة والإمام أحمد ..</w:t>
      </w:r>
    </w:p>
  </w:footnote>
  <w:footnote w:id="5">
    <w:p w:rsidR="007B1C97" w:rsidRDefault="007B1C97" w:rsidP="007B1C97">
      <w:pPr>
        <w:pStyle w:val="FootnoteText"/>
        <w:rPr>
          <w:rFonts w:hint="cs"/>
          <w:rtl/>
        </w:rPr>
      </w:pPr>
      <w:r>
        <w:rPr>
          <w:rStyle w:val="FootnoteReference"/>
        </w:rPr>
        <w:footnoteRef/>
      </w:r>
      <w:r>
        <w:rPr>
          <w:lang w:bidi="ar-SA"/>
        </w:rPr>
        <w:t xml:space="preserve"> </w:t>
      </w:r>
      <w:r>
        <w:rPr>
          <w:rFonts w:hint="cs"/>
          <w:rtl/>
        </w:rPr>
        <w:t xml:space="preserve"> </w:t>
      </w:r>
      <w:r>
        <w:rPr>
          <w:rFonts w:hint="cs"/>
          <w:rtl/>
        </w:rPr>
        <w:t xml:space="preserve">- </w:t>
      </w:r>
      <w:r>
        <w:rPr>
          <w:rFonts w:hint="cs"/>
          <w:rtl/>
        </w:rPr>
        <w:t xml:space="preserve">أخرجه الجماعة واللفظ للبخاري، كتاب السلم، رقم </w:t>
      </w:r>
      <w:r>
        <w:rPr>
          <w:rFonts w:hint="cs"/>
          <w:sz w:val="24"/>
          <w:szCs w:val="24"/>
          <w:rtl/>
        </w:rPr>
        <w:t>2086</w:t>
      </w:r>
      <w:r>
        <w:rPr>
          <w:rFonts w:hint="cs"/>
          <w:rtl/>
        </w:rPr>
        <w:t xml:space="preserve"> ..</w:t>
      </w:r>
    </w:p>
  </w:footnote>
  <w:footnote w:id="6">
    <w:p w:rsidR="007B1C97" w:rsidRDefault="007B1C97" w:rsidP="007B1C97">
      <w:pPr>
        <w:pStyle w:val="FootnoteText"/>
        <w:rPr>
          <w:rFonts w:hint="cs"/>
          <w:rtl/>
        </w:rPr>
      </w:pPr>
      <w:r>
        <w:rPr>
          <w:rStyle w:val="FootnoteReference"/>
        </w:rPr>
        <w:footnoteRef/>
      </w:r>
      <w:r>
        <w:rPr>
          <w:lang w:bidi="ar-SA"/>
        </w:rPr>
        <w:t xml:space="preserve"> </w:t>
      </w:r>
      <w:r>
        <w:rPr>
          <w:rFonts w:hint="cs"/>
          <w:rtl/>
        </w:rPr>
        <w:t xml:space="preserve"> </w:t>
      </w:r>
      <w:r>
        <w:rPr>
          <w:rFonts w:hint="cs"/>
          <w:rtl/>
        </w:rPr>
        <w:t>- أخرجه الجماعة إلاّ النسائي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C97"/>
    <w:rsid w:val="000D6782"/>
    <w:rsid w:val="007B1C97"/>
    <w:rsid w:val="00AF347D"/>
    <w:rsid w:val="00DD76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F90B4E-E62E-4A3C-BE24-148BFC6C2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bidi="ar-DZ"/>
    </w:rPr>
  </w:style>
  <w:style w:type="paragraph" w:styleId="Heading8">
    <w:name w:val="heading 8"/>
    <w:basedOn w:val="Normal"/>
    <w:next w:val="Normal"/>
    <w:link w:val="Heading8Char"/>
    <w:qFormat/>
    <w:rsid w:val="007B1C97"/>
    <w:pPr>
      <w:keepNext/>
      <w:overflowPunct w:val="0"/>
      <w:autoSpaceDE w:val="0"/>
      <w:autoSpaceDN w:val="0"/>
      <w:adjustRightInd w:val="0"/>
      <w:jc w:val="lowKashida"/>
      <w:textAlignment w:val="baseline"/>
      <w:outlineLvl w:val="7"/>
    </w:pPr>
    <w:rPr>
      <w:rFonts w:ascii="Times New Roman" w:eastAsia="Times New Roman" w:hAnsi="Times New Roman" w:cs="Traditional Arabic"/>
      <w:b/>
      <w:bCs/>
      <w:sz w:val="32"/>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7B1C97"/>
    <w:rPr>
      <w:rFonts w:ascii="Times New Roman" w:eastAsia="Times New Roman" w:hAnsi="Times New Roman" w:cs="Traditional Arabic"/>
      <w:b/>
      <w:bCs/>
      <w:sz w:val="32"/>
      <w:szCs w:val="32"/>
      <w:lang w:eastAsia="ar-SA" w:bidi="ar-DZ"/>
    </w:rPr>
  </w:style>
  <w:style w:type="paragraph" w:styleId="FootnoteText">
    <w:name w:val="footnote text"/>
    <w:basedOn w:val="Normal"/>
    <w:link w:val="FootnoteTextChar"/>
    <w:autoRedefine/>
    <w:semiHidden/>
    <w:rsid w:val="007B1C97"/>
    <w:pPr>
      <w:overflowPunct w:val="0"/>
      <w:autoSpaceDE w:val="0"/>
      <w:autoSpaceDN w:val="0"/>
      <w:adjustRightInd w:val="0"/>
      <w:jc w:val="both"/>
      <w:textAlignment w:val="baseline"/>
    </w:pPr>
    <w:rPr>
      <w:rFonts w:ascii="Times New Roman" w:eastAsia="Times New Roman" w:hAnsi="Times New Roman" w:cs="Traditional Arabic"/>
      <w:sz w:val="28"/>
      <w:szCs w:val="28"/>
      <w:lang w:eastAsia="ar-SA"/>
    </w:rPr>
  </w:style>
  <w:style w:type="character" w:customStyle="1" w:styleId="FootnoteTextChar">
    <w:name w:val="Footnote Text Char"/>
    <w:basedOn w:val="DefaultParagraphFont"/>
    <w:link w:val="FootnoteText"/>
    <w:semiHidden/>
    <w:rsid w:val="007B1C97"/>
    <w:rPr>
      <w:rFonts w:ascii="Times New Roman" w:eastAsia="Times New Roman" w:hAnsi="Times New Roman" w:cs="Traditional Arabic"/>
      <w:sz w:val="28"/>
      <w:szCs w:val="28"/>
      <w:lang w:eastAsia="ar-SA" w:bidi="ar-DZ"/>
    </w:rPr>
  </w:style>
  <w:style w:type="character" w:styleId="FootnoteReference">
    <w:name w:val="footnote reference"/>
    <w:semiHidden/>
    <w:rsid w:val="007B1C97"/>
    <w:rPr>
      <w:vertAlign w:val="superscript"/>
    </w:rPr>
  </w:style>
  <w:style w:type="paragraph" w:styleId="BodyText2">
    <w:name w:val="Body Text 2"/>
    <w:basedOn w:val="Normal"/>
    <w:link w:val="BodyText2Char"/>
    <w:semiHidden/>
    <w:rsid w:val="007B1C97"/>
    <w:pPr>
      <w:overflowPunct w:val="0"/>
      <w:autoSpaceDE w:val="0"/>
      <w:autoSpaceDN w:val="0"/>
      <w:adjustRightInd w:val="0"/>
      <w:jc w:val="lowKashida"/>
      <w:textAlignment w:val="baseline"/>
    </w:pPr>
    <w:rPr>
      <w:rFonts w:ascii="Times New Roman" w:eastAsia="Times New Roman" w:hAnsi="Times New Roman" w:cs="Traditional Arabic"/>
      <w:sz w:val="32"/>
      <w:szCs w:val="32"/>
      <w:lang w:val="fr-FR" w:eastAsia="ar-SA"/>
    </w:rPr>
  </w:style>
  <w:style w:type="character" w:customStyle="1" w:styleId="BodyText2Char">
    <w:name w:val="Body Text 2 Char"/>
    <w:basedOn w:val="DefaultParagraphFont"/>
    <w:link w:val="BodyText2"/>
    <w:semiHidden/>
    <w:rsid w:val="007B1C97"/>
    <w:rPr>
      <w:rFonts w:ascii="Times New Roman" w:eastAsia="Times New Roman" w:hAnsi="Times New Roman" w:cs="Traditional Arabic"/>
      <w:sz w:val="32"/>
      <w:szCs w:val="32"/>
      <w:lang w:val="fr-FR" w:eastAsia="ar-SA" w:bidi="ar-DZ"/>
    </w:rPr>
  </w:style>
  <w:style w:type="paragraph" w:styleId="BodyTextIndent">
    <w:name w:val="Body Text Indent"/>
    <w:basedOn w:val="Normal"/>
    <w:link w:val="BodyTextIndentChar"/>
    <w:uiPriority w:val="99"/>
    <w:semiHidden/>
    <w:unhideWhenUsed/>
    <w:rsid w:val="007B1C97"/>
    <w:pPr>
      <w:spacing w:after="120"/>
      <w:ind w:left="283"/>
    </w:pPr>
  </w:style>
  <w:style w:type="character" w:customStyle="1" w:styleId="BodyTextIndentChar">
    <w:name w:val="Body Text Indent Char"/>
    <w:basedOn w:val="DefaultParagraphFont"/>
    <w:link w:val="BodyTextIndent"/>
    <w:uiPriority w:val="99"/>
    <w:semiHidden/>
    <w:rsid w:val="007B1C97"/>
    <w:rPr>
      <w:lang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746</Words>
  <Characters>4256</Characters>
  <Application>Microsoft Office Word</Application>
  <DocSecurity>0</DocSecurity>
  <Lines>35</Lines>
  <Paragraphs>9</Paragraphs>
  <ScaleCrop>false</ScaleCrop>
  <Company/>
  <LinksUpToDate>false</LinksUpToDate>
  <CharactersWithSpaces>4993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azz6419@yahoo.com</dc:creator>
  <cp:keywords/>
  <dc:description/>
  <cp:lastModifiedBy>azz6419@yahoo.com</cp:lastModifiedBy>
  <cp:revision>1</cp:revision>
  <dcterms:created xsi:type="dcterms:W3CDTF">2020-03-12T13:32:00Z</dcterms:created>
  <dcterms:modified xsi:type="dcterms:W3CDTF">2020-03-12T13:40:00Z</dcterms:modified>
</cp:coreProperties>
</file>