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1DB" w:rsidRPr="00D501DB" w:rsidRDefault="00D501DB" w:rsidP="00D501DB">
      <w:pPr>
        <w:spacing w:line="360" w:lineRule="auto"/>
        <w:jc w:val="both"/>
        <w:rPr>
          <w:rFonts w:asciiTheme="majorBidi" w:hAnsiTheme="majorBidi" w:cstheme="majorBidi"/>
          <w:b/>
          <w:bCs/>
          <w:sz w:val="24"/>
          <w:szCs w:val="24"/>
        </w:rPr>
      </w:pPr>
      <w:r w:rsidRPr="00D501DB">
        <w:rPr>
          <w:rFonts w:asciiTheme="majorBidi" w:hAnsiTheme="majorBidi" w:cstheme="majorBidi"/>
          <w:b/>
          <w:bCs/>
          <w:sz w:val="24"/>
          <w:szCs w:val="24"/>
        </w:rPr>
        <w:t>Le reste du cours de la critique psychanalytique</w:t>
      </w:r>
    </w:p>
    <w:p w:rsidR="00D501DB" w:rsidRPr="0083274C" w:rsidRDefault="00D501DB" w:rsidP="00D501DB">
      <w:pPr>
        <w:spacing w:line="360" w:lineRule="auto"/>
        <w:jc w:val="both"/>
        <w:rPr>
          <w:rFonts w:asciiTheme="majorBidi" w:hAnsiTheme="majorBidi" w:cstheme="majorBidi"/>
          <w:i/>
          <w:iCs/>
          <w:sz w:val="24"/>
          <w:szCs w:val="24"/>
        </w:rPr>
      </w:pPr>
      <w:r>
        <w:rPr>
          <w:rFonts w:asciiTheme="majorBidi" w:hAnsiTheme="majorBidi" w:cstheme="majorBidi"/>
          <w:sz w:val="24"/>
          <w:szCs w:val="24"/>
        </w:rPr>
        <w:t>C’est avant tout ce fond commun que les psychanalystes considèrent de leur « 3</w:t>
      </w:r>
      <w:r w:rsidRPr="005167BC">
        <w:rPr>
          <w:rFonts w:asciiTheme="majorBidi" w:hAnsiTheme="majorBidi" w:cstheme="majorBidi"/>
          <w:sz w:val="24"/>
          <w:szCs w:val="24"/>
          <w:vertAlign w:val="superscript"/>
        </w:rPr>
        <w:t>ème</w:t>
      </w:r>
      <w:r>
        <w:rPr>
          <w:rFonts w:asciiTheme="majorBidi" w:hAnsiTheme="majorBidi" w:cstheme="majorBidi"/>
          <w:sz w:val="24"/>
          <w:szCs w:val="24"/>
        </w:rPr>
        <w:t xml:space="preserve"> œil » selon André Grine. (Aussi a-t-on pu leur reprocher de réduire tous les textes à des avatars du mythe d’Œdipe), mais d’autres montrent bien comment un auteur concilie une mythologie commune à des fantasmes individuels pour élaborer ce que Mauron appelle son « mythe personnel »</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Selon Mauron, au-delà de certaines « métaphores obsédantes » particularité d’écritures, lacunes, répétitions ou expressions insolites, au-delà des structures dramatiques ou poétiques, se dessine une structure signifiante fondamentale qui décrit un des destins possibles de l’auteur. Ce destin « mythique », mais « personnel », est comparable au sens « latent » du rêve. Il compose un système symbolique qui n’est pas arbitraire. Si l’œuvre est un jeu, elle permet de mettre en scène la dynamique des conflits, la psychanalyse de la littérature, qui traque les rejetons pulsionnels, elle aussi est un jeu, en sorte que la prétention chez certains psychanalystes de découvrir l’ultime raison d’une œuvre est illusoire. L’analyse permet de « consymboliser » (Baudouin), c’est-à-dire de participer au jeu des symboles auquel le texte convie pour atteindre la vérité d’un auteur.</w:t>
      </w:r>
    </w:p>
    <w:p w:rsidR="00D501DB" w:rsidRPr="00192C51" w:rsidRDefault="00D501DB" w:rsidP="00D501DB">
      <w:pPr>
        <w:spacing w:line="360" w:lineRule="auto"/>
        <w:jc w:val="both"/>
        <w:rPr>
          <w:rFonts w:asciiTheme="majorBidi" w:hAnsiTheme="majorBidi" w:cstheme="majorBidi"/>
          <w:b/>
          <w:bCs/>
          <w:sz w:val="24"/>
          <w:szCs w:val="24"/>
        </w:rPr>
      </w:pPr>
      <w:r w:rsidRPr="00192C51">
        <w:rPr>
          <w:rFonts w:asciiTheme="majorBidi" w:hAnsiTheme="majorBidi" w:cstheme="majorBidi"/>
          <w:b/>
          <w:bCs/>
          <w:sz w:val="24"/>
          <w:szCs w:val="24"/>
        </w:rPr>
        <w:t>LA PSYCHOCRITIQUE DE CHARLES MAURON</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Le mot a été forgé en 1948 par Charles Mauron dix ans après ses premiers travaux sur Mallarmé en 1938 ; il avait déchiffré les poèmes de ce dernier, en éclairant les textes les uns par les autres. Devant les réseaux de métaphores qu’il découvrait, seuls les principes freudiens de l’interprétation des rêves, lui semblaient permettre d’aller plus loin dans compréhension de l’œuvre et de ses enjeux vitaux. En créant ce terme de psychocritique, Mauron voulait souligner l’autonomie d’une méthode qui doit « forger ses propres outils » en fonction de sa visée et de la production esthétique. On pourrait trouver l’origine de cette approche dans les travaux de Charles Baudouin (psychanalyse de l’art, 1929). Il y tentait de reconstituer la genèse d’une œuvre par la biographie. A partir d’une conception de l’œuvre comme organisation de symboles, Charles Mauron invente une méthode, analogue à la pratique analytique, mais qui possède son originalité car elle donne la primauté au point de vue critique et non au point de vue clinique. On peut dire qu’il est le seul inventeur d’une méthode spécifique, analogue mais non identique. Ses travaux sont considérables : Mallarmé, Racine, Baudelaire, Molière, Valéry, Hugo…</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Dans son ouvrage  </w:t>
      </w:r>
      <w:r w:rsidRPr="00192C51">
        <w:rPr>
          <w:rFonts w:asciiTheme="majorBidi" w:hAnsiTheme="majorBidi" w:cstheme="majorBidi"/>
          <w:i/>
          <w:iCs/>
          <w:sz w:val="24"/>
          <w:szCs w:val="24"/>
        </w:rPr>
        <w:t>des méthodes obsédantes au mythe personnel</w:t>
      </w:r>
      <w:r>
        <w:rPr>
          <w:rFonts w:asciiTheme="majorBidi" w:hAnsiTheme="majorBidi" w:cstheme="majorBidi"/>
          <w:sz w:val="24"/>
          <w:szCs w:val="24"/>
        </w:rPr>
        <w:t>, Mauron définit sa démarche.</w:t>
      </w:r>
    </w:p>
    <w:p w:rsidR="00D501DB" w:rsidRPr="00F65833" w:rsidRDefault="00D501DB" w:rsidP="00D501DB">
      <w:pPr>
        <w:spacing w:line="360" w:lineRule="auto"/>
        <w:jc w:val="both"/>
        <w:rPr>
          <w:rFonts w:asciiTheme="majorBidi" w:hAnsiTheme="majorBidi" w:cstheme="majorBidi"/>
          <w:b/>
          <w:bCs/>
          <w:sz w:val="24"/>
          <w:szCs w:val="24"/>
        </w:rPr>
      </w:pPr>
      <w:r w:rsidRPr="00F65833">
        <w:rPr>
          <w:rFonts w:asciiTheme="majorBidi" w:hAnsiTheme="majorBidi" w:cstheme="majorBidi"/>
          <w:b/>
          <w:bCs/>
          <w:sz w:val="24"/>
          <w:szCs w:val="24"/>
        </w:rPr>
        <w:lastRenderedPageBreak/>
        <w:t>DEMARCHE :</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Ayant une vocation universelle, n’étant limitée ni par le genre, ni par l’époque, la psychocritique vise d’abord la personnalité inconsciente de l’écrivain. En s’appuyant sur la psychanalyse considérée comme science, il s’agit de chercher l’association d’idées involontaires sous les structures concertées du texte. On procède d’abord à une superposition de textes qui conduit aux réseaux d’associations et au groupement d’images liées à la production fantasmatique puis on cherche les modifications de ces structures souterraines pour mettre à jour un mythe personnel. Celui-ci renvoie à la personnalité inconsciente de l’écrivain, reconnaissable malgré les avatars, les données biographiques devant vérifier l’interprétation, mais ne prenant sens que par la lecture des textes. On lit donc la vie à la lumière de l’œuvre.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Cette méthode suppose un long apprentissage et de plus, exige une longue fréquentation des textes : Mauron savait Mallarmé par cœur. Mauron expose de façon pédagogique, les quatre temps de sa méthode.</w:t>
      </w:r>
    </w:p>
    <w:p w:rsidR="00D501DB" w:rsidRDefault="00D501DB" w:rsidP="00D501DB">
      <w:pPr>
        <w:pStyle w:val="Paragraphedeliste"/>
        <w:numPr>
          <w:ilvl w:val="0"/>
          <w:numId w:val="1"/>
        </w:numPr>
        <w:spacing w:line="360" w:lineRule="auto"/>
        <w:ind w:right="0"/>
        <w:rPr>
          <w:rFonts w:asciiTheme="majorBidi" w:hAnsiTheme="majorBidi" w:cstheme="majorBidi"/>
          <w:sz w:val="24"/>
          <w:szCs w:val="24"/>
        </w:rPr>
      </w:pPr>
      <w:r>
        <w:rPr>
          <w:rFonts w:asciiTheme="majorBidi" w:hAnsiTheme="majorBidi" w:cstheme="majorBidi"/>
          <w:sz w:val="24"/>
          <w:szCs w:val="24"/>
        </w:rPr>
        <w:t>Les « superpositions » permettent la structuration de l’œuvre autour de réseaux d’associations.</w:t>
      </w:r>
    </w:p>
    <w:p w:rsidR="00D501DB" w:rsidRDefault="00D501DB" w:rsidP="00D501DB">
      <w:pPr>
        <w:pStyle w:val="Paragraphedeliste"/>
        <w:numPr>
          <w:ilvl w:val="0"/>
          <w:numId w:val="1"/>
        </w:numPr>
        <w:spacing w:line="360" w:lineRule="auto"/>
        <w:ind w:right="0"/>
        <w:rPr>
          <w:rFonts w:asciiTheme="majorBidi" w:hAnsiTheme="majorBidi" w:cstheme="majorBidi"/>
          <w:sz w:val="24"/>
          <w:szCs w:val="24"/>
        </w:rPr>
      </w:pPr>
      <w:r>
        <w:rPr>
          <w:rFonts w:asciiTheme="majorBidi" w:hAnsiTheme="majorBidi" w:cstheme="majorBidi"/>
          <w:sz w:val="24"/>
          <w:szCs w:val="24"/>
        </w:rPr>
        <w:t>Le « mythe personnel », sa genèse et son évolution, qui symbolise la personnalité inconsciente et son histoire</w:t>
      </w:r>
    </w:p>
    <w:p w:rsidR="00D501DB" w:rsidRDefault="00D501DB" w:rsidP="00D501DB">
      <w:pPr>
        <w:pStyle w:val="Paragraphedeliste"/>
        <w:numPr>
          <w:ilvl w:val="0"/>
          <w:numId w:val="1"/>
        </w:numPr>
        <w:spacing w:line="360" w:lineRule="auto"/>
        <w:ind w:right="0"/>
        <w:rPr>
          <w:rFonts w:asciiTheme="majorBidi" w:hAnsiTheme="majorBidi" w:cstheme="majorBidi"/>
          <w:sz w:val="24"/>
          <w:szCs w:val="24"/>
        </w:rPr>
      </w:pPr>
      <w:r>
        <w:rPr>
          <w:rFonts w:asciiTheme="majorBidi" w:hAnsiTheme="majorBidi" w:cstheme="majorBidi"/>
          <w:sz w:val="24"/>
          <w:szCs w:val="24"/>
        </w:rPr>
        <w:t xml:space="preserve">La mise à jour de figure et de situations dramatiques liées à la production fantasmatique </w:t>
      </w:r>
    </w:p>
    <w:p w:rsidR="00D501DB" w:rsidRDefault="00D501DB" w:rsidP="00D501DB">
      <w:pPr>
        <w:pStyle w:val="Paragraphedeliste"/>
        <w:numPr>
          <w:ilvl w:val="0"/>
          <w:numId w:val="1"/>
        </w:numPr>
        <w:spacing w:line="360" w:lineRule="auto"/>
        <w:ind w:right="0"/>
        <w:rPr>
          <w:rFonts w:asciiTheme="majorBidi" w:hAnsiTheme="majorBidi" w:cstheme="majorBidi"/>
          <w:sz w:val="24"/>
          <w:szCs w:val="24"/>
        </w:rPr>
      </w:pPr>
      <w:r>
        <w:rPr>
          <w:rFonts w:asciiTheme="majorBidi" w:hAnsiTheme="majorBidi" w:cstheme="majorBidi"/>
          <w:sz w:val="24"/>
          <w:szCs w:val="24"/>
        </w:rPr>
        <w:t>L’étude des données biographiques qui servent de vérification à l’interprétation, mais ne reçoivent leur importance et leur sens que de la lecture des textes.</w:t>
      </w:r>
    </w:p>
    <w:p w:rsidR="00D501DB" w:rsidRDefault="00D501DB" w:rsidP="00D501DB">
      <w:pPr>
        <w:tabs>
          <w:tab w:val="left" w:pos="1275"/>
        </w:tabs>
        <w:spacing w:line="240" w:lineRule="auto"/>
        <w:jc w:val="both"/>
        <w:rPr>
          <w:rFonts w:asciiTheme="majorBidi" w:hAnsiTheme="majorBidi" w:cstheme="majorBidi"/>
          <w:sz w:val="24"/>
          <w:szCs w:val="24"/>
        </w:rPr>
      </w:pPr>
      <w:r>
        <w:rPr>
          <w:rFonts w:asciiTheme="majorBidi" w:hAnsiTheme="majorBidi" w:cstheme="majorBidi"/>
          <w:sz w:val="24"/>
          <w:szCs w:val="24"/>
        </w:rPr>
        <w:tab/>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La méthode est à la fois indicielle, structurale (synchronique) et historique (diachronique). Enfin, Mauron est l’un des rares à partir à l’aventure avec les textes pour découvrir la structuration symbolique d’un conflit psychique qu’il ignore au départ.</w:t>
      </w:r>
    </w:p>
    <w:p w:rsidR="00D501DB" w:rsidRPr="00687F64" w:rsidRDefault="00D501DB" w:rsidP="00D501DB">
      <w:pPr>
        <w:spacing w:line="360" w:lineRule="auto"/>
        <w:jc w:val="both"/>
        <w:rPr>
          <w:rFonts w:asciiTheme="majorBidi" w:hAnsiTheme="majorBidi" w:cstheme="majorBidi"/>
          <w:b/>
          <w:bCs/>
          <w:sz w:val="24"/>
          <w:szCs w:val="24"/>
        </w:rPr>
      </w:pPr>
      <w:r w:rsidRPr="00687F64">
        <w:rPr>
          <w:rFonts w:asciiTheme="majorBidi" w:hAnsiTheme="majorBidi" w:cstheme="majorBidi"/>
          <w:b/>
          <w:bCs/>
          <w:sz w:val="24"/>
          <w:szCs w:val="24"/>
        </w:rPr>
        <w:t>LE MYTHE PERSONNEL</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Les réseaux associatifs constituent une véritable structure commune à plusieurs textes, qi se dessine comme une figure présente dans chacun de ces textes.</w:t>
      </w:r>
      <w:r w:rsidRPr="0083274C">
        <w:rPr>
          <w:rFonts w:asciiTheme="majorBidi" w:hAnsiTheme="majorBidi" w:cstheme="majorBidi"/>
          <w:sz w:val="24"/>
          <w:szCs w:val="24"/>
        </w:rPr>
        <w:t xml:space="preserve"> </w:t>
      </w:r>
      <w:r>
        <w:rPr>
          <w:rFonts w:asciiTheme="majorBidi" w:hAnsiTheme="majorBidi" w:cstheme="majorBidi"/>
          <w:sz w:val="24"/>
          <w:szCs w:val="24"/>
        </w:rPr>
        <w:t>Une structure répétitive</w:t>
      </w:r>
    </w:p>
    <w:p w:rsidR="00D501DB" w:rsidRDefault="00D501DB" w:rsidP="00D501DB">
      <w:pPr>
        <w:spacing w:line="360" w:lineRule="auto"/>
        <w:jc w:val="both"/>
        <w:rPr>
          <w:rFonts w:asciiTheme="majorBidi" w:hAnsiTheme="majorBidi" w:cstheme="majorBidi"/>
          <w:sz w:val="24"/>
          <w:szCs w:val="24"/>
        </w:rPr>
      </w:pP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lastRenderedPageBreak/>
        <w:t xml:space="preserve">Singulier, le mythe personnel selon Mauron se répète sous diverses formes et par un </w:t>
      </w:r>
      <w:r w:rsidRPr="00F65833">
        <w:rPr>
          <w:rFonts w:asciiTheme="majorBidi" w:hAnsiTheme="majorBidi" w:cstheme="majorBidi"/>
          <w:i/>
          <w:iCs/>
          <w:sz w:val="24"/>
          <w:szCs w:val="24"/>
        </w:rPr>
        <w:t>« incessant courant d’échanges qui peuple l’univers intérieur</w:t>
      </w:r>
      <w:r>
        <w:rPr>
          <w:rFonts w:asciiTheme="majorBidi" w:hAnsiTheme="majorBidi" w:cstheme="majorBidi"/>
          <w:sz w:val="24"/>
          <w:szCs w:val="24"/>
        </w:rPr>
        <w:t> » (des métamorphoses obsédantes au mythe personnel). Il est à la fois fantasme inconscient et « organisation préconsciente des fictions ». Il va de soi que ce mythe personnel n’existe pas à l’état « pur » dans les textes, puisqu’il s’agit d’une construction critique.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Dans le mythe personnel, ‘le moi social’ et ‘le moi créateur’ communiquent sans être identique. Pour Mauron, le mythe personnel, a une histoire, une genèse. L’enjeu personnel recouvre évidemment des enjeux socioculturels.</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La psychocritique a pu déboucher sur la psycholecture, telle qu’elle est pratiquée par Yves </w:t>
      </w:r>
      <w:proofErr w:type="spellStart"/>
      <w:r>
        <w:rPr>
          <w:rFonts w:asciiTheme="majorBidi" w:hAnsiTheme="majorBidi" w:cstheme="majorBidi"/>
          <w:sz w:val="24"/>
          <w:szCs w:val="24"/>
        </w:rPr>
        <w:t>Gohin</w:t>
      </w:r>
      <w:proofErr w:type="spellEnd"/>
      <w:r>
        <w:rPr>
          <w:rFonts w:asciiTheme="majorBidi" w:hAnsiTheme="majorBidi" w:cstheme="majorBidi"/>
          <w:sz w:val="24"/>
          <w:szCs w:val="24"/>
        </w:rPr>
        <w:t xml:space="preserve"> et Serge </w:t>
      </w:r>
      <w:proofErr w:type="spellStart"/>
      <w:r>
        <w:rPr>
          <w:rFonts w:asciiTheme="majorBidi" w:hAnsiTheme="majorBidi" w:cstheme="majorBidi"/>
          <w:sz w:val="24"/>
          <w:szCs w:val="24"/>
        </w:rPr>
        <w:t>Doubrovsky</w:t>
      </w:r>
      <w:proofErr w:type="spellEnd"/>
      <w:r>
        <w:rPr>
          <w:rFonts w:asciiTheme="majorBidi" w:hAnsiTheme="majorBidi" w:cstheme="majorBidi"/>
          <w:sz w:val="24"/>
          <w:szCs w:val="24"/>
        </w:rPr>
        <w:t>. Il s’agit d’étudier les rapports noués entre les structures conscientes et les structures inconscientes dans un texte singulier. « Lire, c’est reconnaître entre les mots et les systèmes de relations ». Mais, il s’agit de repérer des relations « inaperçues » destinées à devenir des « évidences aveuglantes », en adaptant à la lecture littéraire. Tout texte peut servir de contexte associatif à un autre, et toute lecture entend dans un texte les échos des autres. A la base, les processus inconscients : condensation, déplacement, élaboration secondaire.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Superposer n’st pas comparer. Superposer, c’est chercher des coïncidences de signifiants verbaux ou figuraux. Dans des textes manifestement différents. On ne superpose jamais un élément unique, mais un « réseau », comme là très bien vu Genette : La coïncidence tient à un ensemble ou système de « métaphores obsédants ». Le réseau associatif est donc une « structure textuelle », commune à plusieurs textes et « autonome » par rapport au thème conscient de chacun : Il dessine une « figure » présente de façon éparse dans chaque texte.</w:t>
      </w:r>
    </w:p>
    <w:p w:rsidR="00D501DB" w:rsidRPr="0083274C" w:rsidRDefault="00D501DB" w:rsidP="00D501DB">
      <w:pPr>
        <w:spacing w:line="360" w:lineRule="auto"/>
        <w:jc w:val="both"/>
        <w:rPr>
          <w:rFonts w:asciiTheme="majorBidi" w:hAnsiTheme="majorBidi" w:cstheme="majorBidi"/>
          <w:b/>
          <w:bCs/>
          <w:sz w:val="24"/>
          <w:szCs w:val="24"/>
        </w:rPr>
      </w:pPr>
      <w:r w:rsidRPr="0083274C">
        <w:rPr>
          <w:rFonts w:asciiTheme="majorBidi" w:hAnsiTheme="majorBidi" w:cstheme="majorBidi"/>
          <w:b/>
          <w:bCs/>
          <w:sz w:val="24"/>
          <w:szCs w:val="24"/>
        </w:rPr>
        <w:t>La psychanalyse existentielle : l’œuvre critique de Jean Paul Sartre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Créée et présentée par le seul Jean Paul Sartre (1905-180), la psychanalyse existentielle s’est développée dans ses œuvres depuis l’Etre et le Néant (1943). Pour découvrir tout ce qui dans l’œuvre est révélateur de l’aventure particulière d’un homme poussé par son angoisse à devenir écrivain. Sartre s’efforce d’intégrer marxisme et psychanalyse au sein d’une anthropologie qui parvienne à rendre compte d’un home dans sa totalité. Il s’agit d’examiner la situation existentielle du je, qui détermine un choix original, ainsi l’étude de Flaubert entend-elle intégrer la singularité de l’individu dans le mouvement général de l’histoire. Cela s’effectue par une méthode « progressive-régressive », qui unit dialectiquement l’enquête </w:t>
      </w:r>
      <w:r>
        <w:rPr>
          <w:rFonts w:asciiTheme="majorBidi" w:hAnsiTheme="majorBidi" w:cstheme="majorBidi"/>
          <w:sz w:val="24"/>
          <w:szCs w:val="24"/>
        </w:rPr>
        <w:lastRenderedPageBreak/>
        <w:t>historique et l’analyse de l’œuvre. Il s’agit d’une sorte de va et vient entre l’objet textuel, qui contient toute l’époque, comme significations hiérarchisées, et l’poque, qui contient l’objet dans sa totalisation. La biographie devient alors d l’aveu même de Sartre un « roman vrai » et suppose une empathie du critique qui glisse dans la peau de l’auteur.</w:t>
      </w:r>
    </w:p>
    <w:p w:rsidR="00D501DB" w:rsidRPr="0083274C" w:rsidRDefault="00D501DB" w:rsidP="00D501DB">
      <w:pPr>
        <w:spacing w:line="360" w:lineRule="auto"/>
        <w:rPr>
          <w:rFonts w:asciiTheme="majorBidi" w:hAnsiTheme="majorBidi" w:cstheme="majorBidi"/>
          <w:b/>
          <w:bCs/>
          <w:sz w:val="24"/>
          <w:szCs w:val="24"/>
        </w:rPr>
      </w:pPr>
      <w:r w:rsidRPr="0083274C">
        <w:rPr>
          <w:rFonts w:asciiTheme="majorBidi" w:hAnsiTheme="majorBidi" w:cstheme="majorBidi"/>
          <w:b/>
          <w:bCs/>
          <w:sz w:val="24"/>
          <w:szCs w:val="24"/>
        </w:rPr>
        <w:t>L’inconscient du texte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Dans son livre vers l’inconscient du texte, Jean Bellemin Noël, définit une psychanalyse textuelle ou textanalyse. Il s’agit de mettre hors jeu l’auteur pour se consacrait au texte, dont on suppose qu’il possède un inconscient. L’existence de forces inconscientes propres à la langue elle-même. Elle consiste à dégager non seulement les silences, les oublies, les articulations thématiques, mais aussi les détails jugés insignifiants par la psychanalyse, y compris les effets de la signifiance comme les lettres et les sons, au lieu de se concerter sur les personnages. Il s’agit de « délier » le texte, de pratiquer une « écoute flottante », sensible à la matérialité même des mots comme de l’intertexte.</w:t>
      </w:r>
    </w:p>
    <w:p w:rsidR="00D501DB" w:rsidRPr="0083274C" w:rsidRDefault="00D501DB" w:rsidP="00D501DB">
      <w:pPr>
        <w:spacing w:line="360" w:lineRule="auto"/>
        <w:rPr>
          <w:rFonts w:asciiTheme="majorBidi" w:hAnsiTheme="majorBidi" w:cstheme="majorBidi"/>
          <w:b/>
          <w:bCs/>
          <w:sz w:val="24"/>
          <w:szCs w:val="24"/>
        </w:rPr>
      </w:pPr>
      <w:r>
        <w:rPr>
          <w:rFonts w:asciiTheme="majorBidi" w:hAnsiTheme="majorBidi" w:cstheme="majorBidi"/>
          <w:b/>
          <w:bCs/>
          <w:sz w:val="24"/>
          <w:szCs w:val="24"/>
        </w:rPr>
        <w:t>La psychobiographie </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La psychanalyse ne peut évacuer la question du sujet André Green écrit : « serait-il possible de n’établir aucun rapport entre l’homme et sa création ? De quelles forces se nourrirait celle-ci, sinon de celles qui sont à l’œuvre chez le créateur ? ». Et les notions d’inconscient et de conflit psychique éclairent autrement la genèse et l’histoire de l’individu, de l’activité créatrice et de l’œuvre.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Les fondements de la </w:t>
      </w:r>
      <w:proofErr w:type="spellStart"/>
      <w:r>
        <w:rPr>
          <w:rFonts w:asciiTheme="majorBidi" w:hAnsiTheme="majorBidi" w:cstheme="majorBidi"/>
          <w:sz w:val="24"/>
          <w:szCs w:val="24"/>
        </w:rPr>
        <w:t>psychobiographique</w:t>
      </w:r>
      <w:proofErr w:type="spellEnd"/>
      <w:r>
        <w:rPr>
          <w:rFonts w:asciiTheme="majorBidi" w:hAnsiTheme="majorBidi" w:cstheme="majorBidi"/>
          <w:sz w:val="24"/>
          <w:szCs w:val="24"/>
        </w:rPr>
        <w:t> :</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Elle se fonde sur le programme de Freud, en avant propos à l’Edgar Poe de Marie Bonaparte : « </w:t>
      </w:r>
      <w:r w:rsidRPr="0083274C">
        <w:rPr>
          <w:rFonts w:asciiTheme="majorBidi" w:hAnsiTheme="majorBidi" w:cstheme="majorBidi"/>
          <w:i/>
          <w:iCs/>
          <w:sz w:val="24"/>
          <w:szCs w:val="24"/>
        </w:rPr>
        <w:t>étudier les lois du psychisme humain sur des individus hors lignes</w:t>
      </w:r>
      <w:r>
        <w:rPr>
          <w:rFonts w:asciiTheme="majorBidi" w:hAnsiTheme="majorBidi" w:cstheme="majorBidi"/>
          <w:sz w:val="24"/>
          <w:szCs w:val="24"/>
        </w:rPr>
        <w:t> ». Lacan, en faisant l’éloge du livre de Delay sur la jeunesse d’André Gide, généralise aussitôt le cas individuel : Gide « </w:t>
      </w:r>
      <w:r w:rsidRPr="0083274C">
        <w:rPr>
          <w:rFonts w:asciiTheme="majorBidi" w:hAnsiTheme="majorBidi" w:cstheme="majorBidi"/>
          <w:i/>
          <w:iCs/>
          <w:sz w:val="24"/>
          <w:szCs w:val="24"/>
        </w:rPr>
        <w:t>pose un problème si personnel qu’il pose le problème tout court de la personne, celui de l’être et du paraître</w:t>
      </w:r>
      <w:r>
        <w:rPr>
          <w:rFonts w:asciiTheme="majorBidi" w:hAnsiTheme="majorBidi" w:cstheme="majorBidi"/>
          <w:sz w:val="24"/>
          <w:szCs w:val="24"/>
        </w:rPr>
        <w:t> » et son roman familial devient l’itinéraire exemplaire du sujet (masculin) puis entre les pièges de la figure maternelle et disparition de la parole paternelle.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Dominique Fernandez redéfinit clairement les principes de la psychobiographie, au début de l’Echec de Pavese : «  </w:t>
      </w:r>
      <w:r w:rsidRPr="00034ED1">
        <w:rPr>
          <w:rFonts w:asciiTheme="majorBidi" w:hAnsiTheme="majorBidi" w:cstheme="majorBidi"/>
          <w:i/>
          <w:iCs/>
          <w:sz w:val="24"/>
          <w:szCs w:val="24"/>
        </w:rPr>
        <w:t>tel enfant, telle œuvre</w:t>
      </w:r>
      <w:r>
        <w:rPr>
          <w:rFonts w:asciiTheme="majorBidi" w:hAnsiTheme="majorBidi" w:cstheme="majorBidi"/>
          <w:sz w:val="24"/>
          <w:szCs w:val="24"/>
        </w:rPr>
        <w:t> ». Bien qu’il affirme : « </w:t>
      </w:r>
      <w:r w:rsidRPr="00034ED1">
        <w:rPr>
          <w:rFonts w:asciiTheme="majorBidi" w:hAnsiTheme="majorBidi" w:cstheme="majorBidi"/>
          <w:i/>
          <w:iCs/>
          <w:sz w:val="24"/>
          <w:szCs w:val="24"/>
        </w:rPr>
        <w:t>l’homme est à la source de l’œuvre, mais ce qu’est cet homme ne peut être saisi que dans l’œuvre</w:t>
      </w:r>
      <w:r>
        <w:rPr>
          <w:rFonts w:asciiTheme="majorBidi" w:hAnsiTheme="majorBidi" w:cstheme="majorBidi"/>
          <w:sz w:val="24"/>
          <w:szCs w:val="24"/>
        </w:rPr>
        <w:t xml:space="preserve"> », il construit son </w:t>
      </w:r>
      <w:r>
        <w:rPr>
          <w:rFonts w:asciiTheme="majorBidi" w:hAnsiTheme="majorBidi" w:cstheme="majorBidi"/>
          <w:sz w:val="24"/>
          <w:szCs w:val="24"/>
        </w:rPr>
        <w:lastRenderedPageBreak/>
        <w:t>étude sur le modèle de Bonaparte : une 1</w:t>
      </w:r>
      <w:r w:rsidRPr="00293598">
        <w:rPr>
          <w:rFonts w:asciiTheme="majorBidi" w:hAnsiTheme="majorBidi" w:cstheme="majorBidi"/>
          <w:sz w:val="24"/>
          <w:szCs w:val="24"/>
          <w:vertAlign w:val="superscript"/>
        </w:rPr>
        <w:t>ère</w:t>
      </w:r>
      <w:r>
        <w:rPr>
          <w:rFonts w:asciiTheme="majorBidi" w:hAnsiTheme="majorBidi" w:cstheme="majorBidi"/>
          <w:sz w:val="24"/>
          <w:szCs w:val="24"/>
        </w:rPr>
        <w:t xml:space="preserve"> partie consacrée à une biographie minutieuse, une seconde à l’œuvre analysée surtout de façon thématique. </w:t>
      </w:r>
      <w:r w:rsidRPr="00034ED1">
        <w:rPr>
          <w:rFonts w:asciiTheme="majorBidi" w:hAnsiTheme="majorBidi" w:cstheme="majorBidi"/>
          <w:i/>
          <w:iCs/>
          <w:sz w:val="24"/>
          <w:szCs w:val="24"/>
        </w:rPr>
        <w:t>« Avant même que (Pavese) ait écrit une seule ligne, les livres sont contenus dans les conflits de sa prime jeunesse</w:t>
      </w:r>
      <w:r>
        <w:rPr>
          <w:rFonts w:asciiTheme="majorBidi" w:hAnsiTheme="majorBidi" w:cstheme="majorBidi"/>
          <w:sz w:val="24"/>
          <w:szCs w:val="24"/>
        </w:rPr>
        <w:t> ». Et, pour lui, on ne peut comprendre une œuvre sans la connaissance approfondie de son auteur et ce n’est pas par hasard qu’il reprend, en titre, l’échec de Baudelaire de fougue ; l’œuvre est une « </w:t>
      </w:r>
      <w:r w:rsidRPr="00293598">
        <w:rPr>
          <w:rFonts w:asciiTheme="majorBidi" w:hAnsiTheme="majorBidi" w:cstheme="majorBidi"/>
          <w:i/>
          <w:iCs/>
          <w:sz w:val="24"/>
          <w:szCs w:val="24"/>
        </w:rPr>
        <w:t>longue confession</w:t>
      </w:r>
      <w:r>
        <w:rPr>
          <w:rFonts w:asciiTheme="majorBidi" w:hAnsiTheme="majorBidi" w:cstheme="majorBidi"/>
          <w:sz w:val="24"/>
          <w:szCs w:val="24"/>
        </w:rPr>
        <w:t xml:space="preserve"> ». Pour Sarah </w:t>
      </w:r>
      <w:proofErr w:type="spellStart"/>
      <w:r>
        <w:rPr>
          <w:rFonts w:asciiTheme="majorBidi" w:hAnsiTheme="majorBidi" w:cstheme="majorBidi"/>
          <w:sz w:val="24"/>
          <w:szCs w:val="24"/>
        </w:rPr>
        <w:t>Kofman</w:t>
      </w:r>
      <w:proofErr w:type="spellEnd"/>
      <w:r>
        <w:rPr>
          <w:rFonts w:asciiTheme="majorBidi" w:hAnsiTheme="majorBidi" w:cstheme="majorBidi"/>
          <w:sz w:val="24"/>
          <w:szCs w:val="24"/>
        </w:rPr>
        <w:t xml:space="preserve"> dans l’enfance de l’art, « </w:t>
      </w:r>
      <w:r w:rsidRPr="00293598">
        <w:rPr>
          <w:rFonts w:asciiTheme="majorBidi" w:hAnsiTheme="majorBidi" w:cstheme="majorBidi"/>
          <w:i/>
          <w:iCs/>
          <w:sz w:val="24"/>
          <w:szCs w:val="24"/>
        </w:rPr>
        <w:t>l’œuvre engendre son père </w:t>
      </w:r>
      <w:r>
        <w:rPr>
          <w:rFonts w:asciiTheme="majorBidi" w:hAnsiTheme="majorBidi" w:cstheme="majorBidi"/>
          <w:sz w:val="24"/>
          <w:szCs w:val="24"/>
        </w:rPr>
        <w:t>».</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L’écriture autobiographique et la réécriture d’une enfance et d’une histoire que nous remanions tous en récit, au long de notre existence. Sa déconstruction doit se passer par l’analyse du réseau textuel, car la vie s’est ici faite texte : on est loin de Fernandez qui veut remplacer les associations libres par « le rapprochement avec les circonstances biographiques ».L’intérêt d’un texte critique ne se mesure pas toujours à ses intentions affichées : l’attention portée aux cheminements et aux particularités inaperçues d’une œuvre est essentielle.</w:t>
      </w:r>
    </w:p>
    <w:p w:rsidR="00D501DB"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Quand Mauron parle de « vérification par la biographie », il veut mettre à l’épreuve l’interprétation du mythe personnel et de la « personnalité inconsciente ». Cependant, pour lui, ce qui compte, ce ne sont pas les faits…, mais leurs retentissement psychique : l’œuvre seule peut indiquer comment le sujet se joue et se rejoue son histoire. Ainsi, c’est par la lecture des poèmes que Mauron découvre l’importance, pour Mallarmé, de la mort de sa jeune sœur Maria, évènement que les biographes avaient négligé.</w:t>
      </w:r>
    </w:p>
    <w:p w:rsidR="00D501DB" w:rsidRPr="005731DD"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 Le démon de l’analogie » pose l’énigme d’une hantise, celle d’une phrase « absurde » : « la pénultième est morte », associée à des sensations et des images appartenant au réseau de « l’ange musicien »  jusqu’à le panique quand le poète voit réunies dans la réalité d’une vitesse de Luthier. Les images intérieures ses textes. Mauron résout l’énigme : La dernière morte (l’</w:t>
      </w:r>
      <w:proofErr w:type="spellStart"/>
      <w:r>
        <w:rPr>
          <w:rFonts w:asciiTheme="majorBidi" w:hAnsiTheme="majorBidi" w:cstheme="majorBidi"/>
          <w:sz w:val="24"/>
          <w:szCs w:val="24"/>
        </w:rPr>
        <w:t>ultième</w:t>
      </w:r>
      <w:proofErr w:type="spellEnd"/>
      <w:r>
        <w:rPr>
          <w:rFonts w:asciiTheme="majorBidi" w:hAnsiTheme="majorBidi" w:cstheme="majorBidi"/>
          <w:sz w:val="24"/>
          <w:szCs w:val="24"/>
        </w:rPr>
        <w:t>) est Maria. La pénultième est la mère morte que jamais Mallarmé n’évoque. Le Deuil irréparable est lié à un trauma (une blessure) qui, conformément à la théorie Freudienne, naît de la collusion de deux évènements, dont l’un reste radicalement inconscient.</w:t>
      </w:r>
    </w:p>
    <w:p w:rsidR="00D501DB" w:rsidRPr="005731DD" w:rsidRDefault="00D501DB" w:rsidP="00D501DB">
      <w:pPr>
        <w:spacing w:line="360" w:lineRule="auto"/>
        <w:ind w:left="708" w:firstLine="708"/>
        <w:rPr>
          <w:rFonts w:asciiTheme="majorBidi" w:hAnsiTheme="majorBidi" w:cstheme="majorBidi"/>
          <w:sz w:val="24"/>
          <w:szCs w:val="24"/>
        </w:rPr>
      </w:pPr>
    </w:p>
    <w:p w:rsidR="00D501DB" w:rsidRDefault="00D501DB" w:rsidP="00D501DB">
      <w:pPr>
        <w:spacing w:line="360" w:lineRule="auto"/>
        <w:ind w:left="708"/>
        <w:rPr>
          <w:rFonts w:asciiTheme="majorBidi" w:hAnsiTheme="majorBidi" w:cstheme="majorBidi"/>
          <w:sz w:val="24"/>
          <w:szCs w:val="24"/>
        </w:rPr>
      </w:pPr>
    </w:p>
    <w:p w:rsidR="00D501DB" w:rsidRPr="00F65833" w:rsidRDefault="00D501DB" w:rsidP="00D501DB">
      <w:pPr>
        <w:spacing w:line="360" w:lineRule="auto"/>
        <w:ind w:left="708"/>
        <w:rPr>
          <w:rFonts w:asciiTheme="majorBidi" w:hAnsiTheme="majorBidi" w:cstheme="majorBidi"/>
          <w:sz w:val="24"/>
          <w:szCs w:val="24"/>
        </w:rPr>
      </w:pPr>
    </w:p>
    <w:p w:rsidR="00D501DB" w:rsidRPr="00224DF3" w:rsidRDefault="00D501DB" w:rsidP="00D501DB">
      <w:pPr>
        <w:jc w:val="center"/>
        <w:rPr>
          <w:rFonts w:asciiTheme="majorBidi" w:hAnsiTheme="majorBidi" w:cstheme="majorBidi"/>
          <w:b/>
          <w:bCs/>
          <w:sz w:val="28"/>
          <w:szCs w:val="28"/>
        </w:rPr>
      </w:pPr>
      <w:r>
        <w:rPr>
          <w:rFonts w:asciiTheme="majorBidi" w:hAnsiTheme="majorBidi" w:cstheme="majorBidi"/>
          <w:b/>
          <w:bCs/>
          <w:sz w:val="28"/>
          <w:szCs w:val="28"/>
        </w:rPr>
        <w:lastRenderedPageBreak/>
        <w:t xml:space="preserve">LA </w:t>
      </w:r>
      <w:r w:rsidRPr="00224DF3">
        <w:rPr>
          <w:rFonts w:asciiTheme="majorBidi" w:hAnsiTheme="majorBidi" w:cstheme="majorBidi"/>
          <w:b/>
          <w:bCs/>
          <w:sz w:val="28"/>
          <w:szCs w:val="28"/>
        </w:rPr>
        <w:t>SEMIOTIQUE</w:t>
      </w:r>
    </w:p>
    <w:p w:rsidR="00D501DB" w:rsidRDefault="00D501DB" w:rsidP="00D501DB">
      <w:pPr>
        <w:spacing w:line="240" w:lineRule="auto"/>
        <w:jc w:val="both"/>
        <w:rPr>
          <w:rFonts w:asciiTheme="majorBidi" w:hAnsiTheme="majorBidi" w:cstheme="majorBidi"/>
          <w:sz w:val="24"/>
          <w:szCs w:val="24"/>
        </w:rPr>
      </w:pPr>
    </w:p>
    <w:p w:rsidR="00D501DB"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Selon Saussure : </w:t>
      </w:r>
    </w:p>
    <w:p w:rsidR="00D501DB" w:rsidRPr="00761A0A" w:rsidRDefault="00D501DB" w:rsidP="00D501DB">
      <w:pPr>
        <w:ind w:left="1134" w:right="1134"/>
        <w:jc w:val="both"/>
        <w:rPr>
          <w:rFonts w:asciiTheme="majorBidi" w:hAnsiTheme="majorBidi" w:cstheme="majorBidi"/>
        </w:rPr>
      </w:pPr>
      <w:r w:rsidRPr="00761A0A">
        <w:rPr>
          <w:rFonts w:asciiTheme="majorBidi" w:hAnsiTheme="majorBidi" w:cstheme="majorBidi"/>
          <w:i/>
        </w:rPr>
        <w:t>La langue est un système de signes exprimant des idées et par  là comparable à l’écriture, à l’alphabet des  sourds – muets, aux rites symboliques, aux forme de politesse, aux signaux militaires. Elle est simplement la plus importante de tous les systèmes, on peut concevoir une science qui étudie la vie des signes au sein de la vie sociale …nous la nommerons sémiologie</w:t>
      </w:r>
      <w:r w:rsidRPr="00761A0A">
        <w:rPr>
          <w:rFonts w:asciiTheme="majorBidi" w:hAnsiTheme="majorBidi" w:cstheme="majorBidi"/>
        </w:rPr>
        <w:t xml:space="preserve">. </w:t>
      </w:r>
    </w:p>
    <w:p w:rsidR="00D501DB"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Georges Mounin a toujours cherché du côté de la sémiologie et il dit : « </w:t>
      </w:r>
      <w:r w:rsidRPr="00224DF3">
        <w:rPr>
          <w:rFonts w:asciiTheme="majorBidi" w:hAnsiTheme="majorBidi" w:cstheme="majorBidi"/>
          <w:i/>
          <w:sz w:val="24"/>
          <w:szCs w:val="24"/>
        </w:rPr>
        <w:t>c’est la science générale de tous les systèmes de signes ou de symboles grâce auxquelles les hommes communiquent entre eux.</w:t>
      </w:r>
      <w:r w:rsidRPr="00224DF3">
        <w:rPr>
          <w:rFonts w:asciiTheme="majorBidi" w:hAnsiTheme="majorBidi" w:cstheme="majorBidi"/>
          <w:sz w:val="24"/>
          <w:szCs w:val="24"/>
        </w:rPr>
        <w:t>»  (Il privilégie la communication)</w:t>
      </w:r>
    </w:p>
    <w:p w:rsidR="00D501DB"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Roland Barthes, quand à lui, il la définit : « </w:t>
      </w:r>
      <w:r w:rsidRPr="00224DF3">
        <w:rPr>
          <w:rFonts w:asciiTheme="majorBidi" w:hAnsiTheme="majorBidi" w:cstheme="majorBidi"/>
          <w:i/>
          <w:sz w:val="24"/>
          <w:szCs w:val="24"/>
        </w:rPr>
        <w:t>la sémiologie a pour but (objet) tout système de signes quelqu’en soit la substance, quelqu’en soit les limites : les images, les gestes, les sons mélodiques (musiques), les objets, les rites, les protocoles, les spectacles qui constituent sinon des langages, du moins des systèmes de significations </w:t>
      </w:r>
      <w:r w:rsidRPr="00224DF3">
        <w:rPr>
          <w:rFonts w:asciiTheme="majorBidi" w:hAnsiTheme="majorBidi" w:cstheme="majorBidi"/>
          <w:sz w:val="24"/>
          <w:szCs w:val="24"/>
        </w:rPr>
        <w:t>».</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Pour Barthes, la sémiologie fait appel à toutes les autres sciences, c’est la science qui produit les signes destinés à chacun, à un contexte précis. Nous avons deux types de sémiologie.</w:t>
      </w:r>
    </w:p>
    <w:p w:rsidR="00D501DB" w:rsidRPr="00224DF3" w:rsidRDefault="00D501DB" w:rsidP="00D501DB">
      <w:pPr>
        <w:pStyle w:val="Paragraphedeliste"/>
        <w:numPr>
          <w:ilvl w:val="0"/>
          <w:numId w:val="2"/>
        </w:numPr>
        <w:spacing w:after="200" w:line="360" w:lineRule="auto"/>
        <w:ind w:right="0"/>
        <w:rPr>
          <w:rFonts w:asciiTheme="majorBidi" w:hAnsiTheme="majorBidi" w:cstheme="majorBidi"/>
          <w:sz w:val="24"/>
          <w:szCs w:val="24"/>
        </w:rPr>
      </w:pPr>
      <w:r w:rsidRPr="00224DF3">
        <w:rPr>
          <w:rFonts w:asciiTheme="majorBidi" w:hAnsiTheme="majorBidi" w:cstheme="majorBidi"/>
          <w:sz w:val="24"/>
          <w:szCs w:val="24"/>
        </w:rPr>
        <w:t>La sémiologie de la communication</w:t>
      </w:r>
    </w:p>
    <w:p w:rsidR="00D501DB" w:rsidRPr="00224DF3" w:rsidRDefault="00D501DB" w:rsidP="00D501DB">
      <w:pPr>
        <w:pStyle w:val="Paragraphedeliste"/>
        <w:numPr>
          <w:ilvl w:val="0"/>
          <w:numId w:val="2"/>
        </w:numPr>
        <w:spacing w:after="200" w:line="360" w:lineRule="auto"/>
        <w:ind w:right="0"/>
        <w:rPr>
          <w:rFonts w:asciiTheme="majorBidi" w:hAnsiTheme="majorBidi" w:cstheme="majorBidi"/>
          <w:sz w:val="24"/>
          <w:szCs w:val="24"/>
        </w:rPr>
      </w:pPr>
      <w:r w:rsidRPr="00224DF3">
        <w:rPr>
          <w:rFonts w:asciiTheme="majorBidi" w:hAnsiTheme="majorBidi" w:cstheme="majorBidi"/>
          <w:sz w:val="24"/>
          <w:szCs w:val="24"/>
        </w:rPr>
        <w:t>La sémiologie de la signification</w:t>
      </w:r>
    </w:p>
    <w:p w:rsidR="00D501DB"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   1- C’est avec Buyssens que sera définie la sémiologie de la communication. Pour lui, la sémiologie s’occupe de communication et du problème de signification, a telle point que la démarcation entre la sémiologie et la théorie de la communication n’est pas toujours bien nette. Cependant, il y a entre ces deux théories  des différences d’objectifs et de méthode. Il affirme que « </w:t>
      </w:r>
      <w:r w:rsidRPr="00224DF3">
        <w:rPr>
          <w:rFonts w:asciiTheme="majorBidi" w:hAnsiTheme="majorBidi" w:cstheme="majorBidi"/>
          <w:i/>
          <w:sz w:val="24"/>
          <w:szCs w:val="24"/>
        </w:rPr>
        <w:t>la sémiologie peut se définir comme l’étude des procédés de communication, c’est-à-dire des moyens utilisés pour influencer autrui et reconnus comme tel pour celui qu’on veut influencer </w:t>
      </w:r>
      <w:r w:rsidRPr="00224DF3">
        <w:rPr>
          <w:rFonts w:asciiTheme="majorBidi" w:hAnsiTheme="majorBidi" w:cstheme="majorBidi"/>
          <w:sz w:val="24"/>
          <w:szCs w:val="24"/>
        </w:rPr>
        <w:t>» ; il y a influence car il y a intention de communication.</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 C’est une communication orientée, c’est-à-dire l’intention reconnue par le récepteur du message : la communication se fait au moyen de signes, et il n’est donc pas étonnant de constater que la théorie de communication relève en partie de la sémiotique. Mais d’une part, il y a des signes qui fonctionnent en dehors de toute situation de communication, et, d’autre part, la théorie de la communication, contrairement à la sémiotique, s’intéresse aux conditions </w:t>
      </w:r>
      <w:r w:rsidRPr="00224DF3">
        <w:rPr>
          <w:rFonts w:asciiTheme="majorBidi" w:hAnsiTheme="majorBidi" w:cstheme="majorBidi"/>
          <w:sz w:val="24"/>
          <w:szCs w:val="24"/>
        </w:rPr>
        <w:lastRenderedPageBreak/>
        <w:t>de transmission de la signification, c’est-à-dire au canal de communication grâce auquel le message peut-être véhiculé.</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Buyssens distingue aussi entre « indice » et « signe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*L’indice, unité dépourvue de cette communication.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*Le signe, unité portant l’intention de communication</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Ce courant s’intéresse à la langue comme étant un système de signes qui sert à communiquer. Elle s’intéresse aussi à une autre forme de code (code des modes d’emploi, la cybernétique comme les machines, le langage des ordinateurs….).</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2 – La sémiologie de la signification  n’accorde pas de pouvoir à la communication, elle ne privilégie pas la fonction sociale du signe, l’intention de communication. Dans la sémiologie de communication, le récepteur connait le code, dans la sémiologie de signification, il doit délimiter un corpus, relever les indices qui lui permettent de comprendre le signe. La sémiologie de la signification prend en compte la connotation car la communication  est toujours accompagnée de la signification, aussi Barthes parle de cacophonie et de cacographie. </w:t>
      </w:r>
    </w:p>
    <w:p w:rsidR="00D501DB" w:rsidRPr="00224DF3"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24DF3">
        <w:rPr>
          <w:rFonts w:asciiTheme="majorBidi" w:hAnsiTheme="majorBidi" w:cstheme="majorBidi"/>
          <w:sz w:val="24"/>
          <w:szCs w:val="24"/>
        </w:rPr>
        <w:t xml:space="preserve">La sémiologie de la signification va s’intéresser aux signes, elle s’occupe de la connotation, des sens profonds, des signes qui sont transformés par la pratique sociale. Le langage connotatif dispose le culturel, l’idéologique, l’historique, et le mythique (mythe). On doit à Barthes aussi la classification des termes qui servent depuis d’outils usuels dans l’analyse de texte : langue/ parole, signifié/ signifiant, système et syntagme, dénotation/connotation.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La sémiologie Barthésienne combine la linguistique, l’approche structurale, la poétique, la rhétorique conçue comme poétique, et fait appel à des concepts empruntés au marxisme et à la psychanalyse.</w:t>
      </w:r>
    </w:p>
    <w:p w:rsidR="00D501DB" w:rsidRPr="00224DF3" w:rsidRDefault="00D501DB" w:rsidP="00D501DB">
      <w:pPr>
        <w:spacing w:line="360" w:lineRule="auto"/>
        <w:jc w:val="both"/>
        <w:rPr>
          <w:rFonts w:asciiTheme="majorBidi" w:hAnsiTheme="majorBidi" w:cstheme="majorBidi"/>
          <w:b/>
          <w:sz w:val="24"/>
          <w:szCs w:val="24"/>
        </w:rPr>
      </w:pPr>
      <w:r w:rsidRPr="00224DF3">
        <w:rPr>
          <w:rFonts w:asciiTheme="majorBidi" w:hAnsiTheme="majorBidi" w:cstheme="majorBidi"/>
          <w:sz w:val="24"/>
          <w:szCs w:val="24"/>
        </w:rPr>
        <w:t xml:space="preserve"> </w:t>
      </w:r>
      <w:r w:rsidRPr="00224DF3">
        <w:rPr>
          <w:rFonts w:asciiTheme="majorBidi" w:hAnsiTheme="majorBidi" w:cstheme="majorBidi"/>
          <w:b/>
          <w:sz w:val="24"/>
          <w:szCs w:val="24"/>
        </w:rPr>
        <w:t>La sémiotique selon Umberto Eco</w:t>
      </w:r>
    </w:p>
    <w:p w:rsidR="00D501DB"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Dans « </w:t>
      </w:r>
      <w:r w:rsidRPr="00224DF3">
        <w:rPr>
          <w:rFonts w:asciiTheme="majorBidi" w:hAnsiTheme="majorBidi" w:cstheme="majorBidi"/>
          <w:i/>
          <w:sz w:val="24"/>
          <w:szCs w:val="24"/>
        </w:rPr>
        <w:t>L’œuvre ouverte</w:t>
      </w:r>
      <w:r w:rsidRPr="00224DF3">
        <w:rPr>
          <w:rFonts w:asciiTheme="majorBidi" w:hAnsiTheme="majorBidi" w:cstheme="majorBidi"/>
          <w:sz w:val="24"/>
          <w:szCs w:val="24"/>
        </w:rPr>
        <w:t xml:space="preserve"> », Umberto Eco analyse l’œuvre d’art comme un système de signes indéfiniment traduisibles : </w:t>
      </w:r>
      <w:r w:rsidRPr="00224DF3">
        <w:rPr>
          <w:rFonts w:asciiTheme="majorBidi" w:hAnsiTheme="majorBidi" w:cstheme="majorBidi"/>
          <w:i/>
          <w:sz w:val="24"/>
          <w:szCs w:val="24"/>
        </w:rPr>
        <w:t xml:space="preserve">« toute œuvre d’art, alors même qu’elle est forme achevée et « close » dans sa perfection d’organisme exactement calibré, est ouverte au moins en ce qu’elle peut être interprétée de différentes façons sans que son irréductible singularité en soit </w:t>
      </w:r>
      <w:r w:rsidRPr="00224DF3">
        <w:rPr>
          <w:rFonts w:asciiTheme="majorBidi" w:hAnsiTheme="majorBidi" w:cstheme="majorBidi"/>
          <w:i/>
          <w:sz w:val="24"/>
          <w:szCs w:val="24"/>
        </w:rPr>
        <w:lastRenderedPageBreak/>
        <w:t>altérée </w:t>
      </w:r>
      <w:r w:rsidRPr="00224DF3">
        <w:rPr>
          <w:rFonts w:asciiTheme="majorBidi" w:hAnsiTheme="majorBidi" w:cstheme="majorBidi"/>
          <w:sz w:val="24"/>
          <w:szCs w:val="24"/>
        </w:rPr>
        <w:t xml:space="preserve">». L’œuvre moderne se caractérise par l’accroissement d’informations permises par les nombreuses perspectives qu’elle offre à l’interprétation. </w:t>
      </w:r>
    </w:p>
    <w:p w:rsidR="00D501DB"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Pierce a voulu que sa théorie générale s’applique à tous les signes. Dans ce dessein, il avait besoin de concepts nouveaux, pour lesquels, il a inventé des mots de son cru, c’est à l’utilisation de ces mots qu’on reconnait le sémioticien peircien. (Le sémioticien saussurien, lui, a un autre vocabulaire. Il se sert de termes empruntés à la linguistique). La théorie linguistique qui à l’époque postsaussurienne, à le plus marqué les études sémiotiques, est celle du structuraliste danois Hjelmslev, cette influence se manifeste surtout dans la « </w:t>
      </w:r>
      <w:r w:rsidRPr="00224DF3">
        <w:rPr>
          <w:rFonts w:asciiTheme="majorBidi" w:hAnsiTheme="majorBidi" w:cstheme="majorBidi"/>
          <w:i/>
          <w:sz w:val="24"/>
          <w:szCs w:val="24"/>
        </w:rPr>
        <w:t>sémiologie de communication</w:t>
      </w:r>
      <w:r w:rsidRPr="00224DF3">
        <w:rPr>
          <w:rFonts w:asciiTheme="majorBidi" w:hAnsiTheme="majorBidi" w:cstheme="majorBidi"/>
          <w:sz w:val="24"/>
          <w:szCs w:val="24"/>
        </w:rPr>
        <w:t> » (</w:t>
      </w:r>
      <w:proofErr w:type="spellStart"/>
      <w:r w:rsidRPr="00224DF3">
        <w:rPr>
          <w:rFonts w:asciiTheme="majorBidi" w:hAnsiTheme="majorBidi" w:cstheme="majorBidi"/>
          <w:sz w:val="24"/>
          <w:szCs w:val="24"/>
        </w:rPr>
        <w:t>Prieto</w:t>
      </w:r>
      <w:proofErr w:type="spellEnd"/>
      <w:r w:rsidRPr="00224DF3">
        <w:rPr>
          <w:rFonts w:asciiTheme="majorBidi" w:hAnsiTheme="majorBidi" w:cstheme="majorBidi"/>
          <w:sz w:val="24"/>
          <w:szCs w:val="24"/>
        </w:rPr>
        <w:t xml:space="preserve">, </w:t>
      </w:r>
      <w:proofErr w:type="spellStart"/>
      <w:r w:rsidRPr="00224DF3">
        <w:rPr>
          <w:rFonts w:asciiTheme="majorBidi" w:hAnsiTheme="majorBidi" w:cstheme="majorBidi"/>
          <w:sz w:val="24"/>
          <w:szCs w:val="24"/>
        </w:rPr>
        <w:t>Buyssens</w:t>
      </w:r>
      <w:proofErr w:type="spellEnd"/>
      <w:r w:rsidRPr="00224DF3">
        <w:rPr>
          <w:rFonts w:asciiTheme="majorBidi" w:hAnsiTheme="majorBidi" w:cstheme="majorBidi"/>
          <w:sz w:val="24"/>
          <w:szCs w:val="24"/>
        </w:rPr>
        <w:t xml:space="preserve">, </w:t>
      </w:r>
      <w:proofErr w:type="spellStart"/>
      <w:r w:rsidRPr="00224DF3">
        <w:rPr>
          <w:rFonts w:asciiTheme="majorBidi" w:hAnsiTheme="majorBidi" w:cstheme="majorBidi"/>
          <w:sz w:val="24"/>
          <w:szCs w:val="24"/>
        </w:rPr>
        <w:t>Mounin</w:t>
      </w:r>
      <w:proofErr w:type="spellEnd"/>
      <w:r w:rsidRPr="00224DF3">
        <w:rPr>
          <w:rFonts w:asciiTheme="majorBidi" w:hAnsiTheme="majorBidi" w:cstheme="majorBidi"/>
          <w:sz w:val="24"/>
          <w:szCs w:val="24"/>
        </w:rPr>
        <w:t xml:space="preserve">).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Elle est l’approche des sémioticiens qui ne prennent en considération que les signes volontaires (les signaux), employés consciemment par ceux qui les émettent (émetteurs) et ceux qui les reçoivent (récepteurs). Le système de signalisation routière offre un exemple de l’emploi de tels signes. L’influence de Hjelmslev se retrouve encore dans les recherches de ceux qui s’intéressent aux signes involontaires (aux symptômes), que le destinateur produit souvent sans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S’en rendre compte. Ces sémioticiens ne s’en tiennent pas à la signalisation routière primaire (à la dénotation) du signe émis, mais cherchent à repérer des significations secondaires (les connotations) que le signe possède. Barthes est le représentant le plus connu de cette orientation sémiotique, qu’on pourrait appeler « </w:t>
      </w:r>
      <w:r w:rsidRPr="00224DF3">
        <w:rPr>
          <w:rFonts w:asciiTheme="majorBidi" w:hAnsiTheme="majorBidi" w:cstheme="majorBidi"/>
          <w:i/>
          <w:sz w:val="24"/>
          <w:szCs w:val="24"/>
        </w:rPr>
        <w:t>sémiotique de la connotation</w:t>
      </w:r>
      <w:r w:rsidRPr="00224DF3">
        <w:rPr>
          <w:rFonts w:asciiTheme="majorBidi" w:hAnsiTheme="majorBidi" w:cstheme="majorBidi"/>
          <w:sz w:val="24"/>
          <w:szCs w:val="24"/>
        </w:rPr>
        <w:t xml:space="preserve"> ».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La sémiotique est l’étude des signes et tout ce qui s’y rapporte : leur fonctionnement, leur relation avec d’autres signes, leur production et leur réception par ceux qui les utilisent, lorsque l’étude des signes se concentre sur leur classement, sur leur relation avec d’autres signes, sur la manière dont ils coopèrent, dans leur fonctionnement, elle est un travail de syntaxe sémiotique. Lorsqu’elle se concentre sur la relation des signes avec leurs référents et avec l’interprétation qui en est le résultat, elle est un travail de sémantique sémiotique. Lorsque l’étude des signes prend en considération la relation de ceux-ci avec les destinateurs ou avec les destinataires, elle est un travail de pragmatique sémiotique, c’est-à-dire lorsque l’intention de communication y est.</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Pour Pierce, c’est le propre du signe que de représenter quelque chose. Il l’a appelé « </w:t>
      </w:r>
      <w:r w:rsidRPr="00224DF3">
        <w:rPr>
          <w:rFonts w:asciiTheme="majorBidi" w:hAnsiTheme="majorBidi" w:cstheme="majorBidi"/>
          <w:i/>
          <w:sz w:val="24"/>
          <w:szCs w:val="24"/>
        </w:rPr>
        <w:t>représentum »</w:t>
      </w:r>
      <w:r w:rsidRPr="00224DF3">
        <w:rPr>
          <w:rFonts w:asciiTheme="majorBidi" w:hAnsiTheme="majorBidi" w:cstheme="majorBidi"/>
          <w:sz w:val="24"/>
          <w:szCs w:val="24"/>
        </w:rPr>
        <w:t xml:space="preserve">, ce que le signe </w:t>
      </w:r>
      <w:r w:rsidRPr="00224DF3">
        <w:rPr>
          <w:rFonts w:asciiTheme="majorBidi" w:hAnsiTheme="majorBidi" w:cstheme="majorBidi"/>
          <w:i/>
          <w:sz w:val="24"/>
          <w:szCs w:val="24"/>
        </w:rPr>
        <w:t>« représente</w:t>
      </w:r>
      <w:r w:rsidRPr="00224DF3">
        <w:rPr>
          <w:rFonts w:asciiTheme="majorBidi" w:hAnsiTheme="majorBidi" w:cstheme="majorBidi"/>
          <w:sz w:val="24"/>
          <w:szCs w:val="24"/>
        </w:rPr>
        <w:t> », ce à quoi il renvoi, ce qu’il dénote, Pierce l’a dénommé, en anglais «</w:t>
      </w:r>
      <w:r w:rsidRPr="00224DF3">
        <w:rPr>
          <w:rFonts w:asciiTheme="majorBidi" w:hAnsiTheme="majorBidi" w:cstheme="majorBidi"/>
          <w:i/>
          <w:sz w:val="24"/>
          <w:szCs w:val="24"/>
        </w:rPr>
        <w:t> objet</w:t>
      </w:r>
      <w:r w:rsidRPr="00224DF3">
        <w:rPr>
          <w:rFonts w:asciiTheme="majorBidi" w:hAnsiTheme="majorBidi" w:cstheme="majorBidi"/>
          <w:sz w:val="24"/>
          <w:szCs w:val="24"/>
        </w:rPr>
        <w:t> ». Aujourd’hui, on utilise, en Français, le mot « </w:t>
      </w:r>
      <w:r w:rsidRPr="00224DF3">
        <w:rPr>
          <w:rFonts w:asciiTheme="majorBidi" w:hAnsiTheme="majorBidi" w:cstheme="majorBidi"/>
          <w:i/>
          <w:sz w:val="24"/>
          <w:szCs w:val="24"/>
        </w:rPr>
        <w:t>référent </w:t>
      </w:r>
      <w:r w:rsidRPr="00224DF3">
        <w:rPr>
          <w:rFonts w:asciiTheme="majorBidi" w:hAnsiTheme="majorBidi" w:cstheme="majorBidi"/>
          <w:sz w:val="24"/>
          <w:szCs w:val="24"/>
        </w:rPr>
        <w:t xml:space="preserve">» : le </w:t>
      </w:r>
      <w:r w:rsidRPr="00224DF3">
        <w:rPr>
          <w:rFonts w:asciiTheme="majorBidi" w:hAnsiTheme="majorBidi" w:cstheme="majorBidi"/>
          <w:sz w:val="24"/>
          <w:szCs w:val="24"/>
        </w:rPr>
        <w:lastRenderedPageBreak/>
        <w:t>signe renvoi donc à un référent. Cette représentation ne peut se faire qu’en vertu de quelque chose, en vertu d’un code, par exemple la signalisation routière ne peut être comprise que par celui qui connait le code de la route « </w:t>
      </w:r>
      <w:r w:rsidRPr="00224DF3">
        <w:rPr>
          <w:rFonts w:asciiTheme="majorBidi" w:hAnsiTheme="majorBidi" w:cstheme="majorBidi"/>
          <w:i/>
          <w:sz w:val="24"/>
          <w:szCs w:val="24"/>
        </w:rPr>
        <w:t>quelque chose</w:t>
      </w:r>
      <w:r w:rsidRPr="00224DF3">
        <w:rPr>
          <w:rFonts w:asciiTheme="majorBidi" w:hAnsiTheme="majorBidi" w:cstheme="majorBidi"/>
          <w:sz w:val="24"/>
          <w:szCs w:val="24"/>
        </w:rPr>
        <w:t xml:space="preserve"> » en vertu de quoi, le signe fonctionne. Pierce l’a appelé en Anglais, son </w:t>
      </w:r>
      <w:r w:rsidRPr="00224DF3">
        <w:rPr>
          <w:rFonts w:asciiTheme="majorBidi" w:hAnsiTheme="majorBidi" w:cstheme="majorBidi"/>
          <w:i/>
          <w:sz w:val="24"/>
          <w:szCs w:val="24"/>
        </w:rPr>
        <w:t>« Grounds</w:t>
      </w:r>
      <w:r w:rsidRPr="00224DF3">
        <w:rPr>
          <w:rFonts w:asciiTheme="majorBidi" w:hAnsiTheme="majorBidi" w:cstheme="majorBidi"/>
          <w:sz w:val="24"/>
          <w:szCs w:val="24"/>
        </w:rPr>
        <w:t xml:space="preserve"> ». Si le </w:t>
      </w:r>
      <w:r w:rsidRPr="00224DF3">
        <w:rPr>
          <w:rFonts w:asciiTheme="majorBidi" w:hAnsiTheme="majorBidi" w:cstheme="majorBidi"/>
          <w:i/>
          <w:sz w:val="24"/>
          <w:szCs w:val="24"/>
        </w:rPr>
        <w:t>Grounds</w:t>
      </w:r>
      <w:r w:rsidRPr="00224DF3">
        <w:rPr>
          <w:rFonts w:asciiTheme="majorBidi" w:hAnsiTheme="majorBidi" w:cstheme="majorBidi"/>
          <w:sz w:val="24"/>
          <w:szCs w:val="24"/>
        </w:rPr>
        <w:t xml:space="preserve"> du signe est souvent un code, il ne l’est pas toujours, le code est un système de règles, il est trans – individuel.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Le signe est, en outre, interprété, c’est-à-dire qu’à partir du signe original, après sa mise en rapport avec un référent, un nouveau signe se développe : </w:t>
      </w:r>
      <w:r w:rsidRPr="00224DF3">
        <w:rPr>
          <w:rFonts w:asciiTheme="majorBidi" w:hAnsiTheme="majorBidi" w:cstheme="majorBidi"/>
          <w:i/>
          <w:sz w:val="24"/>
          <w:szCs w:val="24"/>
        </w:rPr>
        <w:t>l’interprétant</w:t>
      </w:r>
      <w:r w:rsidRPr="00224DF3">
        <w:rPr>
          <w:rFonts w:asciiTheme="majorBidi" w:hAnsiTheme="majorBidi" w:cstheme="majorBidi"/>
          <w:sz w:val="24"/>
          <w:szCs w:val="24"/>
        </w:rPr>
        <w:t>. Le signe se trouve toujours dans une triple relation, avec son Grounds, avec son référent et avec son interprétant. Pour Pierce, le signe iconique est le plus fondamental ; il y a iconicité dans un texte quand on constate une ressemblance entre un signe textuel et son référent.</w:t>
      </w:r>
    </w:p>
    <w:p w:rsidR="00D501DB" w:rsidRPr="00224DF3" w:rsidRDefault="00D501DB" w:rsidP="00D501DB">
      <w:pPr>
        <w:spacing w:line="360" w:lineRule="auto"/>
        <w:jc w:val="both"/>
        <w:rPr>
          <w:rFonts w:asciiTheme="majorBidi" w:hAnsiTheme="majorBidi" w:cstheme="majorBidi"/>
          <w:b/>
          <w:bCs/>
          <w:sz w:val="24"/>
          <w:szCs w:val="24"/>
        </w:rPr>
      </w:pPr>
      <w:r w:rsidRPr="00224DF3">
        <w:rPr>
          <w:rFonts w:asciiTheme="majorBidi" w:hAnsiTheme="majorBidi" w:cstheme="majorBidi"/>
          <w:b/>
          <w:bCs/>
          <w:sz w:val="24"/>
          <w:szCs w:val="24"/>
        </w:rPr>
        <w:t>Qu’est-ce qu’un signe dans un texte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Tout est susceptible d’être considéré comme un signe ; tout ce qui peut –être observé et défini est susceptible de devenir un signe, que ce soit infiniment petit, atomique ou que ce soit complexe ; se composant d’un grand nombre d’autres signes plus petits. Les signes involontaires, ceux qui n’ont pas été destinés à être considérés comme tels. Le nombre de référents éventuels est également limité. Le référent peut – être concret ou abstrait, réel ou imaginaire. Tout ce que l’esprit humain est capable de concevoir peut- être le référent d’un signe.</w:t>
      </w:r>
    </w:p>
    <w:p w:rsidR="00D501DB"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Dans le poème d’Apollinaire </w:t>
      </w:r>
      <w:r w:rsidRPr="00224DF3">
        <w:rPr>
          <w:rFonts w:asciiTheme="majorBidi" w:hAnsiTheme="majorBidi" w:cstheme="majorBidi"/>
          <w:i/>
          <w:sz w:val="24"/>
          <w:szCs w:val="24"/>
        </w:rPr>
        <w:t>« la colombe poignardée</w:t>
      </w:r>
      <w:r w:rsidRPr="00224DF3">
        <w:rPr>
          <w:rFonts w:asciiTheme="majorBidi" w:hAnsiTheme="majorBidi" w:cstheme="majorBidi"/>
          <w:sz w:val="24"/>
          <w:szCs w:val="24"/>
        </w:rPr>
        <w:t> </w:t>
      </w:r>
      <w:r w:rsidRPr="00224DF3">
        <w:rPr>
          <w:rFonts w:asciiTheme="majorBidi" w:hAnsiTheme="majorBidi" w:cstheme="majorBidi"/>
          <w:i/>
          <w:sz w:val="24"/>
          <w:szCs w:val="24"/>
        </w:rPr>
        <w:t>et le jet d’eau</w:t>
      </w:r>
      <w:r w:rsidRPr="00224DF3">
        <w:rPr>
          <w:rFonts w:asciiTheme="majorBidi" w:hAnsiTheme="majorBidi" w:cstheme="majorBidi"/>
          <w:sz w:val="24"/>
          <w:szCs w:val="24"/>
        </w:rPr>
        <w:t xml:space="preserve">», les éléments linguistiques qui composent le poème sont arrangés de telle façon qu’ils désignent les contours d’une colombe et d’un jet d’eau. Cette disposition typographique choisie est considérée comme un signe, ce n’est pas un hasard si le poème sur la colombe poignardée et jet d’eau avait la forme d’une colombe et d’un jet d’eau. Le phénomène se présente dans tout poème où la disposition typographique s’adapte pour ainsi dire à son référent.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Dans ce genre de poème, appartenant à ce qu’on appelle la poésie visuelle ou concrète, c’est-à-dire à la poésie qui comporte un aspect non linguistique important, la disposition typographique n’est pas pertinente pour la signification sans ce signe typographique, le lecteur saurait tout aussi bien quel est le référent du texte. L’iconicité est en ce cas à peine plus qu’une fioriture (ornement). Du point de vue de la signification, elle est superflue mais il y a une iconicité moins évidente, non redondante, chargée d’information et de signification. Elle nous permet de donner une interprétation du texte.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lastRenderedPageBreak/>
        <w:t>La sémiotique, également appelée sémiologie, est la science des signes. Elle procède des travaux de F. de Saussure, de Ch. S. Pierce et L. T .Hjelmslev ; elle considère le discours comme une totalité signifiante, et se donne comme premier objet une grammaire permettant l’analyse des textes et permettant de comprendre le passage du niveau de la manifestation du sens à celui de l’immanence.</w:t>
      </w:r>
    </w:p>
    <w:p w:rsidR="00D501DB" w:rsidRPr="00224DF3" w:rsidRDefault="00D501DB" w:rsidP="00D501DB">
      <w:pPr>
        <w:spacing w:line="360" w:lineRule="auto"/>
        <w:jc w:val="both"/>
        <w:rPr>
          <w:rFonts w:asciiTheme="majorBidi" w:hAnsiTheme="majorBidi" w:cstheme="majorBidi"/>
          <w:b/>
          <w:bCs/>
          <w:sz w:val="24"/>
          <w:szCs w:val="24"/>
        </w:rPr>
      </w:pPr>
      <w:r w:rsidRPr="00224DF3">
        <w:rPr>
          <w:rFonts w:asciiTheme="majorBidi" w:hAnsiTheme="majorBidi" w:cstheme="majorBidi"/>
          <w:b/>
          <w:bCs/>
          <w:sz w:val="24"/>
          <w:szCs w:val="24"/>
        </w:rPr>
        <w:t>Sémiologie ou Sémiotique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Deux termes en concurrence pour désigner une discipline qui a connu dans les années 60- 70 une grande diffusion. Les deux termes viennent du grec « </w:t>
      </w:r>
      <w:proofErr w:type="spellStart"/>
      <w:r w:rsidRPr="00224DF3">
        <w:rPr>
          <w:rFonts w:asciiTheme="majorBidi" w:hAnsiTheme="majorBidi" w:cstheme="majorBidi"/>
          <w:i/>
          <w:sz w:val="24"/>
          <w:szCs w:val="24"/>
        </w:rPr>
        <w:t>sémeion</w:t>
      </w:r>
      <w:proofErr w:type="spellEnd"/>
      <w:r w:rsidRPr="00224DF3">
        <w:rPr>
          <w:rFonts w:asciiTheme="majorBidi" w:hAnsiTheme="majorBidi" w:cstheme="majorBidi"/>
          <w:i/>
          <w:sz w:val="24"/>
          <w:szCs w:val="24"/>
        </w:rPr>
        <w:t> »</w:t>
      </w:r>
      <w:r w:rsidRPr="00224DF3">
        <w:rPr>
          <w:rFonts w:asciiTheme="majorBidi" w:hAnsiTheme="majorBidi" w:cstheme="majorBidi"/>
          <w:sz w:val="24"/>
          <w:szCs w:val="24"/>
        </w:rPr>
        <w:t xml:space="preserve"> qui signifie </w:t>
      </w:r>
      <w:r w:rsidRPr="00224DF3">
        <w:rPr>
          <w:rFonts w:asciiTheme="majorBidi" w:hAnsiTheme="majorBidi" w:cstheme="majorBidi"/>
          <w:i/>
          <w:sz w:val="24"/>
          <w:szCs w:val="24"/>
        </w:rPr>
        <w:t>« signe</w:t>
      </w:r>
      <w:r w:rsidRPr="00224DF3">
        <w:rPr>
          <w:rFonts w:asciiTheme="majorBidi" w:hAnsiTheme="majorBidi" w:cstheme="majorBidi"/>
          <w:sz w:val="24"/>
          <w:szCs w:val="24"/>
        </w:rPr>
        <w:t> ». Le terme « </w:t>
      </w:r>
      <w:r w:rsidRPr="00224DF3">
        <w:rPr>
          <w:rFonts w:asciiTheme="majorBidi" w:hAnsiTheme="majorBidi" w:cstheme="majorBidi"/>
          <w:i/>
          <w:sz w:val="24"/>
          <w:szCs w:val="24"/>
        </w:rPr>
        <w:t>sémiotique</w:t>
      </w:r>
      <w:r w:rsidRPr="00224DF3">
        <w:rPr>
          <w:rFonts w:asciiTheme="majorBidi" w:hAnsiTheme="majorBidi" w:cstheme="majorBidi"/>
          <w:sz w:val="24"/>
          <w:szCs w:val="24"/>
        </w:rPr>
        <w:t> » peut être  considéré comme une introduction de l’Anglais «</w:t>
      </w:r>
      <w:r w:rsidRPr="00224DF3">
        <w:rPr>
          <w:rFonts w:asciiTheme="majorBidi" w:hAnsiTheme="majorBidi" w:cstheme="majorBidi"/>
          <w:i/>
          <w:sz w:val="24"/>
          <w:szCs w:val="24"/>
        </w:rPr>
        <w:t> </w:t>
      </w:r>
      <w:proofErr w:type="spellStart"/>
      <w:r w:rsidRPr="00224DF3">
        <w:rPr>
          <w:rFonts w:asciiTheme="majorBidi" w:hAnsiTheme="majorBidi" w:cstheme="majorBidi"/>
          <w:i/>
          <w:sz w:val="24"/>
          <w:szCs w:val="24"/>
        </w:rPr>
        <w:t>sémiotics</w:t>
      </w:r>
      <w:proofErr w:type="spellEnd"/>
      <w:r w:rsidRPr="00224DF3">
        <w:rPr>
          <w:rFonts w:asciiTheme="majorBidi" w:hAnsiTheme="majorBidi" w:cstheme="majorBidi"/>
          <w:sz w:val="24"/>
          <w:szCs w:val="24"/>
        </w:rPr>
        <w:t xml:space="preserve"> ». Ce dernier a été employé pour la première fois au 18 </w:t>
      </w:r>
      <w:r w:rsidRPr="00224DF3">
        <w:rPr>
          <w:rFonts w:asciiTheme="majorBidi" w:hAnsiTheme="majorBidi" w:cstheme="majorBidi"/>
          <w:sz w:val="24"/>
          <w:szCs w:val="24"/>
          <w:vertAlign w:val="superscript"/>
        </w:rPr>
        <w:t>ème</w:t>
      </w:r>
      <w:r w:rsidRPr="00224DF3">
        <w:rPr>
          <w:rFonts w:asciiTheme="majorBidi" w:hAnsiTheme="majorBidi" w:cstheme="majorBidi"/>
          <w:sz w:val="24"/>
          <w:szCs w:val="24"/>
        </w:rPr>
        <w:t xml:space="preserve"> S par le philosophe John Locke, certains disent que c’est par le philosophe Allemand Lambert qu’il a été utilisé en premier, et donnera lieu à cette discipline développée par Charles </w:t>
      </w:r>
      <w:proofErr w:type="spellStart"/>
      <w:r w:rsidRPr="00224DF3">
        <w:rPr>
          <w:rFonts w:asciiTheme="majorBidi" w:hAnsiTheme="majorBidi" w:cstheme="majorBidi"/>
          <w:sz w:val="24"/>
          <w:szCs w:val="24"/>
        </w:rPr>
        <w:t>Sanders</w:t>
      </w:r>
      <w:proofErr w:type="spellEnd"/>
      <w:r w:rsidRPr="00224DF3">
        <w:rPr>
          <w:rFonts w:asciiTheme="majorBidi" w:hAnsiTheme="majorBidi" w:cstheme="majorBidi"/>
          <w:sz w:val="24"/>
          <w:szCs w:val="24"/>
        </w:rPr>
        <w:t xml:space="preserve"> Pierce (1839- 1914) et Charles Morris. Sémiologie, terme forgé par Ferdinand de Saussure et revendiqué en France par le mouvement structuraliste.</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Cette ignorance mutuelle a conduit à d’importantes différences surtout dans l’utilisation des concepts, entre les travaux des sémioticiens d’inspiration peircienne, d’une part, et ceux des sémioticiens d’inspiration saussurienne. D’autre part, ces divergences remontent peut- être  avant tout à cette différence originelle : Pierce fut philosophe et logicien. Saussure, fondateur de la linguistique générale.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La sémiologie, selon Saussure, est l’étude de tout système de signification en tant que langage. Ainsi, les rapports sociaux, les arts, les religions, les codes vestimentaires qui ne sont pas des systèmes verbaux peuvent – être étudiés comme des systèmes de « </w:t>
      </w:r>
      <w:r w:rsidRPr="00224DF3">
        <w:rPr>
          <w:rFonts w:asciiTheme="majorBidi" w:hAnsiTheme="majorBidi" w:cstheme="majorBidi"/>
          <w:i/>
          <w:sz w:val="24"/>
          <w:szCs w:val="24"/>
        </w:rPr>
        <w:t>signes</w:t>
      </w:r>
      <w:r w:rsidRPr="00224DF3">
        <w:rPr>
          <w:rFonts w:asciiTheme="majorBidi" w:hAnsiTheme="majorBidi" w:cstheme="majorBidi"/>
          <w:sz w:val="24"/>
          <w:szCs w:val="24"/>
        </w:rPr>
        <w:t> » autrement dit comme des langages. Pour Saussure, la sémiologie est « </w:t>
      </w:r>
      <w:r w:rsidRPr="00224DF3">
        <w:rPr>
          <w:rFonts w:asciiTheme="majorBidi" w:hAnsiTheme="majorBidi" w:cstheme="majorBidi"/>
          <w:i/>
          <w:sz w:val="24"/>
          <w:szCs w:val="24"/>
        </w:rPr>
        <w:t>la science qui étudie la vie des signes au sein de la vie sociale</w:t>
      </w:r>
      <w:r w:rsidRPr="00224DF3">
        <w:rPr>
          <w:rFonts w:asciiTheme="majorBidi" w:hAnsiTheme="majorBidi" w:cstheme="majorBidi"/>
          <w:sz w:val="24"/>
          <w:szCs w:val="24"/>
        </w:rPr>
        <w:t xml:space="preserve"> ». On peut trouver en eux (les signes) ce qui caractérise toute langue : une dimension syntaxique (rapport formel des signes entre eux), une dimension sémantique (rapport entre signe et ce qu’ils désignent), une dimension pragmatique (rapport entre les signes et leur utilisation dans la communication). </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 xml:space="preserve">De façon plus spéciale, on pourra considérer que la sémiologie est une analyse théorique de tout ce qui est : codes, grammaire, systèmes, conventions, ainsi que de tout ce qui relève de la transmission de l’information. La sémiologie classera, par exemple, les différents types de signes selon leurs fonctionnements. Elle pourra s’intéresser à ce qui distingue l’emploi des </w:t>
      </w:r>
      <w:r w:rsidRPr="00224DF3">
        <w:rPr>
          <w:rFonts w:asciiTheme="majorBidi" w:hAnsiTheme="majorBidi" w:cstheme="majorBidi"/>
          <w:sz w:val="24"/>
          <w:szCs w:val="24"/>
        </w:rPr>
        <w:lastRenderedPageBreak/>
        <w:t xml:space="preserve">signes par les animaux et par les hommes, essayer de montrer quel est le lieu entre la communication animale et le développement du langage humain. </w:t>
      </w:r>
    </w:p>
    <w:p w:rsidR="00D501DB" w:rsidRPr="00224DF3" w:rsidRDefault="00D501DB" w:rsidP="00D501DB">
      <w:pPr>
        <w:spacing w:line="360" w:lineRule="auto"/>
        <w:jc w:val="both"/>
        <w:rPr>
          <w:rFonts w:asciiTheme="majorBidi" w:hAnsiTheme="majorBidi" w:cstheme="majorBidi"/>
          <w:sz w:val="24"/>
          <w:szCs w:val="24"/>
        </w:rPr>
      </w:pPr>
      <w:r>
        <w:rPr>
          <w:rFonts w:asciiTheme="majorBidi" w:hAnsiTheme="majorBidi" w:cstheme="majorBidi"/>
          <w:sz w:val="24"/>
          <w:szCs w:val="24"/>
        </w:rPr>
        <w:t xml:space="preserve"> </w:t>
      </w:r>
      <w:r w:rsidRPr="00224DF3">
        <w:rPr>
          <w:rFonts w:asciiTheme="majorBidi" w:hAnsiTheme="majorBidi" w:cstheme="majorBidi"/>
          <w:sz w:val="24"/>
          <w:szCs w:val="24"/>
        </w:rPr>
        <w:t>La sémiologie se fonde sur trois concepts fondamentaux : le concept de code, le concept de signe, le concept de système : </w:t>
      </w:r>
      <w:r w:rsidRPr="00224DF3">
        <w:rPr>
          <w:rFonts w:asciiTheme="majorBidi" w:hAnsiTheme="majorBidi" w:cstheme="majorBidi"/>
          <w:i/>
          <w:sz w:val="24"/>
          <w:szCs w:val="24"/>
        </w:rPr>
        <w:t>« pour la sémiologie tout langage au sens large, est un code qui repose sur l’organisation en système d’un ensemble de signes </w:t>
      </w:r>
      <w:r w:rsidRPr="00224DF3">
        <w:rPr>
          <w:rFonts w:asciiTheme="majorBidi" w:hAnsiTheme="majorBidi" w:cstheme="majorBidi"/>
          <w:sz w:val="24"/>
          <w:szCs w:val="24"/>
        </w:rPr>
        <w:t>».  Il est clair que la sémiologie est en grande partie une science de l’interprétation. Selon Morris, par exemple, « </w:t>
      </w:r>
      <w:r w:rsidRPr="00224DF3">
        <w:rPr>
          <w:rFonts w:asciiTheme="majorBidi" w:hAnsiTheme="majorBidi" w:cstheme="majorBidi"/>
          <w:i/>
          <w:sz w:val="24"/>
          <w:szCs w:val="24"/>
        </w:rPr>
        <w:t>une chose n’est un signe que par ce qu’elle est interprétée comme le signe de quelque chose par un interprète »</w:t>
      </w:r>
      <w:r w:rsidRPr="00224DF3">
        <w:rPr>
          <w:rFonts w:asciiTheme="majorBidi" w:hAnsiTheme="majorBidi" w:cstheme="majorBidi"/>
          <w:sz w:val="24"/>
          <w:szCs w:val="24"/>
        </w:rPr>
        <w:t>. La sémiologie n’est donc pas un réservoir de connaissances : elle est plutôt un regard, une interprétation perpétuelle.</w:t>
      </w:r>
    </w:p>
    <w:p w:rsidR="00D501DB" w:rsidRPr="00224DF3" w:rsidRDefault="00D501DB" w:rsidP="00D501DB">
      <w:pPr>
        <w:spacing w:line="360" w:lineRule="auto"/>
        <w:jc w:val="both"/>
        <w:rPr>
          <w:rFonts w:asciiTheme="majorBidi" w:hAnsiTheme="majorBidi" w:cstheme="majorBidi"/>
          <w:sz w:val="24"/>
          <w:szCs w:val="24"/>
        </w:rPr>
      </w:pPr>
      <w:r w:rsidRPr="00224DF3">
        <w:rPr>
          <w:rFonts w:asciiTheme="majorBidi" w:hAnsiTheme="majorBidi" w:cstheme="majorBidi"/>
          <w:sz w:val="24"/>
          <w:szCs w:val="24"/>
        </w:rPr>
        <w:t>Pierce propose le mot sémiotique, comme synonyme du mot « </w:t>
      </w:r>
      <w:r w:rsidRPr="00224DF3">
        <w:rPr>
          <w:rFonts w:asciiTheme="majorBidi" w:hAnsiTheme="majorBidi" w:cstheme="majorBidi"/>
          <w:i/>
          <w:sz w:val="24"/>
          <w:szCs w:val="24"/>
        </w:rPr>
        <w:t>logique </w:t>
      </w:r>
      <w:r w:rsidRPr="00224DF3">
        <w:rPr>
          <w:rFonts w:asciiTheme="majorBidi" w:hAnsiTheme="majorBidi" w:cstheme="majorBidi"/>
          <w:sz w:val="24"/>
          <w:szCs w:val="24"/>
        </w:rPr>
        <w:t xml:space="preserve">», car l’hypothèse fondamentale de la théorie peircienne est que les raisonnements s’exécutent au moyen de signes. Les signes nous permettent de penser, de communiquer avec autrui, de donner un sens à ce que l’univers propose. En élaborant sa théorie sémiotique. Pierce se concentre sur le fonctionnement des signes en général.   </w:t>
      </w:r>
    </w:p>
    <w:p w:rsidR="00D501DB" w:rsidRPr="00224DF3" w:rsidRDefault="00D501DB" w:rsidP="00D501DB">
      <w:pPr>
        <w:spacing w:line="360" w:lineRule="auto"/>
        <w:jc w:val="both"/>
        <w:rPr>
          <w:rFonts w:asciiTheme="majorBidi" w:eastAsia="Times New Roman" w:hAnsiTheme="majorBidi" w:cstheme="majorBidi"/>
          <w:sz w:val="24"/>
          <w:szCs w:val="24"/>
          <w:lang w:eastAsia="fr-FR"/>
        </w:rPr>
      </w:pPr>
      <w:r w:rsidRPr="00224DF3">
        <w:rPr>
          <w:rFonts w:asciiTheme="majorBidi" w:eastAsia="Times New Roman" w:hAnsiTheme="majorBidi" w:cstheme="majorBidi"/>
          <w:sz w:val="24"/>
          <w:szCs w:val="24"/>
          <w:lang w:eastAsia="fr-FR"/>
        </w:rPr>
        <w:t xml:space="preserve">La sémiotique, théorie de la signification, du signe et du sens est  aussi : </w:t>
      </w:r>
      <w:bookmarkStart w:id="0" w:name="_GoBack"/>
      <w:bookmarkEnd w:id="0"/>
      <w:r w:rsidRPr="00224DF3">
        <w:rPr>
          <w:rFonts w:asciiTheme="majorBidi" w:eastAsia="Times New Roman" w:hAnsiTheme="majorBidi" w:cstheme="majorBidi"/>
          <w:i/>
          <w:sz w:val="24"/>
          <w:szCs w:val="24"/>
          <w:lang w:eastAsia="fr-FR"/>
        </w:rPr>
        <w:t>« la science qui étudie la vie des signes au sein de la vie sociale »</w:t>
      </w:r>
      <w:r w:rsidRPr="00224DF3">
        <w:rPr>
          <w:rFonts w:asciiTheme="majorBidi" w:eastAsia="Times New Roman" w:hAnsiTheme="majorBidi" w:cstheme="majorBidi"/>
          <w:sz w:val="24"/>
          <w:szCs w:val="24"/>
          <w:lang w:eastAsia="fr-FR"/>
        </w:rPr>
        <w:t>. Elle joue, pour Barthes, le rôle de catharsis, c'est –à dire une autre manière de « </w:t>
      </w:r>
      <w:r w:rsidRPr="00224DF3">
        <w:rPr>
          <w:rFonts w:asciiTheme="majorBidi" w:eastAsia="Times New Roman" w:hAnsiTheme="majorBidi" w:cstheme="majorBidi"/>
          <w:i/>
          <w:sz w:val="24"/>
          <w:szCs w:val="24"/>
          <w:lang w:eastAsia="fr-FR"/>
        </w:rPr>
        <w:t>dire</w:t>
      </w:r>
      <w:r w:rsidRPr="00224DF3">
        <w:rPr>
          <w:rFonts w:asciiTheme="majorBidi" w:eastAsia="Times New Roman" w:hAnsiTheme="majorBidi" w:cstheme="majorBidi"/>
          <w:sz w:val="24"/>
          <w:szCs w:val="24"/>
          <w:lang w:eastAsia="fr-FR"/>
        </w:rPr>
        <w:t xml:space="preserve"> » et de « </w:t>
      </w:r>
      <w:r w:rsidRPr="00224DF3">
        <w:rPr>
          <w:rFonts w:asciiTheme="majorBidi" w:eastAsia="Times New Roman" w:hAnsiTheme="majorBidi" w:cstheme="majorBidi"/>
          <w:i/>
          <w:sz w:val="24"/>
          <w:szCs w:val="24"/>
          <w:lang w:eastAsia="fr-FR"/>
        </w:rPr>
        <w:t>lire</w:t>
      </w:r>
      <w:r w:rsidRPr="00224DF3">
        <w:rPr>
          <w:rFonts w:asciiTheme="majorBidi" w:eastAsia="Times New Roman" w:hAnsiTheme="majorBidi" w:cstheme="majorBidi"/>
          <w:sz w:val="24"/>
          <w:szCs w:val="24"/>
          <w:lang w:eastAsia="fr-FR"/>
        </w:rPr>
        <w:t xml:space="preserve"> ». Et comme il s’agit de lire un texte littéraire, on doit s’attendre à « </w:t>
      </w:r>
      <w:r w:rsidRPr="00224DF3">
        <w:rPr>
          <w:rFonts w:asciiTheme="majorBidi" w:eastAsia="Times New Roman" w:hAnsiTheme="majorBidi" w:cstheme="majorBidi"/>
          <w:i/>
          <w:sz w:val="24"/>
          <w:szCs w:val="24"/>
          <w:lang w:eastAsia="fr-FR"/>
        </w:rPr>
        <w:t>ce que tout élément y fasse signe</w:t>
      </w:r>
      <w:r w:rsidRPr="00224DF3">
        <w:rPr>
          <w:rFonts w:asciiTheme="majorBidi" w:eastAsia="Times New Roman" w:hAnsiTheme="majorBidi" w:cstheme="majorBidi"/>
          <w:sz w:val="24"/>
          <w:szCs w:val="24"/>
          <w:lang w:eastAsia="fr-FR"/>
        </w:rPr>
        <w:t xml:space="preserve"> ». Donc lire un texte littéraire, consiste à entreprendre une tâche exploratrice à la recherche de signes significatifs, nous propose G. </w:t>
      </w:r>
      <w:proofErr w:type="spellStart"/>
      <w:r w:rsidRPr="00224DF3">
        <w:rPr>
          <w:rFonts w:asciiTheme="majorBidi" w:eastAsia="Times New Roman" w:hAnsiTheme="majorBidi" w:cstheme="majorBidi"/>
          <w:sz w:val="24"/>
          <w:szCs w:val="24"/>
          <w:lang w:eastAsia="fr-FR"/>
        </w:rPr>
        <w:t>Vigner</w:t>
      </w:r>
      <w:proofErr w:type="spellEnd"/>
      <w:r w:rsidRPr="00224DF3">
        <w:rPr>
          <w:rFonts w:asciiTheme="majorBidi" w:eastAsia="Times New Roman" w:hAnsiTheme="majorBidi" w:cstheme="majorBidi"/>
          <w:sz w:val="24"/>
          <w:szCs w:val="24"/>
          <w:lang w:eastAsia="fr-FR"/>
        </w:rPr>
        <w:t xml:space="preserve">, car le texte littéraire est posé comme source de signes multiples, à différents niveaux, qu’il faut repérer, relever puis interpréter. </w:t>
      </w:r>
    </w:p>
    <w:p w:rsidR="00D501DB" w:rsidRPr="00224DF3" w:rsidRDefault="00D501DB" w:rsidP="00D501DB">
      <w:pPr>
        <w:spacing w:line="360" w:lineRule="auto"/>
        <w:jc w:val="both"/>
        <w:rPr>
          <w:rFonts w:asciiTheme="majorBidi" w:eastAsia="Times New Roman" w:hAnsiTheme="majorBidi" w:cstheme="majorBidi"/>
          <w:sz w:val="24"/>
          <w:szCs w:val="24"/>
          <w:lang w:eastAsia="fr-FR"/>
        </w:rPr>
      </w:pPr>
      <w:r w:rsidRPr="00224DF3">
        <w:rPr>
          <w:rFonts w:asciiTheme="majorBidi" w:eastAsia="Times New Roman" w:hAnsiTheme="majorBidi" w:cstheme="majorBidi"/>
          <w:sz w:val="24"/>
          <w:szCs w:val="24"/>
          <w:lang w:eastAsia="fr-FR"/>
        </w:rPr>
        <w:t>«</w:t>
      </w:r>
      <w:r w:rsidRPr="00224DF3">
        <w:rPr>
          <w:rFonts w:asciiTheme="majorBidi" w:eastAsia="Times New Roman" w:hAnsiTheme="majorBidi" w:cstheme="majorBidi"/>
          <w:i/>
          <w:sz w:val="24"/>
          <w:szCs w:val="24"/>
          <w:lang w:eastAsia="fr-FR"/>
        </w:rPr>
        <w:t>Un signe est une matérialité que l’on perçoit avec l’un ou plusieurs de nos sens »</w:t>
      </w:r>
      <w:r w:rsidRPr="00224DF3">
        <w:rPr>
          <w:rFonts w:asciiTheme="majorBidi" w:eastAsia="Times New Roman" w:hAnsiTheme="majorBidi" w:cstheme="majorBidi"/>
          <w:sz w:val="24"/>
          <w:szCs w:val="24"/>
          <w:lang w:eastAsia="fr-FR"/>
        </w:rPr>
        <w:t xml:space="preserve">. On peut le voir (par exemple : une couleur), l’entendre (un cri), le sentir (un parfum), le toucher ou encore le goûter. Ces signes perçus renvoient à quelque chose d’autre, c’est là leur particularité : être là pour désigner et signifier autre chose. « </w:t>
      </w:r>
      <w:r w:rsidRPr="00224DF3">
        <w:rPr>
          <w:rFonts w:asciiTheme="majorBidi" w:eastAsia="Times New Roman" w:hAnsiTheme="majorBidi" w:cstheme="majorBidi"/>
          <w:i/>
          <w:sz w:val="24"/>
          <w:szCs w:val="24"/>
          <w:lang w:eastAsia="fr-FR"/>
        </w:rPr>
        <w:t>Un signe est quelque chose, tenant lieu de quelque chose pour quelqu’un, sous quelque rapport, ou à quelque titre</w:t>
      </w:r>
      <w:r w:rsidRPr="00224DF3">
        <w:rPr>
          <w:rFonts w:asciiTheme="majorBidi" w:eastAsia="Times New Roman" w:hAnsiTheme="majorBidi" w:cstheme="majorBidi"/>
          <w:sz w:val="24"/>
          <w:szCs w:val="24"/>
          <w:lang w:eastAsia="fr-FR"/>
        </w:rPr>
        <w:t xml:space="preserve"> ». </w:t>
      </w:r>
    </w:p>
    <w:p w:rsidR="00D501DB" w:rsidRDefault="00D501DB" w:rsidP="00D501DB">
      <w:pPr>
        <w:spacing w:line="360" w:lineRule="auto"/>
        <w:jc w:val="both"/>
        <w:rPr>
          <w:rFonts w:asciiTheme="majorBidi" w:eastAsia="Times New Roman" w:hAnsiTheme="majorBidi" w:cstheme="majorBidi"/>
          <w:sz w:val="24"/>
          <w:szCs w:val="24"/>
          <w:lang w:eastAsia="fr-FR"/>
        </w:rPr>
      </w:pPr>
      <w:r w:rsidRPr="00224DF3">
        <w:rPr>
          <w:rFonts w:asciiTheme="majorBidi" w:eastAsia="Times New Roman" w:hAnsiTheme="majorBidi" w:cstheme="majorBidi"/>
          <w:sz w:val="24"/>
          <w:szCs w:val="24"/>
          <w:lang w:eastAsia="fr-FR"/>
        </w:rPr>
        <w:t xml:space="preserve">Pour Peirce aussi, le signe est d’abord direction ; en effet, dire qu’un objet ou une situation ont un sens, c’est dire qu’ils tendent vers quelque chose </w:t>
      </w:r>
      <w:r w:rsidRPr="00224DF3">
        <w:rPr>
          <w:rFonts w:asciiTheme="majorBidi" w:eastAsia="Times New Roman" w:hAnsiTheme="majorBidi" w:cstheme="majorBidi"/>
          <w:i/>
          <w:sz w:val="24"/>
          <w:szCs w:val="24"/>
          <w:lang w:eastAsia="fr-FR"/>
        </w:rPr>
        <w:t xml:space="preserve">« dans la mesure où le sens d’un texte s’est rendu autonome par rapport à l’intention subjective de son auteur, la question essentielle n’est plus de retrouver derrière le texte, l’intention perdue, mais de déployer en quelque sorte devant le texte, «le monde » qu’il ouvre et découvre </w:t>
      </w:r>
      <w:r w:rsidRPr="00224DF3">
        <w:rPr>
          <w:rFonts w:asciiTheme="majorBidi" w:eastAsia="Times New Roman" w:hAnsiTheme="majorBidi" w:cstheme="majorBidi"/>
          <w:sz w:val="24"/>
          <w:szCs w:val="24"/>
          <w:lang w:eastAsia="fr-FR"/>
        </w:rPr>
        <w:t xml:space="preserve">». Tout « objet </w:t>
      </w:r>
      <w:r w:rsidRPr="00224DF3">
        <w:rPr>
          <w:rFonts w:asciiTheme="majorBidi" w:eastAsia="Times New Roman" w:hAnsiTheme="majorBidi" w:cstheme="majorBidi"/>
          <w:sz w:val="24"/>
          <w:szCs w:val="24"/>
          <w:lang w:eastAsia="fr-FR"/>
        </w:rPr>
        <w:lastRenderedPageBreak/>
        <w:t>sémiotique</w:t>
      </w:r>
      <w:r>
        <w:rPr>
          <w:rFonts w:asciiTheme="majorBidi" w:eastAsia="Times New Roman" w:hAnsiTheme="majorBidi" w:cstheme="majorBidi"/>
          <w:sz w:val="24"/>
          <w:szCs w:val="24"/>
          <w:lang w:eastAsia="fr-FR"/>
        </w:rPr>
        <w:t xml:space="preserve"> » </w:t>
      </w:r>
      <w:r w:rsidRPr="00224DF3">
        <w:rPr>
          <w:rFonts w:asciiTheme="majorBidi" w:eastAsia="Times New Roman" w:hAnsiTheme="majorBidi" w:cstheme="majorBidi"/>
          <w:sz w:val="24"/>
          <w:szCs w:val="24"/>
          <w:lang w:eastAsia="fr-FR"/>
        </w:rPr>
        <w:t>est considéré à priori comme ayant du sens, c'est</w:t>
      </w:r>
      <w:r>
        <w:rPr>
          <w:rFonts w:asciiTheme="majorBidi" w:eastAsia="Times New Roman" w:hAnsiTheme="majorBidi" w:cstheme="majorBidi"/>
          <w:sz w:val="24"/>
          <w:szCs w:val="24"/>
          <w:lang w:eastAsia="fr-FR"/>
        </w:rPr>
        <w:t xml:space="preserve">- </w:t>
      </w:r>
      <w:r w:rsidRPr="00224DF3">
        <w:rPr>
          <w:rFonts w:asciiTheme="majorBidi" w:eastAsia="Times New Roman" w:hAnsiTheme="majorBidi" w:cstheme="majorBidi"/>
          <w:sz w:val="24"/>
          <w:szCs w:val="24"/>
          <w:lang w:eastAsia="fr-FR"/>
        </w:rPr>
        <w:t>à - dire que tout élément d’une culture donnée est toujours d’ordre sémiotique (dans notre cas, ce sont les noms, les couleurs et les chiffres) et qu’il possède nécessairement du «</w:t>
      </w:r>
      <w:r w:rsidRPr="00224DF3">
        <w:rPr>
          <w:rFonts w:asciiTheme="majorBidi" w:eastAsia="Times New Roman" w:hAnsiTheme="majorBidi" w:cstheme="majorBidi"/>
          <w:i/>
          <w:sz w:val="24"/>
          <w:szCs w:val="24"/>
          <w:lang w:eastAsia="fr-FR"/>
        </w:rPr>
        <w:t>sens</w:t>
      </w:r>
      <w:r w:rsidRPr="00224DF3">
        <w:rPr>
          <w:rFonts w:asciiTheme="majorBidi" w:eastAsia="Times New Roman" w:hAnsiTheme="majorBidi" w:cstheme="majorBidi"/>
          <w:sz w:val="24"/>
          <w:szCs w:val="24"/>
          <w:lang w:eastAsia="fr-FR"/>
        </w:rPr>
        <w:t xml:space="preserve"> ». </w:t>
      </w:r>
    </w:p>
    <w:p w:rsidR="00D501DB" w:rsidRDefault="00D501DB" w:rsidP="00D501DB">
      <w:pPr>
        <w:spacing w:line="360" w:lineRule="auto"/>
        <w:jc w:val="both"/>
        <w:rPr>
          <w:rFonts w:asciiTheme="majorBidi" w:eastAsia="Times New Roman" w:hAnsiTheme="majorBidi" w:cstheme="majorBidi"/>
          <w:sz w:val="24"/>
          <w:szCs w:val="24"/>
          <w:lang w:eastAsia="fr-FR"/>
        </w:rPr>
      </w:pPr>
      <w:r w:rsidRPr="00224DF3">
        <w:rPr>
          <w:rFonts w:asciiTheme="majorBidi" w:eastAsia="Times New Roman" w:hAnsiTheme="majorBidi" w:cstheme="majorBidi"/>
          <w:sz w:val="24"/>
          <w:szCs w:val="24"/>
          <w:lang w:eastAsia="fr-FR"/>
        </w:rPr>
        <w:t xml:space="preserve">La sémiotique s’intéresse à tout ce qui relève de la culture, à tout ce qui peut - être utilisé et interprété par l’homme. En ce sens </w:t>
      </w:r>
      <w:r w:rsidRPr="00224DF3">
        <w:rPr>
          <w:rFonts w:asciiTheme="majorBidi" w:eastAsia="Times New Roman" w:hAnsiTheme="majorBidi" w:cstheme="majorBidi"/>
          <w:i/>
          <w:sz w:val="24"/>
          <w:szCs w:val="24"/>
          <w:lang w:eastAsia="fr-FR"/>
        </w:rPr>
        <w:t xml:space="preserve">« tout ce qui a trait à la culture est coextensif à la sémiotique </w:t>
      </w:r>
      <w:r w:rsidRPr="00224DF3">
        <w:rPr>
          <w:rFonts w:asciiTheme="majorBidi" w:eastAsia="Times New Roman" w:hAnsiTheme="majorBidi" w:cstheme="majorBidi"/>
          <w:sz w:val="24"/>
          <w:szCs w:val="24"/>
          <w:lang w:eastAsia="fr-FR"/>
        </w:rPr>
        <w:t xml:space="preserve">». Le signe permet alors d’ancrer le texte dans son contexte (pour Peirce, il s’agit d’une sémiotique en contexte); c’est ainsi que </w:t>
      </w:r>
    </w:p>
    <w:p w:rsidR="00D501DB" w:rsidRPr="00224DF3" w:rsidRDefault="00D501DB" w:rsidP="00D501DB">
      <w:pPr>
        <w:ind w:left="1134" w:right="1134"/>
        <w:jc w:val="both"/>
        <w:rPr>
          <w:rFonts w:asciiTheme="majorBidi" w:eastAsia="Times New Roman" w:hAnsiTheme="majorBidi" w:cstheme="majorBidi"/>
          <w:lang w:eastAsia="fr-FR"/>
        </w:rPr>
      </w:pPr>
      <w:proofErr w:type="gramStart"/>
      <w:r>
        <w:rPr>
          <w:rFonts w:asciiTheme="majorBidi" w:eastAsia="Times New Roman" w:hAnsiTheme="majorBidi" w:cstheme="majorBidi"/>
          <w:lang w:eastAsia="fr-FR"/>
        </w:rPr>
        <w:t>l</w:t>
      </w:r>
      <w:r w:rsidRPr="00224DF3">
        <w:rPr>
          <w:rFonts w:asciiTheme="majorBidi" w:eastAsia="Times New Roman" w:hAnsiTheme="majorBidi" w:cstheme="majorBidi"/>
          <w:lang w:eastAsia="fr-FR"/>
        </w:rPr>
        <w:t>e</w:t>
      </w:r>
      <w:proofErr w:type="gramEnd"/>
      <w:r w:rsidRPr="00224DF3">
        <w:rPr>
          <w:rFonts w:asciiTheme="majorBidi" w:eastAsia="Times New Roman" w:hAnsiTheme="majorBidi" w:cstheme="majorBidi"/>
          <w:i/>
          <w:lang w:eastAsia="fr-FR"/>
        </w:rPr>
        <w:t xml:space="preserve"> signe permet notre enracinement et nos aspirations dans leurs rapports à nos références ...et parce qu’il habite justement la mémoire humaine, il est garant du développement de l’espèce humaine, partagée aux plans scientifique, technologique et technique par la dialectique du ressourcement et du renouvellement..</w:t>
      </w:r>
      <w:r>
        <w:rPr>
          <w:rFonts w:asciiTheme="majorBidi" w:eastAsia="Times New Roman" w:hAnsiTheme="majorBidi" w:cstheme="majorBidi"/>
          <w:lang w:eastAsia="fr-FR"/>
        </w:rPr>
        <w:t>.</w:t>
      </w:r>
      <w:r w:rsidRPr="00224DF3">
        <w:rPr>
          <w:rFonts w:asciiTheme="majorBidi" w:eastAsia="Times New Roman" w:hAnsiTheme="majorBidi" w:cstheme="majorBidi"/>
          <w:lang w:eastAsia="fr-FR"/>
        </w:rPr>
        <w:t>.</w:t>
      </w:r>
    </w:p>
    <w:p w:rsidR="00D501DB" w:rsidRDefault="00D501DB" w:rsidP="00D501DB">
      <w:pPr>
        <w:spacing w:line="360" w:lineRule="auto"/>
        <w:jc w:val="both"/>
        <w:rPr>
          <w:rFonts w:asciiTheme="majorBidi" w:eastAsia="Times New Roman" w:hAnsiTheme="majorBidi" w:cstheme="majorBidi"/>
          <w:sz w:val="24"/>
          <w:szCs w:val="24"/>
          <w:lang w:eastAsia="fr-FR"/>
        </w:rPr>
      </w:pPr>
      <w:r>
        <w:rPr>
          <w:rFonts w:asciiTheme="majorBidi" w:eastAsia="Times New Roman" w:hAnsiTheme="majorBidi" w:cstheme="majorBidi"/>
          <w:sz w:val="24"/>
          <w:szCs w:val="24"/>
          <w:lang w:eastAsia="fr-FR"/>
        </w:rPr>
        <w:t xml:space="preserve"> </w:t>
      </w:r>
      <w:r w:rsidRPr="00224DF3">
        <w:rPr>
          <w:rFonts w:asciiTheme="majorBidi" w:eastAsia="Times New Roman" w:hAnsiTheme="majorBidi" w:cstheme="majorBidi"/>
          <w:sz w:val="24"/>
          <w:szCs w:val="24"/>
          <w:lang w:eastAsia="fr-FR"/>
        </w:rPr>
        <w:t xml:space="preserve">Ainsi, </w:t>
      </w:r>
    </w:p>
    <w:p w:rsidR="00D501DB" w:rsidRPr="00224DF3" w:rsidRDefault="00D501DB" w:rsidP="00D501DB">
      <w:pPr>
        <w:ind w:left="1134" w:right="1134"/>
        <w:jc w:val="both"/>
        <w:rPr>
          <w:rFonts w:asciiTheme="majorBidi" w:eastAsia="Times New Roman" w:hAnsiTheme="majorBidi" w:cstheme="majorBidi"/>
          <w:lang w:eastAsia="fr-FR"/>
        </w:rPr>
      </w:pPr>
      <w:proofErr w:type="gramStart"/>
      <w:r w:rsidRPr="00224DF3">
        <w:rPr>
          <w:rFonts w:asciiTheme="majorBidi" w:eastAsia="Times New Roman" w:hAnsiTheme="majorBidi" w:cstheme="majorBidi"/>
          <w:i/>
          <w:lang w:eastAsia="fr-FR"/>
        </w:rPr>
        <w:t>dès</w:t>
      </w:r>
      <w:proofErr w:type="gramEnd"/>
      <w:r w:rsidRPr="00224DF3">
        <w:rPr>
          <w:rFonts w:asciiTheme="majorBidi" w:eastAsia="Times New Roman" w:hAnsiTheme="majorBidi" w:cstheme="majorBidi"/>
          <w:i/>
          <w:lang w:eastAsia="fr-FR"/>
        </w:rPr>
        <w:t xml:space="preserve"> le départ, le sens n’est plus contenu dans les mots puisque c’est lui, au contraire, qui permet de comprendre la signification de chacun d’eux ; et l’objet littéraire, quoi qu’il se réalise à travers le langage, n’est jamais donné dans le langage, il est au contraire, par nature, silence et contestation de la parole. Aussi les cent mille mots alignés dans un livre peuvent - être lus un à un sans que le sens de l’œuvre en jaillisse, le sens n’est pas la somme des mots, il est la totalité organique.</w:t>
      </w:r>
      <w:r w:rsidRPr="00224DF3">
        <w:rPr>
          <w:rFonts w:asciiTheme="majorBidi" w:eastAsia="Times New Roman" w:hAnsiTheme="majorBidi" w:cstheme="majorBidi"/>
          <w:lang w:eastAsia="fr-FR"/>
        </w:rPr>
        <w:t xml:space="preserve"> </w:t>
      </w:r>
    </w:p>
    <w:p w:rsidR="00D501DB" w:rsidRPr="00224DF3" w:rsidRDefault="00D501DB" w:rsidP="00D501DB">
      <w:pPr>
        <w:spacing w:line="360" w:lineRule="auto"/>
        <w:jc w:val="both"/>
        <w:rPr>
          <w:rFonts w:asciiTheme="majorBidi" w:eastAsia="Times New Roman" w:hAnsiTheme="majorBidi" w:cstheme="majorBidi"/>
          <w:sz w:val="24"/>
          <w:szCs w:val="24"/>
          <w:lang w:eastAsia="fr-FR"/>
        </w:rPr>
      </w:pPr>
      <w:r w:rsidRPr="00224DF3">
        <w:rPr>
          <w:rFonts w:asciiTheme="majorBidi" w:eastAsia="Times New Roman" w:hAnsiTheme="majorBidi" w:cstheme="majorBidi"/>
          <w:sz w:val="24"/>
          <w:szCs w:val="24"/>
          <w:lang w:eastAsia="fr-FR"/>
        </w:rPr>
        <w:t>L’analyse sémiotique permet de «</w:t>
      </w:r>
      <w:r w:rsidRPr="00224DF3">
        <w:rPr>
          <w:rFonts w:asciiTheme="majorBidi" w:eastAsia="Times New Roman" w:hAnsiTheme="majorBidi" w:cstheme="majorBidi"/>
          <w:i/>
          <w:sz w:val="24"/>
          <w:szCs w:val="24"/>
          <w:lang w:eastAsia="fr-FR"/>
        </w:rPr>
        <w:t>consymbolis</w:t>
      </w:r>
      <w:r w:rsidRPr="00224DF3">
        <w:rPr>
          <w:rFonts w:asciiTheme="majorBidi" w:eastAsia="Times New Roman" w:hAnsiTheme="majorBidi" w:cstheme="majorBidi"/>
          <w:sz w:val="24"/>
          <w:szCs w:val="24"/>
          <w:lang w:eastAsia="fr-FR"/>
        </w:rPr>
        <w:t>er » c'est –à -dire de participer au jeu des symboles, onomastiques, chromatiques et numérologiques auxquels le texte nous convie même si elle n’atteint pas « la vérité d’un auteur, elle suggère plutôt la vérité » c'est - à- dire que l’analyse sémiotique nous met face à /à côté d’une «</w:t>
      </w:r>
      <w:r w:rsidRPr="00224DF3">
        <w:rPr>
          <w:rFonts w:asciiTheme="majorBidi" w:eastAsia="Times New Roman" w:hAnsiTheme="majorBidi" w:cstheme="majorBidi"/>
          <w:i/>
          <w:sz w:val="24"/>
          <w:szCs w:val="24"/>
          <w:lang w:eastAsia="fr-FR"/>
        </w:rPr>
        <w:t>insécurité</w:t>
      </w:r>
      <w:r w:rsidRPr="00224DF3">
        <w:rPr>
          <w:rFonts w:asciiTheme="majorBidi" w:eastAsia="Times New Roman" w:hAnsiTheme="majorBidi" w:cstheme="majorBidi"/>
          <w:sz w:val="24"/>
          <w:szCs w:val="24"/>
          <w:lang w:eastAsia="fr-FR"/>
        </w:rPr>
        <w:t xml:space="preserve"> » ou d’une « </w:t>
      </w:r>
      <w:r w:rsidRPr="00224DF3">
        <w:rPr>
          <w:rFonts w:asciiTheme="majorBidi" w:eastAsia="Times New Roman" w:hAnsiTheme="majorBidi" w:cstheme="majorBidi"/>
          <w:i/>
          <w:sz w:val="24"/>
          <w:szCs w:val="24"/>
          <w:lang w:eastAsia="fr-FR"/>
        </w:rPr>
        <w:t>incertitude</w:t>
      </w:r>
      <w:r w:rsidRPr="00224DF3">
        <w:rPr>
          <w:rFonts w:asciiTheme="majorBidi" w:eastAsia="Times New Roman" w:hAnsiTheme="majorBidi" w:cstheme="majorBidi"/>
          <w:sz w:val="24"/>
          <w:szCs w:val="24"/>
          <w:lang w:eastAsia="fr-FR"/>
        </w:rPr>
        <w:t xml:space="preserve"> » interprétative symbolique. </w:t>
      </w:r>
    </w:p>
    <w:p w:rsidR="00D501DB" w:rsidRDefault="00D501DB" w:rsidP="00D501DB">
      <w:pPr>
        <w:tabs>
          <w:tab w:val="left" w:pos="3465"/>
        </w:tabs>
        <w:jc w:val="both"/>
        <w:rPr>
          <w:rFonts w:ascii="New time roman" w:eastAsia="Times New Roman" w:hAnsi="New time roman" w:cs="Arial"/>
          <w:sz w:val="28"/>
          <w:szCs w:val="28"/>
          <w:lang w:eastAsia="fr-FR"/>
        </w:rPr>
      </w:pPr>
      <w:r>
        <w:rPr>
          <w:rFonts w:ascii="New time roman" w:eastAsia="Times New Roman" w:hAnsi="New time roman" w:cs="Arial"/>
          <w:sz w:val="28"/>
          <w:szCs w:val="28"/>
          <w:lang w:eastAsia="fr-FR"/>
        </w:rPr>
        <w:tab/>
      </w:r>
    </w:p>
    <w:p w:rsidR="00D501DB" w:rsidRDefault="00D501DB" w:rsidP="00D501DB">
      <w:pPr>
        <w:tabs>
          <w:tab w:val="left" w:pos="3465"/>
        </w:tabs>
        <w:jc w:val="both"/>
        <w:rPr>
          <w:rFonts w:ascii="New time roman" w:eastAsia="Times New Roman" w:hAnsi="New time roman" w:cs="Arial"/>
          <w:sz w:val="28"/>
          <w:szCs w:val="28"/>
          <w:lang w:eastAsia="fr-FR"/>
        </w:rPr>
      </w:pPr>
    </w:p>
    <w:p w:rsidR="00D501DB" w:rsidRDefault="00D501DB" w:rsidP="00D501DB">
      <w:pPr>
        <w:tabs>
          <w:tab w:val="left" w:pos="3465"/>
        </w:tabs>
        <w:jc w:val="both"/>
        <w:rPr>
          <w:rFonts w:ascii="New time roman" w:eastAsia="Times New Roman" w:hAnsi="New time roman" w:cs="Arial"/>
          <w:sz w:val="28"/>
          <w:szCs w:val="28"/>
          <w:lang w:eastAsia="fr-FR"/>
        </w:rPr>
      </w:pPr>
    </w:p>
    <w:p w:rsidR="00D501DB" w:rsidRDefault="00D501DB" w:rsidP="00D501DB">
      <w:pPr>
        <w:tabs>
          <w:tab w:val="left" w:pos="3465"/>
        </w:tabs>
        <w:jc w:val="both"/>
        <w:rPr>
          <w:rFonts w:ascii="New time roman" w:eastAsia="Times New Roman" w:hAnsi="New time roman" w:cs="Arial"/>
          <w:sz w:val="28"/>
          <w:szCs w:val="28"/>
          <w:lang w:eastAsia="fr-FR"/>
        </w:rPr>
      </w:pPr>
    </w:p>
    <w:p w:rsidR="00D501DB" w:rsidRDefault="00D501DB" w:rsidP="00D501DB">
      <w:pPr>
        <w:tabs>
          <w:tab w:val="left" w:pos="3465"/>
        </w:tabs>
        <w:jc w:val="both"/>
        <w:rPr>
          <w:rFonts w:ascii="New time roman" w:eastAsia="Times New Roman" w:hAnsi="New time roman" w:cs="Arial"/>
          <w:sz w:val="28"/>
          <w:szCs w:val="28"/>
          <w:lang w:eastAsia="fr-FR"/>
        </w:rPr>
      </w:pPr>
    </w:p>
    <w:p w:rsidR="00D501DB" w:rsidRDefault="00D501DB" w:rsidP="00D501DB">
      <w:pPr>
        <w:tabs>
          <w:tab w:val="left" w:pos="3465"/>
        </w:tabs>
        <w:jc w:val="both"/>
        <w:rPr>
          <w:rFonts w:ascii="New time roman" w:eastAsia="Times New Roman" w:hAnsi="New time roman" w:cs="Arial"/>
          <w:sz w:val="28"/>
          <w:szCs w:val="28"/>
          <w:lang w:eastAsia="fr-FR"/>
        </w:rPr>
      </w:pPr>
    </w:p>
    <w:p w:rsidR="00D501DB" w:rsidRDefault="00D501DB" w:rsidP="00D501DB">
      <w:pPr>
        <w:tabs>
          <w:tab w:val="left" w:pos="3465"/>
        </w:tabs>
        <w:jc w:val="both"/>
        <w:rPr>
          <w:rFonts w:ascii="New time roman" w:eastAsia="Times New Roman" w:hAnsi="New time roman" w:cs="Arial"/>
          <w:sz w:val="28"/>
          <w:szCs w:val="28"/>
          <w:lang w:eastAsia="fr-FR"/>
        </w:rPr>
      </w:pPr>
    </w:p>
    <w:p w:rsidR="00D501DB" w:rsidRDefault="00D501DB" w:rsidP="00D501DB">
      <w:pPr>
        <w:jc w:val="center"/>
        <w:rPr>
          <w:rFonts w:asciiTheme="majorBidi" w:eastAsia="Times New Roman" w:hAnsiTheme="majorBidi" w:cstheme="majorBidi"/>
          <w:b/>
          <w:bCs/>
          <w:sz w:val="24"/>
          <w:szCs w:val="24"/>
          <w:lang w:eastAsia="fr-FR"/>
        </w:rPr>
      </w:pPr>
      <w:r w:rsidRPr="000A3207">
        <w:rPr>
          <w:rFonts w:asciiTheme="majorBidi" w:eastAsia="Times New Roman" w:hAnsiTheme="majorBidi" w:cstheme="majorBidi"/>
          <w:b/>
          <w:bCs/>
          <w:sz w:val="24"/>
          <w:szCs w:val="24"/>
          <w:lang w:eastAsia="fr-FR"/>
        </w:rPr>
        <w:lastRenderedPageBreak/>
        <w:t>Calligramme de la colombe poignardée et le jet d’eau</w:t>
      </w:r>
      <w:r>
        <w:rPr>
          <w:rFonts w:asciiTheme="majorBidi" w:eastAsia="Times New Roman" w:hAnsiTheme="majorBidi" w:cstheme="majorBidi"/>
          <w:b/>
          <w:bCs/>
          <w:sz w:val="24"/>
          <w:szCs w:val="24"/>
          <w:lang w:eastAsia="fr-FR"/>
        </w:rPr>
        <w:t xml:space="preserve"> </w:t>
      </w:r>
      <w:r w:rsidRPr="000A3207">
        <w:rPr>
          <w:rFonts w:asciiTheme="majorBidi" w:eastAsia="Times New Roman" w:hAnsiTheme="majorBidi" w:cstheme="majorBidi"/>
          <w:b/>
          <w:bCs/>
          <w:sz w:val="24"/>
          <w:szCs w:val="24"/>
          <w:lang w:eastAsia="fr-FR"/>
        </w:rPr>
        <w:t>de Guillaume Apollinaire</w:t>
      </w:r>
    </w:p>
    <w:p w:rsidR="00D501DB" w:rsidRPr="000A3207" w:rsidRDefault="00D501DB" w:rsidP="00D501DB">
      <w:pPr>
        <w:jc w:val="center"/>
        <w:rPr>
          <w:rFonts w:asciiTheme="majorBidi" w:eastAsia="Times New Roman" w:hAnsiTheme="majorBidi" w:cstheme="majorBidi"/>
          <w:b/>
          <w:bCs/>
          <w:sz w:val="24"/>
          <w:szCs w:val="24"/>
          <w:lang w:eastAsia="fr-FR"/>
        </w:rPr>
      </w:pPr>
    </w:p>
    <w:p w:rsidR="00D501DB" w:rsidRDefault="00D501DB" w:rsidP="00D501DB">
      <w:pPr>
        <w:pStyle w:val="Sansinterligne"/>
        <w:spacing w:line="360" w:lineRule="auto"/>
        <w:jc w:val="both"/>
        <w:rPr>
          <w:rFonts w:asciiTheme="majorBidi" w:hAnsiTheme="majorBidi" w:cstheme="majorBidi"/>
          <w:sz w:val="24"/>
          <w:szCs w:val="24"/>
        </w:rPr>
      </w:pPr>
      <w:r w:rsidRPr="000A3207">
        <w:rPr>
          <w:rFonts w:asciiTheme="majorBidi" w:hAnsiTheme="majorBidi" w:cstheme="majorBidi"/>
          <w:noProof/>
          <w:sz w:val="24"/>
          <w:szCs w:val="24"/>
          <w:lang w:eastAsia="fr-FR"/>
        </w:rPr>
        <w:drawing>
          <wp:inline distT="0" distB="0" distL="0" distR="0">
            <wp:extent cx="4933950" cy="7331233"/>
            <wp:effectExtent l="19050" t="0" r="0" b="0"/>
            <wp:docPr id="2" name="Image 1" descr="http://jacquesmottier.online.fr/pages/colom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jacquesmottier.online.fr/pages/colombe.jpg"/>
                    <pic:cNvPicPr>
                      <a:picLocks noChangeAspect="1" noChangeArrowheads="1"/>
                    </pic:cNvPicPr>
                  </pic:nvPicPr>
                  <pic:blipFill>
                    <a:blip r:embed="rId7" cstate="print"/>
                    <a:srcRect/>
                    <a:stretch>
                      <a:fillRect/>
                    </a:stretch>
                  </pic:blipFill>
                  <pic:spPr bwMode="auto">
                    <a:xfrm>
                      <a:off x="0" y="0"/>
                      <a:ext cx="4944360" cy="7346701"/>
                    </a:xfrm>
                    <a:prstGeom prst="rect">
                      <a:avLst/>
                    </a:prstGeom>
                    <a:noFill/>
                    <a:ln w="9525">
                      <a:noFill/>
                      <a:miter lim="800000"/>
                      <a:headEnd/>
                      <a:tailEnd/>
                    </a:ln>
                  </pic:spPr>
                </pic:pic>
              </a:graphicData>
            </a:graphic>
          </wp:inline>
        </w:drawing>
      </w:r>
    </w:p>
    <w:p w:rsidR="00D501DB" w:rsidRDefault="00D501DB" w:rsidP="00D501DB">
      <w:pPr>
        <w:pStyle w:val="Sansinterligne"/>
        <w:spacing w:line="360" w:lineRule="auto"/>
        <w:jc w:val="both"/>
        <w:rPr>
          <w:rFonts w:asciiTheme="majorBidi" w:hAnsiTheme="majorBidi" w:cstheme="majorBidi"/>
          <w:sz w:val="24"/>
          <w:szCs w:val="24"/>
        </w:rPr>
      </w:pPr>
    </w:p>
    <w:p w:rsidR="00D501DB" w:rsidRDefault="00D501DB" w:rsidP="00D501DB">
      <w:pPr>
        <w:pStyle w:val="Sansinterligne"/>
        <w:spacing w:line="360" w:lineRule="auto"/>
        <w:jc w:val="both"/>
        <w:rPr>
          <w:rFonts w:asciiTheme="majorBidi" w:hAnsiTheme="majorBidi" w:cstheme="majorBidi"/>
          <w:sz w:val="24"/>
          <w:szCs w:val="24"/>
        </w:rPr>
      </w:pPr>
    </w:p>
    <w:p w:rsidR="00D501DB" w:rsidRDefault="00D501DB" w:rsidP="00D501DB">
      <w:pPr>
        <w:pStyle w:val="Sansinterligne"/>
        <w:spacing w:line="360" w:lineRule="auto"/>
        <w:jc w:val="both"/>
        <w:rPr>
          <w:rFonts w:asciiTheme="majorBidi" w:hAnsiTheme="majorBidi" w:cstheme="majorBidi"/>
          <w:sz w:val="24"/>
          <w:szCs w:val="24"/>
        </w:rPr>
      </w:pPr>
    </w:p>
    <w:sectPr w:rsidR="00D501DB" w:rsidSect="004A2FBA">
      <w:footerReference w:type="default" r:id="rId8"/>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E6E72" w:rsidRDefault="008E6E72" w:rsidP="00D501DB">
      <w:pPr>
        <w:spacing w:after="0" w:line="240" w:lineRule="auto"/>
      </w:pPr>
      <w:r>
        <w:separator/>
      </w:r>
    </w:p>
  </w:endnote>
  <w:endnote w:type="continuationSeparator" w:id="1">
    <w:p w:rsidR="008E6E72" w:rsidRDefault="008E6E72" w:rsidP="00D501D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New time roman">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07078"/>
      <w:docPartObj>
        <w:docPartGallery w:val="Page Numbers (Bottom of Page)"/>
        <w:docPartUnique/>
      </w:docPartObj>
    </w:sdtPr>
    <w:sdtContent>
      <w:p w:rsidR="00D501DB" w:rsidRDefault="00E53DCC">
        <w:pPr>
          <w:pStyle w:val="Pieddepage"/>
          <w:jc w:val="right"/>
        </w:pPr>
        <w:fldSimple w:instr=" PAGE   \* MERGEFORMAT ">
          <w:r w:rsidR="00324CD9">
            <w:rPr>
              <w:noProof/>
            </w:rPr>
            <w:t>1</w:t>
          </w:r>
        </w:fldSimple>
      </w:p>
    </w:sdtContent>
  </w:sdt>
  <w:p w:rsidR="00D501DB" w:rsidRDefault="00D501DB">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E6E72" w:rsidRDefault="008E6E72" w:rsidP="00D501DB">
      <w:pPr>
        <w:spacing w:after="0" w:line="240" w:lineRule="auto"/>
      </w:pPr>
      <w:r>
        <w:separator/>
      </w:r>
    </w:p>
  </w:footnote>
  <w:footnote w:type="continuationSeparator" w:id="1">
    <w:p w:rsidR="008E6E72" w:rsidRDefault="008E6E72" w:rsidP="00D501DB">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2416A1D"/>
    <w:multiLevelType w:val="hybridMultilevel"/>
    <w:tmpl w:val="E5185CF6"/>
    <w:lvl w:ilvl="0" w:tplc="772088A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59100F22"/>
    <w:multiLevelType w:val="hybridMultilevel"/>
    <w:tmpl w:val="E690DA1A"/>
    <w:lvl w:ilvl="0" w:tplc="229C1DE2">
      <w:start w:val="1"/>
      <w:numFmt w:val="decimal"/>
      <w:lvlText w:val="%1-"/>
      <w:lvlJc w:val="left"/>
      <w:pPr>
        <w:ind w:left="1068" w:hanging="360"/>
      </w:pPr>
      <w:rPr>
        <w:rFonts w:hint="default"/>
      </w:rPr>
    </w:lvl>
    <w:lvl w:ilvl="1" w:tplc="040C0019" w:tentative="1">
      <w:start w:val="1"/>
      <w:numFmt w:val="lowerLetter"/>
      <w:lvlText w:val="%2."/>
      <w:lvlJc w:val="left"/>
      <w:pPr>
        <w:ind w:left="1788" w:hanging="360"/>
      </w:pPr>
    </w:lvl>
    <w:lvl w:ilvl="2" w:tplc="040C001B" w:tentative="1">
      <w:start w:val="1"/>
      <w:numFmt w:val="lowerRoman"/>
      <w:lvlText w:val="%3."/>
      <w:lvlJc w:val="right"/>
      <w:pPr>
        <w:ind w:left="2508" w:hanging="180"/>
      </w:pPr>
    </w:lvl>
    <w:lvl w:ilvl="3" w:tplc="040C000F" w:tentative="1">
      <w:start w:val="1"/>
      <w:numFmt w:val="decimal"/>
      <w:lvlText w:val="%4."/>
      <w:lvlJc w:val="left"/>
      <w:pPr>
        <w:ind w:left="3228" w:hanging="360"/>
      </w:pPr>
    </w:lvl>
    <w:lvl w:ilvl="4" w:tplc="040C0019" w:tentative="1">
      <w:start w:val="1"/>
      <w:numFmt w:val="lowerLetter"/>
      <w:lvlText w:val="%5."/>
      <w:lvlJc w:val="left"/>
      <w:pPr>
        <w:ind w:left="3948" w:hanging="360"/>
      </w:pPr>
    </w:lvl>
    <w:lvl w:ilvl="5" w:tplc="040C001B" w:tentative="1">
      <w:start w:val="1"/>
      <w:numFmt w:val="lowerRoman"/>
      <w:lvlText w:val="%6."/>
      <w:lvlJc w:val="right"/>
      <w:pPr>
        <w:ind w:left="4668" w:hanging="180"/>
      </w:pPr>
    </w:lvl>
    <w:lvl w:ilvl="6" w:tplc="040C000F" w:tentative="1">
      <w:start w:val="1"/>
      <w:numFmt w:val="decimal"/>
      <w:lvlText w:val="%7."/>
      <w:lvlJc w:val="left"/>
      <w:pPr>
        <w:ind w:left="5388" w:hanging="360"/>
      </w:pPr>
    </w:lvl>
    <w:lvl w:ilvl="7" w:tplc="040C0019" w:tentative="1">
      <w:start w:val="1"/>
      <w:numFmt w:val="lowerLetter"/>
      <w:lvlText w:val="%8."/>
      <w:lvlJc w:val="left"/>
      <w:pPr>
        <w:ind w:left="6108" w:hanging="360"/>
      </w:pPr>
    </w:lvl>
    <w:lvl w:ilvl="8" w:tplc="040C001B" w:tentative="1">
      <w:start w:val="1"/>
      <w:numFmt w:val="lowerRoman"/>
      <w:lvlText w:val="%9."/>
      <w:lvlJc w:val="right"/>
      <w:pPr>
        <w:ind w:left="6828" w:hanging="18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0"/>
    <w:footnote w:id="1"/>
  </w:footnotePr>
  <w:endnotePr>
    <w:endnote w:id="0"/>
    <w:endnote w:id="1"/>
  </w:endnotePr>
  <w:compat/>
  <w:rsids>
    <w:rsidRoot w:val="00D501DB"/>
    <w:rsid w:val="00324CD9"/>
    <w:rsid w:val="004A2FBA"/>
    <w:rsid w:val="008E6E72"/>
    <w:rsid w:val="00D501DB"/>
    <w:rsid w:val="00E53DCC"/>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501DB"/>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uiPriority w:val="1"/>
    <w:qFormat/>
    <w:rsid w:val="00D501DB"/>
    <w:pPr>
      <w:spacing w:after="0" w:line="240" w:lineRule="auto"/>
    </w:pPr>
  </w:style>
  <w:style w:type="paragraph" w:styleId="Paragraphedeliste">
    <w:name w:val="List Paragraph"/>
    <w:basedOn w:val="Normal"/>
    <w:uiPriority w:val="34"/>
    <w:qFormat/>
    <w:rsid w:val="00D501DB"/>
    <w:pPr>
      <w:spacing w:after="0" w:line="240" w:lineRule="auto"/>
      <w:ind w:left="720" w:right="1418"/>
      <w:contextualSpacing/>
      <w:jc w:val="both"/>
    </w:pPr>
  </w:style>
  <w:style w:type="paragraph" w:styleId="Textedebulles">
    <w:name w:val="Balloon Text"/>
    <w:basedOn w:val="Normal"/>
    <w:link w:val="TextedebullesCar"/>
    <w:uiPriority w:val="99"/>
    <w:semiHidden/>
    <w:unhideWhenUsed/>
    <w:rsid w:val="00D501D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D501DB"/>
    <w:rPr>
      <w:rFonts w:ascii="Tahoma" w:hAnsi="Tahoma" w:cs="Tahoma"/>
      <w:sz w:val="16"/>
      <w:szCs w:val="16"/>
    </w:rPr>
  </w:style>
  <w:style w:type="paragraph" w:styleId="En-tte">
    <w:name w:val="header"/>
    <w:basedOn w:val="Normal"/>
    <w:link w:val="En-tteCar"/>
    <w:uiPriority w:val="99"/>
    <w:semiHidden/>
    <w:unhideWhenUsed/>
    <w:rsid w:val="00D501DB"/>
    <w:pPr>
      <w:tabs>
        <w:tab w:val="center" w:pos="4536"/>
        <w:tab w:val="right" w:pos="9072"/>
      </w:tabs>
      <w:spacing w:after="0" w:line="240" w:lineRule="auto"/>
    </w:pPr>
  </w:style>
  <w:style w:type="character" w:customStyle="1" w:styleId="En-tteCar">
    <w:name w:val="En-tête Car"/>
    <w:basedOn w:val="Policepardfaut"/>
    <w:link w:val="En-tte"/>
    <w:uiPriority w:val="99"/>
    <w:semiHidden/>
    <w:rsid w:val="00D501DB"/>
  </w:style>
  <w:style w:type="paragraph" w:styleId="Pieddepage">
    <w:name w:val="footer"/>
    <w:basedOn w:val="Normal"/>
    <w:link w:val="PieddepageCar"/>
    <w:uiPriority w:val="99"/>
    <w:unhideWhenUsed/>
    <w:rsid w:val="00D501D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D501DB"/>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4434</Words>
  <Characters>24390</Characters>
  <Application>Microsoft Office Word</Application>
  <DocSecurity>0</DocSecurity>
  <Lines>203</Lines>
  <Paragraphs>57</Paragraphs>
  <ScaleCrop>false</ScaleCrop>
  <Company/>
  <LinksUpToDate>false</LinksUpToDate>
  <CharactersWithSpaces>28767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sishu</dc:creator>
  <cp:lastModifiedBy>sorya</cp:lastModifiedBy>
  <cp:revision>2</cp:revision>
  <dcterms:created xsi:type="dcterms:W3CDTF">2020-03-15T13:42:00Z</dcterms:created>
  <dcterms:modified xsi:type="dcterms:W3CDTF">2020-03-15T13:42:00Z</dcterms:modified>
</cp:coreProperties>
</file>