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1E" w:rsidRPr="00DE311E" w:rsidRDefault="00DE311E" w:rsidP="00DE311E">
      <w:pPr>
        <w:pStyle w:val="4"/>
        <w:shd w:val="clear" w:color="auto" w:fill="FFFFFF"/>
        <w:spacing w:before="0" w:beforeAutospacing="0" w:after="0" w:afterAutospacing="0" w:line="210" w:lineRule="atLeast"/>
        <w:jc w:val="center"/>
        <w:rPr>
          <w:rFonts w:ascii="Verdana" w:hAnsi="Verdana"/>
          <w:sz w:val="32"/>
          <w:szCs w:val="32"/>
          <w:lang w:val="fr-FR"/>
        </w:rPr>
      </w:pPr>
      <w:r>
        <w:rPr>
          <w:rFonts w:cs="Arabic Transparent" w:hint="cs"/>
          <w:sz w:val="32"/>
          <w:szCs w:val="32"/>
          <w:rtl/>
        </w:rPr>
        <w:t xml:space="preserve">عناوين </w:t>
      </w:r>
      <w:r w:rsidR="008E5E56" w:rsidRPr="00DE311E">
        <w:rPr>
          <w:rFonts w:cs="Arabic Transparent" w:hint="cs"/>
          <w:sz w:val="32"/>
          <w:szCs w:val="32"/>
          <w:rtl/>
        </w:rPr>
        <w:t xml:space="preserve">بحوث </w:t>
      </w:r>
      <w:r>
        <w:rPr>
          <w:rFonts w:cs="Arabic Transparent" w:hint="cs"/>
          <w:sz w:val="32"/>
          <w:szCs w:val="32"/>
          <w:rtl/>
        </w:rPr>
        <w:t>ا</w:t>
      </w:r>
      <w:r w:rsidR="008E5E56" w:rsidRPr="00DE311E">
        <w:rPr>
          <w:rFonts w:cs="Arabic Transparent" w:hint="cs"/>
          <w:sz w:val="32"/>
          <w:szCs w:val="32"/>
          <w:rtl/>
        </w:rPr>
        <w:t xml:space="preserve">لسداسي الثاني الخاصة بالسنة </w:t>
      </w:r>
      <w:hyperlink r:id="rId4" w:history="1">
        <w:r w:rsidRPr="00DE311E">
          <w:rPr>
            <w:rFonts w:ascii="Helvetica" w:hAnsi="Helvetica" w:cs="Helvetica" w:hint="cs"/>
            <w:sz w:val="32"/>
            <w:szCs w:val="32"/>
            <w:rtl/>
          </w:rPr>
          <w:t>الثالثة</w:t>
        </w:r>
        <w:r w:rsidRPr="00DE311E">
          <w:rPr>
            <w:rFonts w:ascii="Helvetica" w:hAnsi="Helvetica" w:cs="Helvetica"/>
            <w:sz w:val="32"/>
            <w:szCs w:val="32"/>
            <w:rtl/>
          </w:rPr>
          <w:t xml:space="preserve"> قانون خاص</w:t>
        </w:r>
      </w:hyperlink>
    </w:p>
    <w:p w:rsidR="00DE311E" w:rsidRPr="00DE311E" w:rsidRDefault="00DE311E" w:rsidP="00DE311E">
      <w:pPr>
        <w:pStyle w:val="4"/>
        <w:shd w:val="clear" w:color="auto" w:fill="FFFFFF"/>
        <w:spacing w:before="0" w:beforeAutospacing="0" w:after="0" w:afterAutospacing="0" w:line="210" w:lineRule="atLeast"/>
        <w:jc w:val="center"/>
        <w:rPr>
          <w:rFonts w:ascii="Verdana" w:hAnsi="Verdana"/>
          <w:b w:val="0"/>
          <w:bCs w:val="0"/>
          <w:sz w:val="32"/>
          <w:szCs w:val="32"/>
        </w:rPr>
      </w:pPr>
      <w:r w:rsidRPr="00DE311E">
        <w:rPr>
          <w:rFonts w:ascii="Verdana" w:hAnsi="Verdana"/>
          <w:sz w:val="29"/>
          <w:szCs w:val="29"/>
        </w:rPr>
        <w:t xml:space="preserve"> </w:t>
      </w:r>
      <w:r w:rsidRPr="00DE311E">
        <w:rPr>
          <w:rFonts w:ascii="Verdana" w:hAnsi="Verdana" w:hint="cs"/>
          <w:sz w:val="29"/>
          <w:szCs w:val="29"/>
          <w:rtl/>
          <w:lang w:bidi="ar-DZ"/>
        </w:rPr>
        <w:t>مقياس الأوراق التجارية والإفلاس</w:t>
      </w:r>
      <w:r w:rsidRPr="00DE311E">
        <w:rPr>
          <w:rFonts w:ascii="Verdana" w:hAnsi="Verdana"/>
          <w:sz w:val="29"/>
          <w:szCs w:val="29"/>
        </w:rPr>
        <w:t xml:space="preserve"> </w:t>
      </w:r>
    </w:p>
    <w:p w:rsidR="008E5E56" w:rsidRPr="00DE311E" w:rsidRDefault="008E5E56" w:rsidP="00DE311E">
      <w:pPr>
        <w:tabs>
          <w:tab w:val="left" w:pos="26"/>
          <w:tab w:val="left" w:pos="746"/>
          <w:tab w:val="left" w:pos="926"/>
        </w:tabs>
        <w:rPr>
          <w:rFonts w:cs="Arabic Transparent"/>
          <w:b/>
          <w:bCs/>
          <w:sz w:val="32"/>
          <w:szCs w:val="32"/>
          <w:u w:val="single"/>
          <w:rtl/>
        </w:rPr>
      </w:pPr>
    </w:p>
    <w:p w:rsidR="008E5E56" w:rsidRDefault="008E5E56" w:rsidP="008E5E56">
      <w:pPr>
        <w:tabs>
          <w:tab w:val="left" w:pos="26"/>
          <w:tab w:val="left" w:pos="746"/>
          <w:tab w:val="left" w:pos="926"/>
        </w:tabs>
        <w:rPr>
          <w:rFonts w:cs="Arabic Transparent"/>
          <w:sz w:val="32"/>
          <w:szCs w:val="32"/>
          <w:rtl/>
        </w:rPr>
      </w:pPr>
    </w:p>
    <w:p w:rsidR="008E5E56" w:rsidRPr="00EE1E7F" w:rsidRDefault="008E5E56" w:rsidP="00427FCB">
      <w:pPr>
        <w:tabs>
          <w:tab w:val="left" w:pos="26"/>
          <w:tab w:val="left" w:pos="746"/>
          <w:tab w:val="left" w:pos="926"/>
        </w:tabs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</w:rPr>
        <w:t>1-</w:t>
      </w:r>
      <w:r w:rsidRPr="00194DE1">
        <w:rPr>
          <w:rFonts w:cs="Arabic Transparent" w:hint="cs"/>
          <w:sz w:val="32"/>
          <w:szCs w:val="32"/>
          <w:rtl/>
        </w:rPr>
        <w:t xml:space="preserve"> </w:t>
      </w:r>
      <w:proofErr w:type="spellStart"/>
      <w:r w:rsidR="009F267C" w:rsidRPr="009F267C">
        <w:rPr>
          <w:rFonts w:cs="Arabic Transparent" w:hint="eastAsia"/>
          <w:sz w:val="32"/>
          <w:szCs w:val="32"/>
          <w:rtl/>
        </w:rPr>
        <w:t>السفتحة</w:t>
      </w:r>
      <w:proofErr w:type="spellEnd"/>
      <w:r w:rsidR="009F267C" w:rsidRPr="009F267C">
        <w:rPr>
          <w:rFonts w:cs="Arabic Transparent"/>
          <w:sz w:val="32"/>
          <w:szCs w:val="32"/>
          <w:rtl/>
        </w:rPr>
        <w:t xml:space="preserve"> </w:t>
      </w:r>
      <w:r w:rsidR="00427FCB">
        <w:rPr>
          <w:rFonts w:cs="Arabic Transparent"/>
          <w:sz w:val="32"/>
          <w:szCs w:val="32"/>
          <w:rtl/>
        </w:rPr>
        <w:t>–</w:t>
      </w:r>
      <w:r w:rsidR="009F267C">
        <w:rPr>
          <w:rFonts w:cs="Arabic Transparent" w:hint="cs"/>
          <w:sz w:val="32"/>
          <w:szCs w:val="32"/>
          <w:rtl/>
        </w:rPr>
        <w:t xml:space="preserve"> الكمبيالة</w:t>
      </w:r>
      <w:r w:rsidR="00427FCB">
        <w:rPr>
          <w:rFonts w:cs="Arabic Transparent" w:hint="cs"/>
          <w:sz w:val="32"/>
          <w:szCs w:val="32"/>
          <w:rtl/>
        </w:rPr>
        <w:t xml:space="preserve"> </w:t>
      </w:r>
      <w:r w:rsidR="009F267C">
        <w:rPr>
          <w:rFonts w:cs="Arabic Transparent" w:hint="cs"/>
          <w:sz w:val="32"/>
          <w:szCs w:val="32"/>
          <w:rtl/>
        </w:rPr>
        <w:t>-</w:t>
      </w:r>
      <w:r>
        <w:rPr>
          <w:rFonts w:cs="Arabic Transparent"/>
          <w:sz w:val="32"/>
          <w:szCs w:val="32"/>
          <w:rtl/>
        </w:rPr>
        <w:t>.</w:t>
      </w:r>
    </w:p>
    <w:p w:rsidR="008E5E56" w:rsidRDefault="008E5E56" w:rsidP="009F267C">
      <w:pPr>
        <w:tabs>
          <w:tab w:val="left" w:pos="26"/>
          <w:tab w:val="left" w:pos="746"/>
          <w:tab w:val="left" w:pos="926"/>
        </w:tabs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</w:rPr>
        <w:t>2-</w:t>
      </w:r>
      <w:r w:rsidR="00427FCB">
        <w:rPr>
          <w:rFonts w:cs="Arabic Transparent" w:hint="cs"/>
          <w:sz w:val="32"/>
          <w:szCs w:val="32"/>
          <w:rtl/>
        </w:rPr>
        <w:t xml:space="preserve"> </w:t>
      </w:r>
      <w:r w:rsidR="009F267C" w:rsidRPr="009F267C">
        <w:rPr>
          <w:rFonts w:cs="Arabic Transparent" w:hint="eastAsia"/>
          <w:sz w:val="32"/>
          <w:szCs w:val="32"/>
          <w:rtl/>
        </w:rPr>
        <w:t>سند</w:t>
      </w:r>
      <w:r w:rsidR="009F267C" w:rsidRPr="009F267C">
        <w:rPr>
          <w:rFonts w:cs="Arabic Transparent"/>
          <w:sz w:val="32"/>
          <w:szCs w:val="32"/>
          <w:rtl/>
        </w:rPr>
        <w:t xml:space="preserve"> </w:t>
      </w:r>
      <w:r w:rsidR="00427FCB">
        <w:rPr>
          <w:rFonts w:cs="Arabic Transparent" w:hint="cs"/>
          <w:sz w:val="32"/>
          <w:szCs w:val="32"/>
          <w:rtl/>
        </w:rPr>
        <w:t>ا</w:t>
      </w:r>
      <w:r w:rsidR="0040075A" w:rsidRPr="009F267C">
        <w:rPr>
          <w:rFonts w:cs="Arabic Transparent" w:hint="cs"/>
          <w:sz w:val="32"/>
          <w:szCs w:val="32"/>
          <w:rtl/>
        </w:rPr>
        <w:t>لأمر</w:t>
      </w:r>
      <w:r>
        <w:rPr>
          <w:rFonts w:cs="Arabic Transparent"/>
          <w:sz w:val="32"/>
          <w:szCs w:val="32"/>
          <w:rtl/>
        </w:rPr>
        <w:t>.</w:t>
      </w:r>
    </w:p>
    <w:p w:rsidR="00D57775" w:rsidRDefault="00D57775" w:rsidP="0040075A">
      <w:pPr>
        <w:tabs>
          <w:tab w:val="left" w:pos="26"/>
          <w:tab w:val="left" w:pos="746"/>
          <w:tab w:val="left" w:pos="926"/>
        </w:tabs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3- </w:t>
      </w:r>
      <w:r w:rsidR="00427FCB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D57775">
        <w:rPr>
          <w:rFonts w:cs="Arabic Transparent" w:hint="eastAsia"/>
          <w:sz w:val="32"/>
          <w:szCs w:val="32"/>
          <w:rtl/>
        </w:rPr>
        <w:t>الشيك</w:t>
      </w:r>
      <w:r w:rsidR="0040075A">
        <w:rPr>
          <w:rFonts w:cs="Arabic Transparent" w:hint="cs"/>
          <w:sz w:val="32"/>
          <w:szCs w:val="32"/>
          <w:rtl/>
        </w:rPr>
        <w:t xml:space="preserve"> .</w:t>
      </w:r>
    </w:p>
    <w:p w:rsidR="008E5E56" w:rsidRDefault="00D57775" w:rsidP="00DE311E">
      <w:pPr>
        <w:tabs>
          <w:tab w:val="left" w:pos="26"/>
          <w:tab w:val="left" w:pos="746"/>
          <w:tab w:val="left" w:pos="926"/>
        </w:tabs>
        <w:rPr>
          <w:rFonts w:cs="Arabic Transparent" w:hint="cs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4</w:t>
      </w:r>
      <w:r w:rsidR="008E5E56">
        <w:rPr>
          <w:rFonts w:cs="Arabic Transparent" w:hint="cs"/>
          <w:sz w:val="32"/>
          <w:szCs w:val="32"/>
          <w:rtl/>
          <w:lang w:bidi="ar-DZ"/>
        </w:rPr>
        <w:t>-</w:t>
      </w:r>
      <w:r w:rsidR="00DE311E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427FCB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DE311E">
        <w:rPr>
          <w:rFonts w:cs="Arabic Transparent" w:hint="cs"/>
          <w:sz w:val="32"/>
          <w:szCs w:val="32"/>
          <w:rtl/>
          <w:lang w:bidi="ar-DZ"/>
        </w:rPr>
        <w:t>الإفلاس</w:t>
      </w:r>
      <w:r w:rsidR="008E5E56">
        <w:rPr>
          <w:rFonts w:cs="Arabic Transparent" w:hint="cs"/>
          <w:sz w:val="32"/>
          <w:szCs w:val="32"/>
          <w:rtl/>
          <w:lang w:bidi="ar-DZ"/>
        </w:rPr>
        <w:t>.</w:t>
      </w:r>
    </w:p>
    <w:p w:rsidR="00894F42" w:rsidRDefault="00894F42" w:rsidP="00DE311E">
      <w:pPr>
        <w:tabs>
          <w:tab w:val="left" w:pos="26"/>
          <w:tab w:val="left" w:pos="746"/>
          <w:tab w:val="left" w:pos="926"/>
        </w:tabs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5- التسوية القضائية.</w:t>
      </w:r>
    </w:p>
    <w:p w:rsidR="00461D8D" w:rsidRDefault="00461D8D" w:rsidP="008E5E56"/>
    <w:sectPr w:rsidR="00461D8D" w:rsidSect="00197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8E5E56"/>
    <w:rsid w:val="000562E5"/>
    <w:rsid w:val="0040075A"/>
    <w:rsid w:val="00427FCB"/>
    <w:rsid w:val="00461D8D"/>
    <w:rsid w:val="006945FE"/>
    <w:rsid w:val="00894F42"/>
    <w:rsid w:val="008E5E56"/>
    <w:rsid w:val="009F267C"/>
    <w:rsid w:val="00D57775"/>
    <w:rsid w:val="00DE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E5"/>
    <w:pPr>
      <w:bidi/>
    </w:pPr>
  </w:style>
  <w:style w:type="paragraph" w:styleId="4">
    <w:name w:val="heading 4"/>
    <w:basedOn w:val="a"/>
    <w:link w:val="4Char"/>
    <w:uiPriority w:val="9"/>
    <w:qFormat/>
    <w:rsid w:val="00DE311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DE31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3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dsp.univ-jijel.dz/index.php?option=com_content&amp;view=article&amp;id=133&amp;catid=2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2020-04-19T03:05:00Z</dcterms:created>
  <dcterms:modified xsi:type="dcterms:W3CDTF">2020-04-19T16:57:00Z</dcterms:modified>
</cp:coreProperties>
</file>