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50" w:rsidRDefault="00985535" w:rsidP="000C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535">
        <w:rPr>
          <w:rFonts w:ascii="Times New Roman" w:hAnsi="Times New Roman" w:cs="Times New Roman"/>
          <w:b/>
          <w:bCs/>
          <w:sz w:val="24"/>
          <w:szCs w:val="24"/>
        </w:rPr>
        <w:t>TP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Détermination de l’azote total</w:t>
      </w:r>
    </w:p>
    <w:p w:rsidR="00985535" w:rsidRDefault="00985535" w:rsidP="000C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m</w:t>
      </w:r>
      <w:r w:rsidRPr="00985535">
        <w:rPr>
          <w:rFonts w:ascii="Times New Roman" w:hAnsi="Times New Roman" w:cs="Times New Roman"/>
          <w:b/>
          <w:bCs/>
          <w:sz w:val="24"/>
          <w:szCs w:val="24"/>
        </w:rPr>
        <w:t>éthode</w:t>
      </w:r>
      <w:proofErr w:type="gramEnd"/>
      <w:r w:rsidRPr="0098553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85535">
        <w:rPr>
          <w:rFonts w:ascii="Times New Roman" w:hAnsi="Times New Roman" w:cs="Times New Roman"/>
          <w:b/>
          <w:bCs/>
          <w:sz w:val="24"/>
          <w:szCs w:val="24"/>
        </w:rPr>
        <w:t>kjeldahl</w:t>
      </w:r>
      <w:proofErr w:type="spellEnd"/>
      <w:r w:rsidRPr="00985535">
        <w:rPr>
          <w:rFonts w:ascii="Times New Roman" w:hAnsi="Times New Roman" w:cs="Times New Roman"/>
          <w:b/>
          <w:bCs/>
          <w:sz w:val="24"/>
          <w:szCs w:val="24"/>
        </w:rPr>
        <w:t xml:space="preserve"> modifiée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85535">
        <w:rPr>
          <w:rFonts w:ascii="Times New Roman" w:hAnsi="Times New Roman" w:cs="Times New Roman"/>
          <w:b/>
          <w:bCs/>
          <w:sz w:val="24"/>
          <w:szCs w:val="24"/>
        </w:rPr>
        <w:t xml:space="preserve"> - dans les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sols</w:t>
      </w:r>
    </w:p>
    <w:p w:rsidR="000C0750" w:rsidRDefault="000C0750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Objet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Détermination de l’azote total </w:t>
      </w:r>
      <w:proofErr w:type="spellStart"/>
      <w:r>
        <w:rPr>
          <w:rFonts w:ascii="Times New Roman" w:hAnsi="Times New Roman" w:cs="Times New Roman"/>
        </w:rPr>
        <w:t>Kjeldahl</w:t>
      </w:r>
      <w:proofErr w:type="spellEnd"/>
      <w:r>
        <w:rPr>
          <w:rFonts w:ascii="Times New Roman" w:hAnsi="Times New Roman" w:cs="Times New Roman"/>
        </w:rPr>
        <w:t xml:space="preserve"> dans des échantillons de terres agricoles.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Domaine d’application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présente méthode décrit une méthode de détermination de la teneur en azote dans les terres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agricoles</w:t>
      </w:r>
      <w:proofErr w:type="gramEnd"/>
      <w:r>
        <w:rPr>
          <w:rFonts w:ascii="Times New Roman" w:hAnsi="Times New Roman" w:cs="Times New Roman"/>
        </w:rPr>
        <w:t xml:space="preserve"> (sous sa forme ammonium, nitrate, nitrite et organique). L’azote dans les liaisons N-N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N-O, et dans certains hétérocycles (telle que la pyridine) n’est que partiellement dosé. La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présente</w:t>
      </w:r>
      <w:proofErr w:type="gramEnd"/>
      <w:r>
        <w:rPr>
          <w:rFonts w:ascii="Times New Roman" w:hAnsi="Times New Roman" w:cs="Times New Roman"/>
        </w:rPr>
        <w:t xml:space="preserve"> procédure est applicable à tous les types de sol et notamment aux terres agricoles.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Principe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présente procédure est fondée sur la minéralisation de type </w:t>
      </w:r>
      <w:proofErr w:type="spellStart"/>
      <w:r>
        <w:rPr>
          <w:rFonts w:ascii="Times New Roman" w:hAnsi="Times New Roman" w:cs="Times New Roman"/>
        </w:rPr>
        <w:t>Kjeldahl</w:t>
      </w:r>
      <w:proofErr w:type="spellEnd"/>
      <w:r>
        <w:rPr>
          <w:rFonts w:ascii="Times New Roman" w:hAnsi="Times New Roman" w:cs="Times New Roman"/>
        </w:rPr>
        <w:t>, mais le catalyseur</w:t>
      </w:r>
    </w:p>
    <w:p w:rsidR="00985535" w:rsidRDefault="00985535" w:rsidP="00FF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utilisé</w:t>
      </w:r>
      <w:proofErr w:type="gramEnd"/>
      <w:r>
        <w:rPr>
          <w:rFonts w:ascii="Times New Roman" w:hAnsi="Times New Roman" w:cs="Times New Roman"/>
        </w:rPr>
        <w:t xml:space="preserve"> est le dioxyde de titane (TiO</w:t>
      </w:r>
      <w:r>
        <w:rPr>
          <w:rFonts w:ascii="Times New Roman" w:hAnsi="Times New Roman" w:cs="Times New Roman"/>
          <w:sz w:val="14"/>
          <w:szCs w:val="14"/>
        </w:rPr>
        <w:t>2</w:t>
      </w:r>
      <w:r>
        <w:rPr>
          <w:rFonts w:ascii="Times New Roman" w:hAnsi="Times New Roman" w:cs="Times New Roman"/>
        </w:rPr>
        <w:t>), nettement moins dangereux pour l’environnement que le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sélénium.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Préparation de l’échantillon</w:t>
      </w:r>
    </w:p>
    <w:p w:rsidR="00985535" w:rsidRDefault="00985535" w:rsidP="000C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Une partie de l’échantillon à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 mm est broyée pour passer, sans refus, au travers d’un tamis à de 250 </w:t>
      </w:r>
      <w:proofErr w:type="spellStart"/>
      <w:r>
        <w:rPr>
          <w:rFonts w:ascii="Times New Roman" w:hAnsi="Times New Roman" w:cs="Times New Roman"/>
        </w:rPr>
        <w:t>μm</w:t>
      </w:r>
      <w:proofErr w:type="spellEnd"/>
      <w:r>
        <w:rPr>
          <w:rFonts w:ascii="Times New Roman" w:hAnsi="Times New Roman" w:cs="Times New Roman"/>
        </w:rPr>
        <w:t xml:space="preserve"> d’ouverture de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mailles. Le séchage de l’échantillon favorise les pertes d’ammoniac libre et selon le pH, de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celles des sels d'ammonium. Par conséquent, il convient d’éviter tout séchage excessif (105°C).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Une partie de l’échantillon à 2 mm servira à la mesure de l’humidité résiduelle 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Appareillages et matériels utilisés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</w:rPr>
        <w:t>Réacteurs de minéralisation :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réacteur de minéralisation doit être approprié à la masse ou au volume de la prise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d’essai</w:t>
      </w:r>
      <w:proofErr w:type="gramEnd"/>
      <w:r>
        <w:rPr>
          <w:rFonts w:ascii="Times New Roman" w:hAnsi="Times New Roman" w:cs="Times New Roman"/>
        </w:rPr>
        <w:t xml:space="preserve"> utilisée. Par exemple :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 xml:space="preserve">Ballons de </w:t>
      </w:r>
      <w:proofErr w:type="spellStart"/>
      <w:r>
        <w:rPr>
          <w:rFonts w:ascii="Times New Roman" w:hAnsi="Times New Roman" w:cs="Times New Roman"/>
        </w:rPr>
        <w:t>Kjeldahl</w:t>
      </w:r>
      <w:proofErr w:type="spellEnd"/>
      <w:r>
        <w:rPr>
          <w:rFonts w:ascii="Times New Roman" w:hAnsi="Times New Roman" w:cs="Times New Roman"/>
        </w:rPr>
        <w:t xml:space="preserve"> (matras) de 50 ml de capacité nominale.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Ou tubes en verre pour minéralisation, de 50 ml de capacité, destinés à être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utilisés</w:t>
      </w:r>
      <w:proofErr w:type="gramEnd"/>
      <w:r>
        <w:rPr>
          <w:rFonts w:ascii="Times New Roman" w:hAnsi="Times New Roman" w:cs="Times New Roman"/>
        </w:rPr>
        <w:t xml:space="preserve"> avec un dispositif de chauffage thermo régulé.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hAnsi="Times New Roman" w:cs="Times New Roman"/>
        </w:rPr>
        <w:t>Dispositif de minéralisation :</w:t>
      </w:r>
    </w:p>
    <w:p w:rsidR="00985535" w:rsidRDefault="00985535" w:rsidP="000C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ballons de </w:t>
      </w:r>
      <w:proofErr w:type="spellStart"/>
      <w:r>
        <w:rPr>
          <w:rFonts w:ascii="Times New Roman" w:hAnsi="Times New Roman" w:cs="Times New Roman"/>
        </w:rPr>
        <w:t>Kjeldahl</w:t>
      </w:r>
      <w:proofErr w:type="spellEnd"/>
      <w:r>
        <w:rPr>
          <w:rFonts w:ascii="Times New Roman" w:hAnsi="Times New Roman" w:cs="Times New Roman"/>
        </w:rPr>
        <w:t xml:space="preserve"> (matras) peuvent être chauffés isolément ou, plus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couramment, sur une rampe supportant plusieurs matras, en utilisant une calotte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chauffante électrique. En tout état de cause, il est important que la surface en verre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qui se trouve au-dessus du mélange à minéraliser ne soit pas directement exposée à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chaleur.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existe, dans le commerce, des dispositifs de chauffage qui permettent de maintenir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une température suffisante pour le reflux du mélange à minéraliser. Ces dispositifs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peuvent généralement recevoir jusqu'à 24 tubes pour minéralisation, ce qui permet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d’obtenir une plus grande capacité analytique pour le laboratoire.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>
        <w:rPr>
          <w:rFonts w:ascii="Times New Roman" w:hAnsi="Times New Roman" w:cs="Times New Roman"/>
        </w:rPr>
        <w:t>Appareil à distiller :</w:t>
      </w:r>
    </w:p>
    <w:p w:rsidR="00985535" w:rsidRDefault="00985535" w:rsidP="000C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convient que le réacteur de minéralisation puisse être directement relié à un</w:t>
      </w:r>
      <w:r w:rsidR="000C075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appareillage de verre comprenant une tête de colonne à distiller anti-retour, un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réfrigérant à eau vertical et un tube d'écoulement dont la sortie est immergée dans la</w:t>
      </w:r>
      <w:r w:rsidR="000C0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solution absorbante.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appareil de distillation automatique de </w:t>
      </w:r>
      <w:proofErr w:type="spellStart"/>
      <w:r>
        <w:rPr>
          <w:rFonts w:ascii="Times New Roman" w:hAnsi="Times New Roman" w:cs="Times New Roman"/>
        </w:rPr>
        <w:t>Kjeldahl</w:t>
      </w:r>
      <w:proofErr w:type="spellEnd"/>
      <w:r>
        <w:rPr>
          <w:rFonts w:ascii="Times New Roman" w:hAnsi="Times New Roman" w:cs="Times New Roman"/>
        </w:rPr>
        <w:t xml:space="preserve"> (type </w:t>
      </w:r>
      <w:proofErr w:type="spellStart"/>
      <w:r>
        <w:rPr>
          <w:rFonts w:ascii="Times New Roman" w:hAnsi="Times New Roman" w:cs="Times New Roman"/>
        </w:rPr>
        <w:t>Kjeltec</w:t>
      </w:r>
      <w:proofErr w:type="spellEnd"/>
      <w:r>
        <w:rPr>
          <w:rFonts w:ascii="Times New Roman" w:hAnsi="Times New Roman" w:cs="Times New Roman"/>
        </w:rPr>
        <w:t>®) commercialisé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 approprié pour cette détermination.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>
        <w:rPr>
          <w:rFonts w:ascii="Times New Roman" w:hAnsi="Times New Roman" w:cs="Times New Roman"/>
        </w:rPr>
        <w:t>Régulateurs d'ébullition :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Granules ou billes de verre pour réguler l'ébullition.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Réactifs utilisés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Tous les réactifs doivent être de pureté analytique reconnue. Utiliser une eau de qualité 2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conformément</w:t>
      </w:r>
      <w:proofErr w:type="gramEnd"/>
      <w:r>
        <w:rPr>
          <w:rFonts w:ascii="Times New Roman" w:hAnsi="Times New Roman" w:cs="Times New Roman"/>
        </w:rPr>
        <w:t xml:space="preserve"> à l’ISO 3696.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>
        <w:rPr>
          <w:rFonts w:ascii="Times New Roman" w:hAnsi="Times New Roman" w:cs="Times New Roman"/>
        </w:rPr>
        <w:t>Acide sulfurique : H</w:t>
      </w:r>
      <w:r>
        <w:rPr>
          <w:rFonts w:ascii="Times New Roman" w:hAnsi="Times New Roman" w:cs="Times New Roman"/>
          <w:sz w:val="14"/>
          <w:szCs w:val="14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sz w:val="14"/>
          <w:szCs w:val="14"/>
        </w:rPr>
        <w:t>4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NewRoman" w:hAnsi="TimesNewRoman" w:cs="TimesNewRoman"/>
        </w:rPr>
        <w:t xml:space="preserve">ρ </w:t>
      </w:r>
      <w:r>
        <w:rPr>
          <w:rFonts w:ascii="Times New Roman" w:hAnsi="Times New Roman" w:cs="Times New Roman"/>
        </w:rPr>
        <w:t>= 1.84 g/ml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>
        <w:rPr>
          <w:rFonts w:ascii="Times New Roman" w:hAnsi="Times New Roman" w:cs="Times New Roman"/>
        </w:rPr>
        <w:t>Acide salicylique/acide sulfurique : dissoudre 25 g d’acide salicylique dans 1 litre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d’acide</w:t>
      </w:r>
      <w:proofErr w:type="gramEnd"/>
      <w:r>
        <w:rPr>
          <w:rFonts w:ascii="Times New Roman" w:hAnsi="Times New Roman" w:cs="Times New Roman"/>
        </w:rPr>
        <w:t xml:space="preserve"> sulfurique (6.1)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6.3 </w:t>
      </w:r>
      <w:r>
        <w:rPr>
          <w:rFonts w:ascii="Times New Roman" w:hAnsi="Times New Roman" w:cs="Times New Roman"/>
        </w:rPr>
        <w:t>Catalyseur de minéralisation : Broyer et mélanger jusqu’à homogénéisation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complète</w:t>
      </w:r>
      <w:proofErr w:type="gramEnd"/>
      <w:r>
        <w:rPr>
          <w:rFonts w:ascii="Times New Roman" w:hAnsi="Times New Roman" w:cs="Times New Roman"/>
        </w:rPr>
        <w:t xml:space="preserve"> 200 g de sulfate de potassium, 6 g de sulfate de cuivre </w:t>
      </w:r>
      <w:proofErr w:type="spellStart"/>
      <w:r>
        <w:rPr>
          <w:rFonts w:ascii="Times New Roman" w:hAnsi="Times New Roman" w:cs="Times New Roman"/>
        </w:rPr>
        <w:t>pentahydraté</w:t>
      </w:r>
      <w:proofErr w:type="spellEnd"/>
      <w:r>
        <w:rPr>
          <w:rFonts w:ascii="Times New Roman" w:hAnsi="Times New Roman" w:cs="Times New Roman"/>
        </w:rPr>
        <w:t xml:space="preserve"> et 6 g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dioxyde de titane ayant la structure cristalline de l’</w:t>
      </w:r>
      <w:proofErr w:type="spellStart"/>
      <w:r>
        <w:rPr>
          <w:rFonts w:ascii="Times New Roman" w:hAnsi="Times New Roman" w:cs="Times New Roman"/>
        </w:rPr>
        <w:t>anastase</w:t>
      </w:r>
      <w:proofErr w:type="spellEnd"/>
      <w:r>
        <w:rPr>
          <w:rFonts w:ascii="Times New Roman" w:hAnsi="Times New Roman" w:cs="Times New Roman"/>
        </w:rPr>
        <w:t xml:space="preserve">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6.4 </w:t>
      </w:r>
      <w:r>
        <w:rPr>
          <w:rFonts w:ascii="Times New Roman" w:hAnsi="Times New Roman" w:cs="Times New Roman"/>
        </w:rPr>
        <w:t xml:space="preserve">Thiosulfate de sodium </w:t>
      </w:r>
      <w:proofErr w:type="spellStart"/>
      <w:r>
        <w:rPr>
          <w:rFonts w:ascii="Times New Roman" w:hAnsi="Times New Roman" w:cs="Times New Roman"/>
        </w:rPr>
        <w:t>pentahydraté</w:t>
      </w:r>
      <w:proofErr w:type="spellEnd"/>
      <w:r>
        <w:rPr>
          <w:rFonts w:ascii="Times New Roman" w:hAnsi="Times New Roman" w:cs="Times New Roman"/>
        </w:rPr>
        <w:t xml:space="preserve">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6.5 </w:t>
      </w:r>
      <w:r>
        <w:rPr>
          <w:rFonts w:ascii="Times New Roman" w:hAnsi="Times New Roman" w:cs="Times New Roman"/>
        </w:rPr>
        <w:t>Hydroxyde de sodium, solution 10 M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6.6 </w:t>
      </w:r>
      <w:r>
        <w:rPr>
          <w:rFonts w:ascii="Times New Roman" w:hAnsi="Times New Roman" w:cs="Times New Roman"/>
        </w:rPr>
        <w:t>Acide borique, solution à 20 g/l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6.7 </w:t>
      </w:r>
      <w:r>
        <w:rPr>
          <w:rFonts w:ascii="Times New Roman" w:hAnsi="Times New Roman" w:cs="Times New Roman"/>
        </w:rPr>
        <w:t>Acide sulfurique, solution 0.01 M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6.8 </w:t>
      </w:r>
      <w:r>
        <w:rPr>
          <w:rFonts w:ascii="Times New Roman" w:hAnsi="Times New Roman" w:cs="Times New Roman"/>
        </w:rPr>
        <w:t xml:space="preserve">Indicateur coloré : Dissoudre 0.1 g de vert de </w:t>
      </w:r>
      <w:proofErr w:type="spellStart"/>
      <w:r>
        <w:rPr>
          <w:rFonts w:ascii="Times New Roman" w:hAnsi="Times New Roman" w:cs="Times New Roman"/>
        </w:rPr>
        <w:t>bromocrésol</w:t>
      </w:r>
      <w:proofErr w:type="spellEnd"/>
      <w:r>
        <w:rPr>
          <w:rFonts w:ascii="Times New Roman" w:hAnsi="Times New Roman" w:cs="Times New Roman"/>
        </w:rPr>
        <w:t xml:space="preserve"> et 0.02 g de rouge de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méthyle</w:t>
      </w:r>
      <w:proofErr w:type="gramEnd"/>
      <w:r>
        <w:rPr>
          <w:rFonts w:ascii="Times New Roman" w:hAnsi="Times New Roman" w:cs="Times New Roman"/>
        </w:rPr>
        <w:t xml:space="preserve"> dans 100 ml d’éthanol.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Mode opératoire</w:t>
      </w:r>
    </w:p>
    <w:p w:rsidR="00985535" w:rsidRDefault="00985535" w:rsidP="00FF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Transférer une masse connue d’échantillon séché à l’air (entre 0.2 g et 1 g) dans un réacteur de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minéralisation (5.1). Ajouter 4 ml d’acide </w:t>
      </w:r>
      <w:proofErr w:type="spellStart"/>
      <w:r>
        <w:rPr>
          <w:rFonts w:ascii="Times New Roman" w:hAnsi="Times New Roman" w:cs="Times New Roman"/>
        </w:rPr>
        <w:t>salycilique</w:t>
      </w:r>
      <w:proofErr w:type="spellEnd"/>
      <w:r>
        <w:rPr>
          <w:rFonts w:ascii="Times New Roman" w:hAnsi="Times New Roman" w:cs="Times New Roman"/>
        </w:rPr>
        <w:t>/acide sulfurique (6.2) et agiter jusqu’à ce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 la solution d’acide soit bien mélangée au sol. Laisser reposer quelques heures (ou pendant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 nuit). Ajouter 0.5 g de thiosulfate de sodium </w:t>
      </w:r>
      <w:proofErr w:type="spellStart"/>
      <w:r>
        <w:rPr>
          <w:rFonts w:ascii="Times New Roman" w:hAnsi="Times New Roman" w:cs="Times New Roman"/>
        </w:rPr>
        <w:t>pentahydraté</w:t>
      </w:r>
      <w:proofErr w:type="spellEnd"/>
      <w:r>
        <w:rPr>
          <w:rFonts w:ascii="Times New Roman" w:hAnsi="Times New Roman" w:cs="Times New Roman"/>
        </w:rPr>
        <w:t xml:space="preserve"> (6.4) à l’aide d’un entonnoir dont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tige descend dans la partie bombée du matras. Chauffer le mélange avec précaution sur le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dispositif de minéralisation (5.2) jusqu’à ce qu’il n’y ait plus de mousse.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Refroidir le réacteur, ajouter 1.1 g du catalyseur de minéralisation (6.3) et chauffer le mélange</w:t>
      </w:r>
    </w:p>
    <w:p w:rsidR="00985535" w:rsidRDefault="00985535" w:rsidP="00FF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réactionnel</w:t>
      </w:r>
      <w:proofErr w:type="gramEnd"/>
      <w:r>
        <w:rPr>
          <w:rFonts w:ascii="Times New Roman" w:hAnsi="Times New Roman" w:cs="Times New Roman"/>
        </w:rPr>
        <w:t xml:space="preserve"> jusqu’à ce qu’il devienne clair. Pour cela, porter doucement à ébullition le mélange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pendant un maximum de 5 h (en générale, 2 h) de façon que l’acide sulfurique se condense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approximativement à 1/3 du col du réacteur. S’assurer que la température de la solution ne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dépasse pas 400 °C.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Lorsque la minéralisation est terminée, laisser refroidir le réacteur et ajouter lentement et sous</w:t>
      </w:r>
    </w:p>
    <w:p w:rsidR="00985535" w:rsidRDefault="00985535" w:rsidP="00FF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agitation</w:t>
      </w:r>
      <w:proofErr w:type="gramEnd"/>
      <w:r>
        <w:rPr>
          <w:rFonts w:ascii="Times New Roman" w:hAnsi="Times New Roman" w:cs="Times New Roman"/>
        </w:rPr>
        <w:t xml:space="preserve"> 20 ml d’eau déminéralisée. Agiter le réacteur afin d’amener tout produit insoluble dans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l’appareil de distillation (5.3). Rincer trois fois à l’eau pour achever le transfert. Ajouter 5 ml</w:t>
      </w:r>
      <w:r w:rsidR="00FF1D3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d’acide borique (6.6) dans une fiole de 100 ml et placer celle-ci en sortie du condenseur, de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manière à ce que son extrémité plonge dans la solution. Ajouter 20 ml d’hydroxyde de sodium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(6.5) dans l’entonnoir de l’appareillage et laisser couler doucement dans le ballon de distillation.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Distiller environ 40 ml de distillat, rincer l’extrémité du condenseur, ajouter quelques gouttes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d’indicateur</w:t>
      </w:r>
      <w:proofErr w:type="gramEnd"/>
      <w:r>
        <w:rPr>
          <w:rFonts w:ascii="Times New Roman" w:hAnsi="Times New Roman" w:cs="Times New Roman"/>
        </w:rPr>
        <w:t xml:space="preserve"> coloré (6.8) au distillat et titrer avec l’acide sulfurique (6.7) jusqu’à virage au</w:t>
      </w:r>
    </w:p>
    <w:p w:rsidR="00985535" w:rsidRDefault="00985535" w:rsidP="00FF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violet.</w:t>
      </w:r>
      <w:r w:rsidR="00FF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dosage </w:t>
      </w:r>
      <w:proofErr w:type="spellStart"/>
      <w:r>
        <w:rPr>
          <w:rFonts w:ascii="Times New Roman" w:hAnsi="Times New Roman" w:cs="Times New Roman"/>
        </w:rPr>
        <w:t>potentiométrique</w:t>
      </w:r>
      <w:proofErr w:type="spellEnd"/>
      <w:r>
        <w:rPr>
          <w:rFonts w:ascii="Times New Roman" w:hAnsi="Times New Roman" w:cs="Times New Roman"/>
        </w:rPr>
        <w:t xml:space="preserve"> est aussi possible. Il convient que le point de titrage soit à pH = 5.0.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une distillation à la vapeur est utilisée, un rapport de distillation jusqu’à 25 ml/min est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applicable</w:t>
      </w:r>
      <w:proofErr w:type="gramEnd"/>
      <w:r>
        <w:rPr>
          <w:rFonts w:ascii="Times New Roman" w:hAnsi="Times New Roman" w:cs="Times New Roman"/>
        </w:rPr>
        <w:t>. Arrêter la distillation lorsque environ 100 ml de distillat ont été collectés.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essai à blanc doit être effectué dans les mêmes conditions, mais sans sol.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Expression des résultats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teneur en azote </w:t>
      </w:r>
      <w:proofErr w:type="spellStart"/>
      <w:r>
        <w:rPr>
          <w:rFonts w:ascii="Times New Roman" w:hAnsi="Times New Roman" w:cs="Times New Roman"/>
        </w:rPr>
        <w:t>Kjeldahl</w:t>
      </w:r>
      <w:proofErr w:type="spellEnd"/>
      <w:r>
        <w:rPr>
          <w:rFonts w:ascii="Times New Roman" w:hAnsi="Times New Roman" w:cs="Times New Roman"/>
        </w:rPr>
        <w:t xml:space="preserve"> (N) est exprimée en milligrammes par gramme de matières sèches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est donnée par l’équation (1) :</w:t>
      </w:r>
    </w:p>
    <w:p w:rsidR="00985535" w:rsidRPr="00FA456E" w:rsidRDefault="00FF1D39" w:rsidP="00FA45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CA"/>
        </w:rPr>
      </w:pPr>
      <w:r w:rsidRPr="00FA456E">
        <w:rPr>
          <w:rFonts w:ascii="Times New Roman" w:hAnsi="Times New Roman" w:cs="Times New Roman"/>
          <w:lang w:val="en-CA"/>
        </w:rPr>
        <w:t xml:space="preserve">N= </w:t>
      </w:r>
      <w:r w:rsidR="00985535" w:rsidRPr="00FA456E">
        <w:rPr>
          <w:rFonts w:ascii="Times New Roman" w:hAnsi="Times New Roman" w:cs="Times New Roman"/>
          <w:u w:val="single"/>
          <w:lang w:val="en-CA"/>
        </w:rPr>
        <w:t>(</w:t>
      </w:r>
      <w:r w:rsidR="00FA456E" w:rsidRPr="00FA456E">
        <w:rPr>
          <w:rFonts w:ascii="Times New Roman" w:hAnsi="Times New Roman" w:cs="Times New Roman"/>
          <w:u w:val="single"/>
          <w:lang w:val="en-CA"/>
        </w:rPr>
        <w:t>V</w:t>
      </w:r>
      <w:r w:rsidR="00FA456E" w:rsidRPr="00FA456E">
        <w:rPr>
          <w:rFonts w:ascii="Times New Roman" w:hAnsi="Times New Roman" w:cs="Times New Roman"/>
          <w:sz w:val="14"/>
          <w:szCs w:val="14"/>
          <w:u w:val="single"/>
          <w:lang w:val="en-CA"/>
        </w:rPr>
        <w:t>1</w:t>
      </w:r>
      <w:r w:rsidR="00985535" w:rsidRPr="00FA456E">
        <w:rPr>
          <w:rFonts w:ascii="Times New Roman" w:hAnsi="Times New Roman" w:cs="Times New Roman"/>
          <w:u w:val="single"/>
          <w:lang w:val="en-CA"/>
        </w:rPr>
        <w:t>-</w:t>
      </w:r>
      <w:r w:rsidR="00FA456E" w:rsidRPr="00FA456E">
        <w:rPr>
          <w:rFonts w:ascii="Times New Roman" w:hAnsi="Times New Roman" w:cs="Times New Roman"/>
          <w:u w:val="single"/>
          <w:lang w:val="en-CA"/>
        </w:rPr>
        <w:t xml:space="preserve"> V</w:t>
      </w:r>
      <w:r w:rsidR="00FA456E" w:rsidRPr="00FA456E">
        <w:rPr>
          <w:rFonts w:ascii="Times New Roman" w:hAnsi="Times New Roman" w:cs="Times New Roman"/>
          <w:sz w:val="14"/>
          <w:szCs w:val="14"/>
          <w:u w:val="single"/>
          <w:lang w:val="en-CA"/>
        </w:rPr>
        <w:t>o</w:t>
      </w:r>
      <w:r w:rsidR="00985535" w:rsidRPr="00FA456E">
        <w:rPr>
          <w:rFonts w:ascii="Times New Roman" w:hAnsi="Times New Roman" w:cs="Times New Roman"/>
          <w:u w:val="single"/>
          <w:lang w:val="en-CA"/>
        </w:rPr>
        <w:t>).</w:t>
      </w:r>
      <w:proofErr w:type="gramStart"/>
      <w:r w:rsidR="00985535" w:rsidRPr="00FA456E">
        <w:rPr>
          <w:rFonts w:ascii="Times New Roman" w:hAnsi="Times New Roman" w:cs="Times New Roman"/>
          <w:u w:val="single"/>
          <w:lang w:val="en-CA"/>
        </w:rPr>
        <w:t>c(</w:t>
      </w:r>
      <w:proofErr w:type="gramEnd"/>
      <w:r w:rsidR="00985535" w:rsidRPr="00FA456E">
        <w:rPr>
          <w:rFonts w:ascii="Times New Roman" w:hAnsi="Times New Roman" w:cs="Times New Roman"/>
          <w:u w:val="single"/>
          <w:lang w:val="en-CA"/>
        </w:rPr>
        <w:t>H</w:t>
      </w:r>
      <w:r w:rsidR="00985535" w:rsidRPr="00FA456E">
        <w:rPr>
          <w:rFonts w:ascii="Times New Roman" w:hAnsi="Times New Roman" w:cs="Times New Roman"/>
          <w:u w:val="single"/>
          <w:vertAlign w:val="superscript"/>
          <w:lang w:val="en-CA"/>
        </w:rPr>
        <w:t>+</w:t>
      </w:r>
      <w:r w:rsidR="00985535" w:rsidRPr="00FA456E">
        <w:rPr>
          <w:rFonts w:ascii="Times New Roman" w:hAnsi="Times New Roman" w:cs="Times New Roman"/>
          <w:u w:val="single"/>
          <w:lang w:val="en-CA"/>
        </w:rPr>
        <w:t>)</w:t>
      </w:r>
      <w:r w:rsidRPr="00FA456E">
        <w:rPr>
          <w:rFonts w:ascii="Times New Roman" w:hAnsi="Times New Roman" w:cs="Times New Roman"/>
          <w:u w:val="single"/>
          <w:lang w:val="en-CA"/>
        </w:rPr>
        <w:t>.14</w:t>
      </w:r>
      <w:r w:rsidRPr="00FA456E">
        <w:rPr>
          <w:rFonts w:ascii="Times New Roman" w:hAnsi="Times New Roman" w:cs="Times New Roman"/>
          <w:lang w:val="en-CA"/>
        </w:rPr>
        <w:t xml:space="preserve"> </w:t>
      </w:r>
      <w:r w:rsidR="00FA456E">
        <w:rPr>
          <w:rFonts w:ascii="Times New Roman" w:hAnsi="Times New Roman" w:cs="Times New Roman"/>
          <w:lang w:val="en-CA"/>
        </w:rPr>
        <w:t>.</w:t>
      </w:r>
      <w:r w:rsidRPr="00FA456E">
        <w:rPr>
          <w:rFonts w:ascii="Times New Roman" w:hAnsi="Times New Roman" w:cs="Times New Roman"/>
          <w:lang w:val="en-CA"/>
        </w:rPr>
        <w:t>(</w:t>
      </w:r>
      <w:r w:rsidRPr="00FA456E">
        <w:rPr>
          <w:rFonts w:ascii="Times New Roman" w:hAnsi="Times New Roman" w:cs="Times New Roman"/>
          <w:u w:val="single"/>
          <w:lang w:val="en-CA"/>
        </w:rPr>
        <w:t>100+</w:t>
      </w:r>
      <w:r w:rsidRPr="00FA456E">
        <w:rPr>
          <w:rFonts w:ascii="Times New Roman" w:hAnsi="Times New Roman" w:cs="Times New Roman"/>
          <w:i/>
          <w:iCs/>
          <w:sz w:val="24"/>
          <w:szCs w:val="24"/>
          <w:u w:val="single"/>
          <w:lang w:val="en-CA"/>
        </w:rPr>
        <w:t xml:space="preserve"> wH2O)</w:t>
      </w:r>
    </w:p>
    <w:p w:rsidR="00FF1D39" w:rsidRPr="00FA456E" w:rsidRDefault="00FF1D39" w:rsidP="00FF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CA"/>
        </w:rPr>
      </w:pPr>
      <w:r w:rsidRPr="00FA456E">
        <w:rPr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             </w:t>
      </w:r>
      <w:proofErr w:type="gramStart"/>
      <w:r w:rsidR="00FA456E" w:rsidRPr="00FA456E">
        <w:rPr>
          <w:rFonts w:ascii="Times New Roman" w:hAnsi="Times New Roman" w:cs="Times New Roman"/>
          <w:i/>
          <w:iCs/>
          <w:sz w:val="24"/>
          <w:szCs w:val="24"/>
          <w:lang w:val="en-CA"/>
        </w:rPr>
        <w:t>m</w:t>
      </w:r>
      <w:proofErr w:type="gramEnd"/>
      <w:r w:rsidRPr="00FA456E">
        <w:rPr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                    100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où</w:t>
      </w:r>
      <w:proofErr w:type="gramEnd"/>
      <w:r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  <w:sz w:val="14"/>
          <w:szCs w:val="14"/>
        </w:rPr>
        <w:t xml:space="preserve">1 </w:t>
      </w:r>
      <w:r>
        <w:rPr>
          <w:rFonts w:ascii="Times New Roman" w:hAnsi="Times New Roman" w:cs="Times New Roman"/>
        </w:rPr>
        <w:t>est le volume, en millilitres, d’acide sulfurique (6.7) utilisé pour le dosage de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l’échantillon</w:t>
      </w:r>
      <w:proofErr w:type="gramEnd"/>
      <w:r>
        <w:rPr>
          <w:rFonts w:ascii="Times New Roman" w:hAnsi="Times New Roman" w:cs="Times New Roman"/>
        </w:rPr>
        <w:t>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 w:val="14"/>
          <w:szCs w:val="14"/>
        </w:rPr>
        <w:t xml:space="preserve">o </w:t>
      </w:r>
      <w:r>
        <w:rPr>
          <w:rFonts w:ascii="Times New Roman" w:hAnsi="Times New Roman" w:cs="Times New Roman"/>
        </w:rPr>
        <w:t>est le volume, en millilitres, d’acide sulfurique (6.7) utilisé dans l’essai à blanc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</w:t>
      </w:r>
      <w:proofErr w:type="gramEnd"/>
      <w:r>
        <w:rPr>
          <w:rFonts w:ascii="Times New Roman" w:hAnsi="Times New Roman" w:cs="Times New Roman"/>
        </w:rPr>
        <w:t xml:space="preserve"> est la masse, en grammes, de l’échantillon de sol séché à l’air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</w:rPr>
        <w:t>c(</w:t>
      </w:r>
      <w:proofErr w:type="gramEnd"/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4"/>
          <w:szCs w:val="14"/>
        </w:rPr>
        <w:t>+</w:t>
      </w:r>
      <w:r>
        <w:rPr>
          <w:rFonts w:ascii="Times New Roman" w:hAnsi="Times New Roman" w:cs="Times New Roman"/>
        </w:rPr>
        <w:t>) est la concentration en H+ de l’acide sulfurique (6.7) utilisé dans l’essai (si H</w:t>
      </w:r>
      <w:r>
        <w:rPr>
          <w:rFonts w:ascii="Times New Roman" w:hAnsi="Times New Roman" w:cs="Times New Roman"/>
          <w:sz w:val="14"/>
          <w:szCs w:val="14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sz w:val="14"/>
          <w:szCs w:val="14"/>
        </w:rPr>
        <w:t>4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0.01 M, </w:t>
      </w:r>
      <w:proofErr w:type="gramStart"/>
      <w:r>
        <w:rPr>
          <w:rFonts w:ascii="Times New Roman" w:hAnsi="Times New Roman" w:cs="Times New Roman"/>
        </w:rPr>
        <w:t>c(</w:t>
      </w:r>
      <w:proofErr w:type="gramEnd"/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4"/>
          <w:szCs w:val="14"/>
        </w:rPr>
        <w:t>+</w:t>
      </w:r>
      <w:r>
        <w:rPr>
          <w:rFonts w:ascii="Times New Roman" w:hAnsi="Times New Roman" w:cs="Times New Roman"/>
        </w:rPr>
        <w:t>) = 0.02 M );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est la masse molaire de l’azote ;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</w:t>
      </w:r>
      <w:r>
        <w:rPr>
          <w:rFonts w:ascii="Times New Roman" w:hAnsi="Times New Roman" w:cs="Times New Roman"/>
          <w:sz w:val="14"/>
          <w:szCs w:val="14"/>
        </w:rPr>
        <w:t>2</w:t>
      </w:r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est la teneur en eau, exprimée en pourcentage en masse, de l’échantillon, calculée</w:t>
      </w:r>
    </w:p>
    <w:p w:rsidR="00985535" w:rsidRDefault="0098553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conformément</w:t>
      </w:r>
      <w:proofErr w:type="gramEnd"/>
      <w:r>
        <w:rPr>
          <w:rFonts w:ascii="Times New Roman" w:hAnsi="Times New Roman" w:cs="Times New Roman"/>
        </w:rPr>
        <w:t xml:space="preserve"> à la procédure.</w:t>
      </w:r>
    </w:p>
    <w:p w:rsidR="008D11B5" w:rsidRPr="00985535" w:rsidRDefault="008D11B5" w:rsidP="0098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D11B5" w:rsidRPr="00985535" w:rsidSect="008D11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85535"/>
    <w:rsid w:val="000C0750"/>
    <w:rsid w:val="003B0237"/>
    <w:rsid w:val="00597D36"/>
    <w:rsid w:val="00606142"/>
    <w:rsid w:val="008D11B5"/>
    <w:rsid w:val="00985535"/>
    <w:rsid w:val="00FA456E"/>
    <w:rsid w:val="00FF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2016</cp:lastModifiedBy>
  <cp:revision>2</cp:revision>
  <dcterms:created xsi:type="dcterms:W3CDTF">2020-04-19T23:16:00Z</dcterms:created>
  <dcterms:modified xsi:type="dcterms:W3CDTF">2020-04-19T23:16:00Z</dcterms:modified>
</cp:coreProperties>
</file>