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D3" w:rsidRDefault="003E52D3" w:rsidP="003E52D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fr-FR"/>
        </w:rPr>
        <w:t xml:space="preserve">Norme européenne EN 1090-2 intitulé :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Exécutions des structures en acier et des structures en aluminium  - Partie 2 : Exigences techniques pour les structures en acier </w:t>
      </w:r>
      <w:r w:rsidRPr="003E52D3">
        <w:rPr>
          <w:rFonts w:ascii="Times New Roman" w:hAnsi="Times New Roman" w:cs="Times New Roman"/>
          <w:lang w:val="fr-FR"/>
        </w:rPr>
        <w:t>(</w:t>
      </w:r>
      <w:r w:rsidRPr="003E52D3">
        <w:rPr>
          <w:rFonts w:ascii="Times New Roman" w:hAnsi="Times New Roman" w:cs="Times New Roman"/>
          <w:i/>
          <w:iCs/>
          <w:lang w:val="fr-FR"/>
        </w:rPr>
        <w:t>Execution of steel stru</w:t>
      </w:r>
      <w:r>
        <w:rPr>
          <w:rFonts w:ascii="Times New Roman" w:hAnsi="Times New Roman" w:cs="Times New Roman"/>
          <w:i/>
          <w:iCs/>
          <w:lang w:val="fr-FR"/>
        </w:rPr>
        <w:t xml:space="preserve">ctures and aluminium structures - </w:t>
      </w:r>
      <w:r w:rsidRPr="003E52D3">
        <w:rPr>
          <w:rFonts w:ascii="Times New Roman" w:hAnsi="Times New Roman" w:cs="Times New Roman"/>
          <w:i/>
          <w:iCs/>
          <w:lang w:val="fr-FR"/>
        </w:rPr>
        <w:t>Part 2: Technical requirements for steel</w:t>
      </w:r>
      <w:r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3E52D3">
        <w:rPr>
          <w:rFonts w:ascii="Times New Roman" w:hAnsi="Times New Roman" w:cs="Times New Roman"/>
          <w:i/>
          <w:iCs/>
          <w:lang w:val="fr-FR"/>
        </w:rPr>
        <w:t>Structures</w:t>
      </w:r>
      <w:r w:rsidRPr="003E52D3">
        <w:rPr>
          <w:rFonts w:ascii="Times New Roman" w:hAnsi="Times New Roman" w:cs="Times New Roman"/>
          <w:lang w:val="fr-FR"/>
        </w:rPr>
        <w:t>)</w:t>
      </w:r>
      <w:r>
        <w:rPr>
          <w:rFonts w:ascii="Times New Roman" w:hAnsi="Times New Roman" w:cs="Times New Roman"/>
          <w:lang w:val="fr-FR"/>
        </w:rPr>
        <w:t xml:space="preserve"> de juillet 2002</w:t>
      </w:r>
      <w:r w:rsidR="002C5DB7">
        <w:rPr>
          <w:rFonts w:ascii="Times New Roman" w:hAnsi="Times New Roman" w:cs="Times New Roman"/>
          <w:lang w:val="fr-FR"/>
        </w:rPr>
        <w:t>, éditée par le comité européen de normalisation CEN</w:t>
      </w:r>
    </w:p>
    <w:p w:rsidR="003E52D3" w:rsidRPr="003E52D3" w:rsidRDefault="003E52D3" w:rsidP="003E52D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highlight w:val="cyan"/>
          <w:lang w:val="fr-FR"/>
        </w:rPr>
      </w:pPr>
    </w:p>
    <w:p w:rsidR="0011126E" w:rsidRPr="00C119D6" w:rsidRDefault="003E52D3" w:rsidP="00C8027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fr-FR"/>
        </w:rPr>
        <w:t xml:space="preserve">Chapitre </w:t>
      </w:r>
      <w:r w:rsidR="00C80270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fr-FR"/>
        </w:rPr>
        <w:t>8</w:t>
      </w:r>
      <w:r w:rsidR="0011126E" w:rsidRPr="00C119D6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fr-FR"/>
        </w:rPr>
        <w:t xml:space="preserve"> </w:t>
      </w:r>
      <w:r w:rsidR="008E7DA6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fr-FR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fr-FR"/>
        </w:rPr>
        <w:t xml:space="preserve"> </w:t>
      </w:r>
      <w:r w:rsidR="008E7DA6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fr-FR"/>
        </w:rPr>
        <w:t>Fixation mécaniques / Boulons non précontraints + Boulons précontraints + Rivets</w:t>
      </w:r>
    </w:p>
    <w:p w:rsidR="0011126E" w:rsidRPr="00144F48" w:rsidRDefault="0011126E" w:rsidP="0011126E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fr-FR"/>
        </w:rPr>
      </w:pPr>
    </w:p>
    <w:p w:rsidR="006A645B" w:rsidRDefault="006A645B" w:rsidP="007B1E66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highlight w:val="yellow"/>
          <w:lang w:val="fr-FR"/>
        </w:rPr>
      </w:pPr>
      <w:r>
        <w:rPr>
          <w:rFonts w:ascii="Times New Roman" w:eastAsia="Times New Roman" w:hAnsi="Times New Roman" w:cs="Times New Roman"/>
          <w:b/>
          <w:bCs/>
          <w:highlight w:val="yellow"/>
          <w:lang w:val="fr-FR"/>
        </w:rPr>
        <w:t>Introduction :</w:t>
      </w:r>
    </w:p>
    <w:p w:rsidR="00C80270" w:rsidRPr="006A645B" w:rsidRDefault="006A645B" w:rsidP="006A645B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lang w:val="fr-FR"/>
        </w:rPr>
      </w:pPr>
      <w:r w:rsidRPr="006A645B">
        <w:rPr>
          <w:rFonts w:ascii="Times New Roman" w:eastAsia="Times New Roman" w:hAnsi="Times New Roman" w:cs="Times New Roman"/>
          <w:b/>
          <w:bCs/>
          <w:lang w:val="fr-FR"/>
        </w:rPr>
        <w:t>On commence par les r</w:t>
      </w:r>
      <w:r w:rsidR="00C80270" w:rsidRPr="006A645B">
        <w:rPr>
          <w:rFonts w:ascii="Times New Roman" w:eastAsia="Times New Roman" w:hAnsi="Times New Roman" w:cs="Times New Roman"/>
          <w:b/>
          <w:bCs/>
          <w:lang w:val="fr-FR"/>
        </w:rPr>
        <w:t xml:space="preserve">ègles </w:t>
      </w:r>
      <w:r>
        <w:rPr>
          <w:rFonts w:ascii="Times New Roman" w:eastAsia="Times New Roman" w:hAnsi="Times New Roman" w:cs="Times New Roman"/>
          <w:b/>
          <w:bCs/>
          <w:lang w:val="fr-FR"/>
        </w:rPr>
        <w:t xml:space="preserve">préliminaires </w:t>
      </w:r>
      <w:r w:rsidR="00C80270" w:rsidRPr="006A645B">
        <w:rPr>
          <w:rFonts w:ascii="Times New Roman" w:eastAsia="Times New Roman" w:hAnsi="Times New Roman" w:cs="Times New Roman"/>
          <w:b/>
          <w:bCs/>
          <w:lang w:val="fr-FR"/>
        </w:rPr>
        <w:t>liées au chapitre 8</w:t>
      </w:r>
      <w:r w:rsidRPr="006A645B">
        <w:rPr>
          <w:rFonts w:ascii="Times New Roman" w:eastAsia="Times New Roman" w:hAnsi="Times New Roman" w:cs="Times New Roman"/>
          <w:b/>
          <w:bCs/>
          <w:lang w:val="fr-FR"/>
        </w:rPr>
        <w:t> ; ce sont les</w:t>
      </w:r>
      <w:r w:rsidR="00C80270" w:rsidRPr="006A645B">
        <w:rPr>
          <w:rFonts w:ascii="Times New Roman" w:eastAsia="Times New Roman" w:hAnsi="Times New Roman" w:cs="Times New Roman"/>
          <w:b/>
          <w:bCs/>
          <w:lang w:val="fr-FR"/>
        </w:rPr>
        <w:t xml:space="preserve"> sections 5.6 et 6.6</w:t>
      </w:r>
      <w:r w:rsidRPr="006A645B">
        <w:rPr>
          <w:rFonts w:ascii="Times New Roman" w:eastAsia="Times New Roman" w:hAnsi="Times New Roman" w:cs="Times New Roman"/>
          <w:b/>
          <w:bCs/>
          <w:lang w:val="fr-FR"/>
        </w:rPr>
        <w:t>, ensuite on passe au</w:t>
      </w:r>
      <w:r>
        <w:rPr>
          <w:rFonts w:ascii="Times New Roman" w:eastAsia="Times New Roman" w:hAnsi="Times New Roman" w:cs="Times New Roman"/>
          <w:b/>
          <w:bCs/>
          <w:lang w:val="fr-FR"/>
        </w:rPr>
        <w:t>x</w:t>
      </w:r>
      <w:r w:rsidRPr="006A645B">
        <w:rPr>
          <w:rFonts w:ascii="Times New Roman" w:eastAsia="Times New Roman" w:hAnsi="Times New Roman" w:cs="Times New Roman"/>
          <w:b/>
          <w:bCs/>
          <w:lang w:val="fr-FR"/>
        </w:rPr>
        <w:t xml:space="preserve"> règles de ce chapitre.</w:t>
      </w:r>
    </w:p>
    <w:p w:rsidR="007B1E66" w:rsidRPr="007B1E66" w:rsidRDefault="007B1E66" w:rsidP="00C80270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highlight w:val="yellow"/>
          <w:lang w:val="fr-FR"/>
        </w:rPr>
      </w:pPr>
      <w:r w:rsidRPr="007B1E66">
        <w:rPr>
          <w:rFonts w:ascii="Times New Roman" w:eastAsia="Times New Roman" w:hAnsi="Times New Roman" w:cs="Times New Roman"/>
          <w:b/>
          <w:bCs/>
          <w:highlight w:val="yellow"/>
          <w:lang w:val="fr-FR"/>
        </w:rPr>
        <w:t>5.6 Éléments de fixation mécaniques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cyan"/>
          <w:lang w:val="fr-FR"/>
        </w:rPr>
        <w:t>5.6.1 Généralités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résistance à la corrosion des connecteurs, éléments de fixation et rondelles d'étanchéité doit être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comparable à celle spécifiée pour les éléments fixés. Les revêtements de galvanisation à chaud des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éléments de fixation doivent être conformes à l'EN ISO 10684.</w:t>
      </w:r>
      <w:r w:rsidR="006A645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Les revêtements de protection des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composants des éléments de fixation doivent satisfaire aux exigences de la norme de produit pertinente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ou, à défaut, aux recommandations du fabricant.</w:t>
      </w:r>
    </w:p>
    <w:p w:rsidR="007B1E66" w:rsidRP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cyan"/>
          <w:lang w:val="fr-FR"/>
        </w:rPr>
        <w:t>5.6.2 Terminologie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Dans le corps du texte, on utilise la terminologie suivante :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a) « rondelle » signifie : «rondelle plate ou rondelle plate chanfreinée» ;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b) « boulon » signifie : « une vis avec un écrou et rondelle(s) si nécessaire(s)».</w:t>
      </w:r>
    </w:p>
    <w:p w:rsidR="007B1E66" w:rsidRP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cyan"/>
          <w:lang w:val="fr-FR"/>
        </w:rPr>
        <w:t>5.6.3 Boulons de construction destinés à des applications non précontraintes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boulons de construction destinés à des applications non précontraintes en acier au carbone ou allié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et en acier inoxydable austénitique doivent être conformes à l'EN 15048-1.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boulons conformes à l'EN 14399-1 peuvent aussi être utilisés pour des applications non</w:t>
      </w:r>
    </w:p>
    <w:p w:rsidR="003E52D3" w:rsidRDefault="007B1E66" w:rsidP="007B1E66">
      <w:pPr>
        <w:bidi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précontraintes.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classes de qualité des vis et écrous et, si nécessaire, les finitions de surface doivent être spécifiées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ainsi que toutes les options requises autorisées par la norme de produit.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caractéristiques mécaniques doivent être précisées pour :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a) les boulons en acier au carbone ou allié dont le diamètre est supérieur à ceux spécifiés dans l'EN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ISO 898-1etl'EN 20898-2 ;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b) les boulons en acier inoxydable austénitique dont le diamètre est supérieur à ceux spécifiés dans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l'EN ISO 3506-1et l'EN 3506-2 ;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c) les vis en acier austéno-ferritique.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Sauf spécification contraire, les éléments de fixation conformes à l'EN ISO 898-1 et à l'EN 20898-2 ne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doivent pas être utilisés pour assembler des aciers inoxydables conformes à l'EN 10088. Si des kits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d'isolation doivent être utilisés, tous les détails concernant leur utilisation doivent être spécifiés.</w:t>
      </w:r>
    </w:p>
    <w:p w:rsidR="007B1E66" w:rsidRP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cyan"/>
          <w:lang w:val="fr-FR"/>
        </w:rPr>
        <w:lastRenderedPageBreak/>
        <w:t>5.6.4 Boulons de construction aptes à la précontrainte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boulons de construction à haute résistance aptes à la précontrainte comprennent les boulons du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système HR, du système HV, et les boulons HRC. Ils doivent être conformes aux prescriptions de l'EN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14399-1 et de la Norme européenne appropriée, tel qu'indiqué dans le Tableau 7.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classes de qualité des vis et écrous et, si nécessaire, les finitions de surface doivent être spécifiées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ainsi que toutes les options requises autorisées par la norme de produit.</w:t>
      </w:r>
    </w:p>
    <w:p w:rsidR="007B1E66" w:rsidRPr="00C80270" w:rsidRDefault="007B1E66" w:rsidP="007B1E6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             </w:t>
      </w:r>
      <w:r w:rsidRPr="00C80270">
        <w:rPr>
          <w:rFonts w:ascii="Times New Roman" w:hAnsi="Times New Roman" w:cs="Times New Roman"/>
          <w:b/>
          <w:bCs/>
          <w:lang w:val="fr-FR"/>
        </w:rPr>
        <w:t>Tableau 7 — Normes de produit pour les boulons de construction</w:t>
      </w:r>
    </w:p>
    <w:p w:rsidR="007B1E66" w:rsidRPr="00C80270" w:rsidRDefault="007B1E66" w:rsidP="00C8027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lang w:val="fr-FR"/>
        </w:rPr>
      </w:pPr>
      <w:r w:rsidRPr="00C80270">
        <w:rPr>
          <w:rFonts w:ascii="Times New Roman" w:hAnsi="Times New Roman" w:cs="Times New Roman"/>
          <w:b/>
          <w:bCs/>
          <w:lang w:val="fr-FR"/>
        </w:rPr>
        <w:t>à haute résistance aptes à la précontrainte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noProof/>
          <w:lang w:val="fr-FR" w:eastAsia="fr-FR"/>
        </w:rPr>
        <w:drawing>
          <wp:inline distT="0" distB="0" distL="0" distR="0">
            <wp:extent cx="3491901" cy="107056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718" cy="1071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fr-FR"/>
        </w:rPr>
      </w:pP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Sauf spécification contraire, les vis en acier inoxydable ne doivent pas être utilisées dans les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applications précontraintes. Si elles sont utilisées, elles doivent être traitées comme des éléments de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fixation particuliers.</w:t>
      </w:r>
    </w:p>
    <w:p w:rsidR="007B1E66" w:rsidRP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cyan"/>
          <w:lang w:val="fr-FR"/>
        </w:rPr>
        <w:t>5.6.5 Indicateurs directs de précontrainte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indicateurs directs de précontrainte, ainsi que les rondelles durcies associées à placer sous l'écrou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et la tête de la vis, doivent être conformes au prEN 14399-9. Les indicateurs directs de précontrainte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ne doivent pas être utilisés avec les aciers de construction à résistance améliorée à la corrosion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atmosphérique, ni avec les aciers inoxydables.</w:t>
      </w:r>
    </w:p>
    <w:p w:rsidR="007B1E66" w:rsidRP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cyan"/>
          <w:lang w:val="fr-FR"/>
        </w:rPr>
        <w:t>5.6.6 Boulons résistant à la corrosion atmosphérique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boulons résistant à la corrosion atmosphérique doivent être fabriqués à partir d'un matériau à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résistance améliorée à la corrosion atmosphérique dont la composition chimique doit être spécifiée.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NOTE Les éléments de fixation de nuance A type 3 conformes à la norme américaine ASTM A325 conviennent [48].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Leurs caractéristiques mécaniques, performances et conditions de livraison doivent être conformes aux</w:t>
      </w:r>
    </w:p>
    <w:p w:rsidR="003E52D3" w:rsidRDefault="007B1E66" w:rsidP="007B1E66">
      <w:pPr>
        <w:bidi w:val="0"/>
        <w:spacing w:after="0" w:line="360" w:lineRule="auto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exigences de l'EN 14399-1 ou de l'EN 15048-1 selon le cas.</w:t>
      </w:r>
    </w:p>
    <w:p w:rsidR="007B1E66" w:rsidRP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cyan"/>
          <w:lang w:val="fr-FR"/>
        </w:rPr>
        <w:t>5.6.7 Boulons d'ancrage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boulons d'ancrage doivent avoir des caractéristiques mécaniques conformes à l'EN ISO 898-1 ou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être fabriqués à partir d'un acier laminé à chaud conforme aux EN 10025-2 à EN 10025-4. Si spécifié,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est permis d'utiliser des aciers pour béton armé. Dans ce cas, ils doivent être conformes à l'EN 10080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et la nuance d'acier doit être spécifiée.</w:t>
      </w:r>
    </w:p>
    <w:p w:rsidR="007B1E66" w:rsidRP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cyan"/>
          <w:lang w:val="fr-FR"/>
        </w:rPr>
        <w:t>5.6.8 Dispositifs de blocage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Si requis, les dispositifs de blocage, tels que les écrous autofreinés ou autres types de boulons qui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empêchent efficacement tout desserrage de l'assemblage en cas d'impact ou de vibration importante,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doivent être spécifiés. Sauf indication contraire, il est permis d'utiliser les produits conformes aux EN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ISO 2320, EN ISO 7040, EN ISO 7042, EN ISO 7719, EN ISO 10511, EN ISO 10512 et EN ISO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10513.</w:t>
      </w:r>
    </w:p>
    <w:p w:rsidR="007B1E66" w:rsidRP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cyan"/>
          <w:lang w:val="fr-FR"/>
        </w:rPr>
        <w:t>5.6.9 Rondelles biaises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rondelles biaises doivent être conformes à la norme de produit applicable.</w:t>
      </w:r>
    </w:p>
    <w:p w:rsidR="007B1E66" w:rsidRP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cyan"/>
          <w:lang w:val="fr-FR"/>
        </w:rPr>
        <w:t>5.6.10 Rivets à chaud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rivets à chaud doivent être conformes à la norme de produit applicable.</w:t>
      </w:r>
    </w:p>
    <w:p w:rsidR="007B1E66" w:rsidRP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cyan"/>
          <w:lang w:val="fr-FR"/>
        </w:rPr>
        <w:t>5.6.11 Éléments de fixation pour éléments minces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vis autoperceuses doivent être conformes à l'EN ISO 15480 et les vis autotaraudeuses à l'EN ISO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1481, EN ISO 7049, EN ISO 1479 ou ISO 10509. Les rivets aveugles doivent être conformes à l'EN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ISO 15976, EN ISO 15979, EN ISO 15980, EN ISO 15983 ou EN ISO 15984. Les clous pour pisto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scellement par charge explosive et par air comprimé doivent être classés comme des éléments de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fixation particuliers. Les éléments de fixation mécaniques destinés à être utilisés dans des applications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avec collaboration des parois doivent être d'un type spécifié pour une telle application.</w:t>
      </w:r>
    </w:p>
    <w:p w:rsidR="007B1E66" w:rsidRP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cyan"/>
          <w:lang w:val="fr-FR"/>
        </w:rPr>
        <w:t>5.6.12 Éléments de fixation particuliers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éléments de fixation particuliers sont des éléments de fixation qui ne sont pas couverts dans des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normes européennes ou internationales. Ils doivent être spécifiés, tout comme les essais nécessaires.</w:t>
      </w:r>
    </w:p>
    <w:p w:rsidR="007B1E66" w:rsidRPr="007B1E66" w:rsidRDefault="007B1E66" w:rsidP="007B1E66">
      <w:pPr>
        <w:bidi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7B1E66">
        <w:rPr>
          <w:rFonts w:ascii="Times New Roman" w:hAnsi="Times New Roman" w:cs="Times New Roman"/>
          <w:i/>
          <w:iCs/>
          <w:lang w:val="fr-FR"/>
        </w:rPr>
        <w:t>NOTE L'utilisation d'éléments de fixation particuliers est traitée au 8.9.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boulons hexagonaux injectés doivent être classés comme éléments de fixation particuliers.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5.6.13 Livraison et identification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éléments de fixation selon 5.6.3 à 5.6.5 doivent être livrés et identifiés conformément aux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exigences de la norme de produit pertinente. Les éléments de fixation selon 5.6.7 à 5.6.12 doivent être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livrés et identifiés comme suit :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a) Ils doivent être livrés dans un emballage durable et étiqueté afin que le contenu soit facilement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identifiable.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b) Il convient que l'étiquetage ou les documents d'accompagnement comportent les informations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suivantes sous une forme lisible et durable :-l'identification du fabricant et, s’il y a lieu, les numéros de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lot ;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 le type d'élément de fixation et de matériau et, si nécessaire, son assemblage ;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 le revêtement de protection ;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 les dimensions en mm, s’il y a lieu pour le diamètre nominal et la longueur, et si nécessaire, le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diamètre de la rondelle, l'épaisseur et la plage de compression efficace de la partie élastomère ;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 la dimension du perçage, si nécessaire ;-pour les vis : les détails des valeurs limites de couple de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serrage ;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 pour les clous pour pisto scellement par charge explosive ou air comprimé : les informations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concernant la puissance de tir ou la pression à utiliser, selon le cas.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c) Les éléments de fixation et les éventuelles rondelles associées doivent porter une marque durable</w:t>
      </w:r>
    </w:p>
    <w:p w:rsidR="007B1E66" w:rsidRDefault="007B1E66" w:rsidP="007B1E66">
      <w:pPr>
        <w:bidi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d'identification du fabricant.</w:t>
      </w:r>
    </w:p>
    <w:p w:rsidR="007B1E66" w:rsidRP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yellow"/>
          <w:lang w:val="fr-FR"/>
        </w:rPr>
        <w:lastRenderedPageBreak/>
        <w:t>6.6 Perçage</w:t>
      </w:r>
    </w:p>
    <w:p w:rsidR="007B1E66" w:rsidRP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B1E66">
        <w:rPr>
          <w:rFonts w:ascii="Times New Roman" w:hAnsi="Times New Roman" w:cs="Times New Roman"/>
          <w:b/>
          <w:bCs/>
          <w:highlight w:val="cyan"/>
          <w:lang w:val="fr-FR"/>
        </w:rPr>
        <w:t>6.6.1 Dimensions des trous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dispositions du présent article s'appliquent aux perçages réalisés pour des assemblages par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éléments de fixations mécaniques et axes d'articulation. La définition du diamètre nominal du trou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combinée au diamètre nominal du boulon devant être utilisée dans ce trou détermine l'appellation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«normal» ou «surdimensionné» pour ce trou. Les termes «court» et» long» appliqués aux trous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oblongs font référence à deux natures de trous utilisées dans les calculs des boulons précontraints. Ces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termes peuvent également être employés pour désigner les jeux dans le cas de boulons non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précontraints. Il convient que les dimensions spéciales des assemblages glissants soient spécifiées. Les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jeux nominaux pour les boulons et les axes d’articulation non prévus pour fonctionner dans des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conditions ajustées doivent être tels que spécifiés au Tableau 11. Le jeu nominal est défini comme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étant :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— la différence entre le diamètre nominal du trou et le diamètre nominal du boulon pour les trous</w:t>
      </w:r>
    </w:p>
    <w:p w:rsidR="007B1E66" w:rsidRDefault="007B1E66" w:rsidP="007B1E66">
      <w:pPr>
        <w:bidi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ronds ;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—  la différence entre respectivement la longueur ou la largeur du trou et le diamètre nominal du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boulon, pour les trous oblongs.</w:t>
      </w:r>
    </w:p>
    <w:p w:rsidR="007B1E66" w:rsidRPr="00C80270" w:rsidRDefault="007B1E66" w:rsidP="007B1E66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  <w:r w:rsidRPr="00C80270">
        <w:rPr>
          <w:rFonts w:ascii="Times New Roman" w:hAnsi="Times New Roman" w:cs="Times New Roman"/>
          <w:b/>
          <w:bCs/>
          <w:lang w:val="fr-FR"/>
        </w:rPr>
        <w:t>Tableau 11 — Jeux nominaux pour les boulons et les axes d’articulation</w:t>
      </w:r>
    </w:p>
    <w:p w:rsidR="007B1E66" w:rsidRDefault="007B1E66" w:rsidP="003E52D3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5760720" cy="2610882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0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les boulons ajustés, le diamètre nominal du trou doit être égal au diamètre de la partie lisse de la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tige du boulon.</w:t>
      </w:r>
    </w:p>
    <w:p w:rsidR="007B1E66" w:rsidRPr="00E9187D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E9187D">
        <w:rPr>
          <w:rFonts w:ascii="Times New Roman" w:hAnsi="Times New Roman" w:cs="Times New Roman"/>
          <w:i/>
          <w:iCs/>
          <w:lang w:val="fr-FR"/>
        </w:rPr>
        <w:t>NOTE Pour les boulons ajustés conformes à l’EN 14399-8, le diamètre nominal de la partie lisse de la</w:t>
      </w:r>
    </w:p>
    <w:p w:rsidR="007B1E66" w:rsidRPr="00E9187D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E9187D">
        <w:rPr>
          <w:rFonts w:ascii="Times New Roman" w:hAnsi="Times New Roman" w:cs="Times New Roman"/>
          <w:i/>
          <w:iCs/>
          <w:lang w:val="fr-FR"/>
        </w:rPr>
        <w:t>tige est supérieurde1mm au diamètre nominal de la partie filetée.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les rivets à chaud, le diamètre nominal du trou doit être spécifié. Pour les vis ou rivets à tête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fraisée, les dimensions nominales de la fraisure et les tolérances sur ces dimensions doivent être telles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que, après mise en place; la vis ou le rivet affleure la face externe du matériau extérieur.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dimensions de la fraisure doivent être spécifiées en conséquence. Si la fraisure est pratiquée au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travers de plusieurs épaisseurs de matériaux, ces matériaux doivent être maintenus fermement jointifs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pendant l'opération de fraisage. Lorsque des vis à tête fraisée sont utilisées en traction ou dans des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applications précontraintes, la profondeur nominale de la fraisure doit être inférieure d'au moins 2 mm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à l'épaisseur nominale du matériau extérieur.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 w:rsidRPr="00E9187D">
        <w:rPr>
          <w:rFonts w:ascii="Times New Roman" w:hAnsi="Times New Roman" w:cs="Times New Roman"/>
          <w:i/>
          <w:iCs/>
          <w:lang w:val="fr-FR"/>
        </w:rPr>
        <w:t>NOTE Ces 2 mm sont destinés à pallier les tolérances défavorables</w:t>
      </w:r>
      <w:r>
        <w:rPr>
          <w:rFonts w:ascii="Times New Roman" w:hAnsi="Times New Roman" w:cs="Times New Roman"/>
          <w:lang w:val="fr-FR"/>
        </w:rPr>
        <w:t>.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les rivets aveugles utilisés pour la fixation des tôles profilées, le diamètre du trou de passage (d</w:t>
      </w:r>
      <w:r>
        <w:rPr>
          <w:rFonts w:ascii="Times New Roman" w:hAnsi="Times New Roman" w:cs="Times New Roman"/>
          <w:sz w:val="14"/>
          <w:szCs w:val="14"/>
          <w:lang w:val="fr-FR"/>
        </w:rPr>
        <w:t>h</w:t>
      </w:r>
      <w:r>
        <w:rPr>
          <w:rFonts w:ascii="Times New Roman" w:hAnsi="Times New Roman" w:cs="Times New Roman"/>
          <w:lang w:val="fr-FR"/>
        </w:rPr>
        <w:t>)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doit satisfaire à la condition suivante selon les normes pour rivets données au 5.6.11 :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</w:t>
      </w:r>
      <w:r>
        <w:rPr>
          <w:rFonts w:ascii="Times New Roman" w:hAnsi="Times New Roman" w:cs="Times New Roman"/>
          <w:sz w:val="14"/>
          <w:szCs w:val="14"/>
          <w:lang w:val="fr-FR"/>
        </w:rPr>
        <w:t xml:space="preserve">nom </w:t>
      </w:r>
      <w:r>
        <w:rPr>
          <w:rFonts w:ascii="Times New Roman" w:hAnsi="Times New Roman" w:cs="Times New Roman"/>
          <w:lang w:val="fr-FR"/>
        </w:rPr>
        <w:t xml:space="preserve">+ 0,1 mm </w:t>
      </w:r>
      <w:r w:rsidR="00E9187D">
        <w:rPr>
          <w:rFonts w:ascii="Cambria Math" w:hAnsi="Cambria Math" w:cs="Symbol"/>
          <w:lang w:val="fr-FR"/>
        </w:rPr>
        <w:t>≤</w:t>
      </w:r>
      <w:r>
        <w:rPr>
          <w:rFonts w:ascii="Symbol" w:hAnsi="Symbol" w:cs="Symbol"/>
          <w:lang w:val="fr-FR"/>
        </w:rPr>
        <w:t></w:t>
      </w:r>
      <w:r>
        <w:rPr>
          <w:rFonts w:ascii="Times New Roman" w:hAnsi="Times New Roman" w:cs="Times New Roman"/>
          <w:lang w:val="fr-FR"/>
        </w:rPr>
        <w:t>d</w:t>
      </w:r>
      <w:r>
        <w:rPr>
          <w:rFonts w:ascii="Times New Roman" w:hAnsi="Times New Roman" w:cs="Times New Roman"/>
          <w:sz w:val="14"/>
          <w:szCs w:val="14"/>
          <w:lang w:val="fr-FR"/>
        </w:rPr>
        <w:t xml:space="preserve">h </w:t>
      </w:r>
      <w:r w:rsidR="00E9187D">
        <w:rPr>
          <w:rFonts w:ascii="Cambria Math" w:hAnsi="Cambria Math" w:cs="Symbol"/>
          <w:lang w:val="fr-FR"/>
        </w:rPr>
        <w:t>≤</w:t>
      </w:r>
      <w:r>
        <w:rPr>
          <w:rFonts w:ascii="Symbol" w:hAnsi="Symbol" w:cs="Symbol"/>
          <w:lang w:val="fr-FR"/>
        </w:rPr>
        <w:t></w:t>
      </w:r>
      <w:r>
        <w:rPr>
          <w:rFonts w:ascii="Times New Roman" w:hAnsi="Times New Roman" w:cs="Times New Roman"/>
          <w:lang w:val="fr-FR"/>
        </w:rPr>
        <w:t>d</w:t>
      </w:r>
      <w:r>
        <w:rPr>
          <w:rFonts w:ascii="Times New Roman" w:hAnsi="Times New Roman" w:cs="Times New Roman"/>
          <w:sz w:val="14"/>
          <w:szCs w:val="14"/>
          <w:lang w:val="fr-FR"/>
        </w:rPr>
        <w:t xml:space="preserve">nom </w:t>
      </w:r>
      <w:r>
        <w:rPr>
          <w:rFonts w:ascii="Times New Roman" w:hAnsi="Times New Roman" w:cs="Times New Roman"/>
          <w:lang w:val="fr-FR"/>
        </w:rPr>
        <w:t>+ 0,2 mm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où d</w:t>
      </w:r>
      <w:r>
        <w:rPr>
          <w:rFonts w:ascii="Times New Roman" w:hAnsi="Times New Roman" w:cs="Times New Roman"/>
          <w:sz w:val="14"/>
          <w:szCs w:val="14"/>
          <w:lang w:val="fr-FR"/>
        </w:rPr>
        <w:t xml:space="preserve">nom </w:t>
      </w:r>
      <w:r>
        <w:rPr>
          <w:rFonts w:ascii="Times New Roman" w:hAnsi="Times New Roman" w:cs="Times New Roman"/>
          <w:lang w:val="fr-FR"/>
        </w:rPr>
        <w:t>= diamètre nominal du rivet.</w:t>
      </w:r>
    </w:p>
    <w:p w:rsidR="007B1E66" w:rsidRPr="00E9187D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E9187D">
        <w:rPr>
          <w:rFonts w:ascii="Times New Roman" w:hAnsi="Times New Roman" w:cs="Times New Roman"/>
          <w:b/>
          <w:bCs/>
          <w:highlight w:val="cyan"/>
          <w:lang w:val="fr-FR"/>
        </w:rPr>
        <w:t>6.6.2 Tolérances sur le diamètre de trou pour les boulons et les axes d’articulation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Sauf spécification contraire, les diamètres de trou doivent satisfaire aux conditions suivantes :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a) trous pour boulons et axes d'articulation ajustés : classe H11 selon l'ISO 286-2 ;</w:t>
      </w:r>
    </w:p>
    <w:p w:rsidR="007B1E66" w:rsidRDefault="007B1E66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b) autres trous : ± 0,5 mm, le diamètre de trou retenu étant la moyenne des diamètres d'entrée et</w:t>
      </w:r>
    </w:p>
    <w:p w:rsidR="007B1E66" w:rsidRDefault="007B1E66" w:rsidP="007B1E66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 sortie (voir Figure 1).</w:t>
      </w:r>
    </w:p>
    <w:p w:rsidR="00E9187D" w:rsidRP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E9187D">
        <w:rPr>
          <w:rFonts w:ascii="Times New Roman" w:hAnsi="Times New Roman" w:cs="Times New Roman"/>
          <w:b/>
          <w:bCs/>
          <w:highlight w:val="cyan"/>
          <w:lang w:val="fr-FR"/>
        </w:rPr>
        <w:t>6.6.3 Exécution du perçage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trous destinés aux éléments de fixation ou aux axes d'articulation peuvent être formés par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n'importe quel procédé (forage, poinçonnage, coupage laser, jet de plasma ou autre coupage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thermique) à condition que celui-ci laisse un trou fini tel que :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a) les exigences de coupage se rapportant à la dureté locale et à la qualité de la surface de coupe,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conformément au 6.4, soient satisfaites ;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b) tous les trous appariés destinés à des éléments de fixation ou axes d'articulation coïncident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exactement les uns avec les autres de telle manière que les éléments de fixation puissent être insérés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librement dans les éléments assemblés dans une direction perpendiculaire aux faces en contact.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poinçonnage est autorisé à condition que l'épaisseur nominale de l'élément ne soit pas supérieure au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diamètre nominal du trou ou, pour un trou non circulaire, à sa dimension minimale.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Sauf spécification contraire, pour les classes d'exécution EXC1 et EXC2, les trous peuvent être formés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par poinçonnage sans alésage.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les classes d'exécution EXC3 et EXC4, le poinçonnage sans alésage n'est pas autorisé. Les trous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doivent être poinçonnés à un diamètre inférieur d'au moins 2 mm au diamètre définitif. La validité des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procédés de perçage doit être vérifiée périodiquement comme suit :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a) huit échantillons couvrant la gamme des diamètres de trous, les épaisseurs de produits constitutifs et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nuances d'acier traités doivent être réalisés à partir d'essais de qualification de mode opératoire sur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produit constitutif ;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b) les dimensions des trous doivent être contrôlées aux deux extrémités de chaque trou à l'aide de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calibres tout-ou-rien. Les trous doivent respecter la classe de tolérances spécifiée au 6.6.2.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Si le procédé n'est pas conforme, il ne doit pas être utilisé avant correction. Il peut toutefois être utilisé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sur une gamme limitée de produits constitutifs et de dimensions de trous présentant des résultats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conformes. Les trous doivent également respecter les prescriptions suivantes :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a) l'angle de dépouille (α) ne doit pas être supérieur à celui indiqué dans la Figure 1 ;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b) les bavures (Δ) ne doivent pas être supérieures à celles indiquées dans la Figure 1 ;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c) au niveau des éclisses/couvre-joints, les trous des surfaces de contact doivent être poinçonnés dans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même direction pour tous les éléments.</w:t>
      </w:r>
    </w:p>
    <w:p w:rsidR="007B1E66" w:rsidRDefault="00E9187D" w:rsidP="007B1E6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2254565" cy="1604513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54" cy="1604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Cambria Math" w:hAnsi="Cambria Math" w:cs="Symbol"/>
          <w:lang w:val="fr-FR"/>
        </w:rPr>
      </w:pPr>
      <w:r w:rsidRPr="00C80270">
        <w:rPr>
          <w:rFonts w:ascii="Times New Roman" w:hAnsi="Times New Roman" w:cs="Times New Roman"/>
          <w:lang w:val="fr-FR"/>
        </w:rPr>
        <w:t xml:space="preserve">Max </w:t>
      </w:r>
      <w:r>
        <w:rPr>
          <w:rFonts w:ascii="Times New Roman" w:hAnsi="Times New Roman" w:cs="Times New Roman"/>
          <w:lang w:val="fr-FR"/>
        </w:rPr>
        <w:t>(Δ</w:t>
      </w:r>
      <w:r w:rsidRPr="00E9187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>
        <w:rPr>
          <w:rFonts w:ascii="Times New Roman" w:hAnsi="Times New Roman" w:cs="Times New Roman"/>
          <w:lang w:val="fr-FR"/>
        </w:rPr>
        <w:t xml:space="preserve"> et Δ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>
        <w:rPr>
          <w:rFonts w:ascii="Times New Roman" w:hAnsi="Times New Roman" w:cs="Times New Roman"/>
          <w:lang w:val="fr-FR"/>
        </w:rPr>
        <w:t xml:space="preserve">) </w:t>
      </w:r>
      <w:r>
        <w:rPr>
          <w:rFonts w:ascii="Cambria Math" w:hAnsi="Cambria Math" w:cs="Symbol"/>
          <w:lang w:val="fr-FR"/>
        </w:rPr>
        <w:t>≤ max (D/10 et 1 mm)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Cambria Math" w:hAnsi="Cambria Math" w:cs="Symbol"/>
          <w:lang w:val="fr-FR"/>
        </w:rPr>
      </w:pPr>
      <w:r>
        <w:rPr>
          <w:rFonts w:ascii="Cambria Math" w:hAnsi="Cambria Math" w:cs="Symbol"/>
          <w:lang w:val="fr-FR"/>
        </w:rPr>
        <w:t>α ≤ 4° (par exemple 7 %)</w:t>
      </w:r>
    </w:p>
    <w:p w:rsidR="00E9187D" w:rsidRP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lang w:val="fr-FR"/>
        </w:rPr>
      </w:pPr>
      <w:r w:rsidRPr="00E9187D">
        <w:rPr>
          <w:rFonts w:ascii="Times New Roman" w:hAnsi="Times New Roman" w:cs="Times New Roman"/>
          <w:b/>
          <w:bCs/>
          <w:lang w:val="fr-FR"/>
        </w:rPr>
        <w:t>Figure 1 — Déformations autorisées pour les trous poinçonnés et les découpes au plasma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trous destinés aux boulons ajustés et axes d'articulation ajustés peuvent être forés à la dimension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 ou être alésés in situ. Si les trous doivent être alésés in situ, ils doivent être forés ou poinçonnés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à un diamètre inférieur d'au moins 3 mm au diamètre définitif. Lorsque l'élément de fixation doit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s'ajuster au travers de plusieurs épaisseurs de matériaux, les différents éléments doivent être maintenus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fermement jointifs pendant l'opération de forage ou d'alésage. L'alésage doit être réalisé à l'aide d'une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machine à broche fixe. L'utilisation de lubrifiant acide est interdite.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fraisure des trous ronds normaux destinés aux vis ou rivets à tête fraisée doit être réalisée après le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perçage.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trous oblongs longs doivent être soit poinçonnés en une seule opération, soit formés de deux trous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forés ou poinçonnés et terminés par oxycoupage manuel, sauf spécification contraire.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trous oblongs dans les éléments et tôles formés à froid peuvent être formés par poinçonnage en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une seule opération, poinçonnage consécutif ou jonction des deux trous poinçonnés ou forés à l'aide</w:t>
      </w:r>
    </w:p>
    <w:p w:rsidR="00E9187D" w:rsidRDefault="00E9187D" w:rsidP="00E9187D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d'une scie sauteuse.</w:t>
      </w:r>
    </w:p>
    <w:p w:rsidR="007F7864" w:rsidRDefault="00E9187D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Les bavures doivent être éliminées des trous avant assemblage. Lorsque des trous sont forés en une </w:t>
      </w:r>
      <w:r w:rsidR="007F7864">
        <w:rPr>
          <w:rFonts w:ascii="Times New Roman" w:hAnsi="Times New Roman" w:cs="Times New Roman"/>
          <w:lang w:val="fr-FR"/>
        </w:rPr>
        <w:t>seule opération au travers d'éléments bridés ensemble ne devant pas être séparés après le forage,</w:t>
      </w:r>
    </w:p>
    <w:p w:rsidR="00E9187D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l'élimination des bavures n'est nécessaire que sur les trous extérieurs.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7F786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CHAPITRE 8 de la présente norme </w:t>
      </w:r>
      <w:r w:rsidRPr="007F7864">
        <w:rPr>
          <w:rFonts w:ascii="Times New Roman" w:hAnsi="Times New Roman" w:cs="Times New Roman"/>
          <w:b/>
          <w:bCs/>
          <w:sz w:val="28"/>
          <w:szCs w:val="28"/>
          <w:highlight w:val="yellow"/>
          <w:lang w:val="fr-FR"/>
        </w:rPr>
        <w:t>«</w:t>
      </w:r>
      <w:r w:rsidRPr="007F7864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 8 Fixations mécaniques »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F7864">
        <w:rPr>
          <w:rFonts w:ascii="Times New Roman" w:hAnsi="Times New Roman" w:cs="Times New Roman"/>
          <w:b/>
          <w:bCs/>
          <w:highlight w:val="yellow"/>
          <w:lang w:val="fr-FR"/>
        </w:rPr>
        <w:t>8.1 Généralités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présent article couvre les exigences relatives aux fixations réalisées en usine et sur chantier, y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compris la fixation de tôles nervurées. Les épaisseurs des divers éléments faisant partie d'un même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assemblage ne doivent pas différer de plus de D, ou D est de 2 mm en règle générale et de 1 mm dans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applications avec précontrainte (voir Figure 3). Lorsque des fourrures métalliques sont fournies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que la différence d'épaisseur ne soit pas supérieure à la limite spécifiée ci-dessus, leur épaisseur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ne doit pas être inférieure à 2 mm. En conditions d'exposition sévère, un jeu plus réduit peut être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nécessaire pour éviter une corrosion caverneuse. L'épaisseur des plaques doit être choisie de manière à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limiter le nombre de fourrures à un maximum de trois.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w:drawing>
          <wp:inline distT="0" distB="0" distL="0" distR="0">
            <wp:extent cx="4701540" cy="1207770"/>
            <wp:effectExtent l="19050" t="0" r="381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lang w:val="fr-FR"/>
        </w:rPr>
      </w:pPr>
      <w:r w:rsidRPr="007F7864">
        <w:rPr>
          <w:rFonts w:ascii="Times New Roman" w:hAnsi="Times New Roman" w:cs="Times New Roman"/>
          <w:b/>
          <w:bCs/>
          <w:lang w:val="fr-FR"/>
        </w:rPr>
        <w:t>Figure 3 — Différence d'épaisseur entre éléments d'un même assemblage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fourrures en plat doivent avoir un comportement à la corrosion et une résistance mécanique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compatibles avec ceux des éléments adjacents de l'assemblage. Une attention particulière doit être portée au risque et conséquences de la corrosion galvanique résultant du contact entre des métaux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différents.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F7864">
        <w:rPr>
          <w:rFonts w:ascii="Times New Roman" w:hAnsi="Times New Roman" w:cs="Times New Roman"/>
          <w:b/>
          <w:bCs/>
          <w:highlight w:val="yellow"/>
          <w:lang w:val="fr-FR"/>
        </w:rPr>
        <w:t>8.2 Utilisation des boulons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F7864">
        <w:rPr>
          <w:rFonts w:ascii="Times New Roman" w:hAnsi="Times New Roman" w:cs="Times New Roman"/>
          <w:b/>
          <w:bCs/>
          <w:highlight w:val="cyan"/>
          <w:lang w:val="fr-FR"/>
        </w:rPr>
        <w:t>8.2.1 Généralités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Ce paragraphe se rapporte aux boulons spécifiés au 5.6, constitués de vis, d’écrous et de rondelles (le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cas échéant) appariés.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doit être spécifié si, en plus du serrage, d'autres mesures ou moyens seront utilisés pour immobiliser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écrous.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assemblages boulonnés présentant de faibles longueurs de serrage utilisés dans des éléments de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faible épaisseur soumis à des vibrations importantes, par exemple râteliers de stockage, doivent utiliser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dispositif d’immobilisation.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boulons précontraints ne nécessitent pas de dispositifs d’immobilisation supplémentaires. Sauf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spécification contraire, les vis et écrous ne doivent pas être soudés.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7F7864">
        <w:rPr>
          <w:rFonts w:ascii="Times New Roman" w:hAnsi="Times New Roman" w:cs="Times New Roman"/>
          <w:i/>
          <w:iCs/>
          <w:lang w:val="fr-FR"/>
        </w:rPr>
        <w:t>NOTE Cette exigence ne s'applique pas aux écrous à souder spéciaux selon, par exemple, l'EN ISO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7F7864">
        <w:rPr>
          <w:rFonts w:ascii="Times New Roman" w:hAnsi="Times New Roman" w:cs="Times New Roman"/>
          <w:i/>
          <w:iCs/>
          <w:lang w:val="fr-FR"/>
        </w:rPr>
        <w:t>21670, ni aux goujons à souder.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F7864">
        <w:rPr>
          <w:rFonts w:ascii="Times New Roman" w:hAnsi="Times New Roman" w:cs="Times New Roman"/>
          <w:b/>
          <w:bCs/>
          <w:highlight w:val="cyan"/>
          <w:lang w:val="fr-FR"/>
        </w:rPr>
        <w:t>8.2.2 Vis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diamètre nominal des fixations utilisées pour le boulonnage des éléments structuraux doit être au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moins M12, sauf spécification contraire comprenant les exigences associées. Pour les plaques et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éléments minces, le diamètre minimal doit être spécifié pour chaque type de fixation.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longueur des vis doit être choisie de manière à satisfaire, après serrage, aux exigences suivantes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concernant le dépassement de l'extrémité de la vis au-delà de la face de l'écrou et la longueur du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filetage.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longueur de dépassement doit être au moins égale à la longueur d'un pas de filetage mesurée entre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face extérieure de l'écrou et l'extrémité de la vis.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S'il est prévu que l'assemblage utilise la capacité de résistance au cisaillement de la partie lisse des vis,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les dimensions des vis doivent être spécifiées pour tenir compte des tolérances relatives à la longueur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 la partie non filetée.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7F7864">
        <w:rPr>
          <w:rFonts w:ascii="Times New Roman" w:hAnsi="Times New Roman" w:cs="Times New Roman"/>
          <w:i/>
          <w:iCs/>
          <w:lang w:val="fr-FR"/>
        </w:rPr>
        <w:t>NOTE La longueur de la partie lisse à pleine section de la vis est inférieure (par exemple jusqu'à 12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7F7864">
        <w:rPr>
          <w:rFonts w:ascii="Times New Roman" w:hAnsi="Times New Roman" w:cs="Times New Roman"/>
          <w:i/>
          <w:iCs/>
          <w:lang w:val="fr-FR"/>
        </w:rPr>
        <w:t>mm pour une vis M20) à la longueur non filetée nominale.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les boulons non précontraints, au moins un filet complet (outre l'amorce de filetage) doit rester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libre entre la surface portante de l'écrou et la partie lisse de la tige.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les boulons précontraints selon l'EN 14399-3 et l’EN 14399-7, au moins quatre filets complets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(outre l'amorce de filetage) doivent rester libres entre la surface portante de l'écrou et la partie lisse de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tige.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les boulons précontraints selon l'EN 14399-4 et l’EN 14399-8, les longueurs de serrage doivent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être conformes à celles spécifiées dans le Tableau A.1 de l'EN 14399-4.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highlight w:val="cyan"/>
          <w:lang w:val="fr-FR"/>
        </w:rPr>
      </w:pPr>
      <w:r w:rsidRPr="007F7864">
        <w:rPr>
          <w:rFonts w:ascii="Times New Roman" w:hAnsi="Times New Roman" w:cs="Times New Roman"/>
          <w:b/>
          <w:bCs/>
          <w:highlight w:val="cyan"/>
          <w:lang w:val="fr-FR"/>
        </w:rPr>
        <w:t>8.2.3 Écrous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écrous doivent tourner librement sur leurs vis associées, ce qui est facile à vérifier au moment du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montage manuel. Tout boulon dont l'écrou ne tourne pas librement doit être mis au rebut. Si un outil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électrique est utilisé, l'un ou l'autre des deux contrôles suivants peut être utilisé :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a) pour chaque nouveau lot d'écrous ou de vis, leur compatibilité peut être vérifiée par un assemblage à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main avant l'installation ;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b) pour les boulons montés, mais avant le serrage, il est permis de vérifier manuellement sur un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échantillonnage d'écrous la libre rotation après desserrage initial.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écrous doivent être montés de telle sorte que leurs repères de désignation soient visibles en vue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d'un contrôle après montage.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F7864">
        <w:rPr>
          <w:rFonts w:ascii="Times New Roman" w:hAnsi="Times New Roman" w:cs="Times New Roman"/>
          <w:b/>
          <w:bCs/>
          <w:highlight w:val="cyan"/>
          <w:lang w:val="fr-FR"/>
        </w:rPr>
        <w:t>8.2.4 Rondelles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En général, l’usage des rondelles n'est pas indispensable avec des boulons non précontraints utilisés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dans des trous ronds normaux. Si elles sont requises, il doit être spécifié si les rondelles doivent être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placées sous la tête de vis ou l’écrou, selon celui qui tourne au serrage, ou sous les deux. Pour les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assemblages à recouvrement ne comportant qu'une seule rangée de boulons, des rondelles doivent être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placées à la fois sous la tête de vis et sous l'écrou.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7F7864">
        <w:rPr>
          <w:rFonts w:ascii="Times New Roman" w:hAnsi="Times New Roman" w:cs="Times New Roman"/>
          <w:i/>
          <w:iCs/>
          <w:lang w:val="fr-FR"/>
        </w:rPr>
        <w:t>NOTE La présence de rondelles peut réduire les détériorations localement occasionnées aux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7F7864">
        <w:rPr>
          <w:rFonts w:ascii="Times New Roman" w:hAnsi="Times New Roman" w:cs="Times New Roman"/>
          <w:i/>
          <w:iCs/>
          <w:lang w:val="fr-FR"/>
        </w:rPr>
        <w:t>revêtements métalliques, en particulier lorsqu'il s'agit de revêtements épais.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rondelles utilisées sous les têtes de vis précontraintes doivent être chanfreinées conformément à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l'EN 14399-6 et positionnées avec le chanfrein orienté vers la tête de la vis. Les rondelles conformes à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l'EN 14399-5 ne doivent être utilisées que sous les écrous.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Des rondelles plates (ou, si nécessaire, des rondelles biaises trempées) doivent être utilisées pour les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boulons précontraints, de la manière suivante :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a) pour les boulons 8.8, une rondelle doit être placée sous l'élément qui tourne au serrage, tête de vis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ou écrou ;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b) pour les boulons 10.9, des rondelles doivent être placées à la fois sous la tête de la vis et sous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l'écrou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Des rondelles en plat doivent être utilisées pour des assemblages avec les trous oblongs longs et les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trous surdimensionnés. Pour ajuster la longueur de serrage des boulons, il est permis d'utiliser une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rondelle en plat supplémentaire ou jusqu'à trois rondelles avec une épaisseur combinée maximale de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12 mm. Elles doivent être placées du côté qui ne tourne pas au serrage.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dimensions et les nuances d'acier des rondelles en plat doivent être spécifiées. L'épaisseur des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rondelles en plat ne doit pas être inférieure à 4 mm.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Des rondelles biaises doivent être utilisées si la surface du produit constitutif est inclinée par rapport à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plan perpendiculaire à l'axe de la vis d'un angle de plus de: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1/20 (3°) pour les vis avec d </w:t>
      </w:r>
      <w:r>
        <w:rPr>
          <w:rFonts w:ascii="Cambria Math" w:hAnsi="Cambria Math" w:cs="Symbol"/>
          <w:lang w:val="fr-FR"/>
        </w:rPr>
        <w:t>≤</w:t>
      </w:r>
      <w:r>
        <w:rPr>
          <w:rFonts w:ascii="Symbol" w:hAnsi="Symbol" w:cs="Symbol"/>
          <w:lang w:val="fr-FR"/>
        </w:rPr>
        <w:t></w:t>
      </w:r>
      <w:r>
        <w:rPr>
          <w:rFonts w:ascii="Times New Roman" w:hAnsi="Times New Roman" w:cs="Times New Roman"/>
          <w:lang w:val="fr-FR"/>
        </w:rPr>
        <w:t>20 mm,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b) 1/30 (2°) pour les vis avec d &gt; 20 mm,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dimensions et les nuances d'acier des rondelles biaises doivent être spécifiées.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F7864">
        <w:rPr>
          <w:rFonts w:ascii="Times New Roman" w:hAnsi="Times New Roman" w:cs="Times New Roman"/>
          <w:b/>
          <w:bCs/>
          <w:highlight w:val="cyan"/>
          <w:lang w:val="fr-FR"/>
        </w:rPr>
        <w:t>8.3 Serrage des boulons non précontraints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éléments assemblés doivent être rapprochés de manière à obtenir un contact ferme. Des fourrures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peuvent être utilisées pour ajuster l'assemblage. Pour un élément épais avec t </w:t>
      </w:r>
      <w:r>
        <w:rPr>
          <w:rFonts w:ascii="Symbol" w:hAnsi="Symbol" w:cs="Symbol"/>
          <w:lang w:val="fr-FR"/>
        </w:rPr>
        <w:t>≥</w:t>
      </w:r>
      <w:r>
        <w:rPr>
          <w:rFonts w:ascii="Symbol" w:hAnsi="Symbol" w:cs="Symbol"/>
          <w:lang w:val="fr-FR"/>
        </w:rPr>
        <w:t></w:t>
      </w:r>
      <w:r>
        <w:rPr>
          <w:rFonts w:ascii="Times New Roman" w:hAnsi="Times New Roman" w:cs="Times New Roman"/>
          <w:lang w:val="fr-FR"/>
        </w:rPr>
        <w:t>4 mm pour les plaques</w:t>
      </w:r>
    </w:p>
    <w:p w:rsidR="007F7864" w:rsidRDefault="007F7864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et tôles et t </w:t>
      </w:r>
      <w:r w:rsidR="007065BA">
        <w:rPr>
          <w:rFonts w:ascii="Century Gothic" w:hAnsi="Century Gothic" w:cs="Symbol"/>
          <w:lang w:val="fr-FR"/>
        </w:rPr>
        <w:t>≥</w:t>
      </w:r>
      <w:r>
        <w:rPr>
          <w:rFonts w:ascii="Symbol" w:hAnsi="Symbol" w:cs="Symbol"/>
          <w:lang w:val="fr-FR"/>
        </w:rPr>
        <w:t></w:t>
      </w:r>
      <w:r>
        <w:rPr>
          <w:rFonts w:ascii="Times New Roman" w:hAnsi="Times New Roman" w:cs="Times New Roman"/>
          <w:lang w:val="fr-FR"/>
        </w:rPr>
        <w:t>8 mm pour les profils, à moins qu'un appui par contact direct n'ait été spécifié, des jeux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résiduels n'excédant pas 4 mm peuvent être laissés en rive à condition que le contact soit assuré dans la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partie centrale de l'assemblage.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Chaque boulon doit être au moins serré jusqu’au refus, en veillant spécialement à éviter tout surserrage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des boulons particulièrement courts et les M12. Le serrage doit être effectué boulon par boulon dans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groupe, en commençant par la partie la plus rigide de l'assemblage et en se déplaçant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progressivement vers la partie la moins rigide. Pour obtenir un serrage uniforme jusqu'au refus des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boulons, plusieurs cycles de serrage peuvent s'avérer nécessaires.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7F7864">
        <w:rPr>
          <w:rFonts w:ascii="Times New Roman" w:hAnsi="Times New Roman" w:cs="Times New Roman"/>
          <w:i/>
          <w:iCs/>
          <w:lang w:val="fr-FR"/>
        </w:rPr>
        <w:t>NOTE 1 La partie la plus rigide d'un assemblage avec couvre-joints d'une section en I se situe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7F7864">
        <w:rPr>
          <w:rFonts w:ascii="Times New Roman" w:hAnsi="Times New Roman" w:cs="Times New Roman"/>
          <w:i/>
          <w:iCs/>
          <w:lang w:val="fr-FR"/>
        </w:rPr>
        <w:t>généralement au centre du groupe de boulons. Les parties les plus rigides des assemblages avec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7F7864">
        <w:rPr>
          <w:rFonts w:ascii="Times New Roman" w:hAnsi="Times New Roman" w:cs="Times New Roman"/>
          <w:i/>
          <w:iCs/>
          <w:lang w:val="fr-FR"/>
        </w:rPr>
        <w:t>platines d’about des sections en I se situent habituellement près des semelles.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7F7864">
        <w:rPr>
          <w:rFonts w:ascii="Times New Roman" w:hAnsi="Times New Roman" w:cs="Times New Roman"/>
          <w:i/>
          <w:iCs/>
          <w:lang w:val="fr-FR"/>
        </w:rPr>
        <w:t>NOTE 2 Le «serrage jusqu'au refus» peut généralement être compris comme pouvant être obtenu par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7F7864">
        <w:rPr>
          <w:rFonts w:ascii="Times New Roman" w:hAnsi="Times New Roman" w:cs="Times New Roman"/>
          <w:i/>
          <w:iCs/>
          <w:lang w:val="fr-FR"/>
        </w:rPr>
        <w:t>l'effort d'un homme seul utilisant une clé de dimension normale sans rallonge, et peut être fixé comme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7F7864">
        <w:rPr>
          <w:rFonts w:ascii="Times New Roman" w:hAnsi="Times New Roman" w:cs="Times New Roman"/>
          <w:i/>
          <w:iCs/>
          <w:lang w:val="fr-FR"/>
        </w:rPr>
        <w:t>le point où une clé à chocs commence à frapper.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Après serrage, la vis doit dépasser de la face de l'écrou d'au moins un pas complet de filetage.</w:t>
      </w:r>
    </w:p>
    <w:p w:rsidR="007F7864" w:rsidRPr="007065BA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065BA">
        <w:rPr>
          <w:rFonts w:ascii="Times New Roman" w:hAnsi="Times New Roman" w:cs="Times New Roman"/>
          <w:b/>
          <w:bCs/>
          <w:highlight w:val="cyan"/>
          <w:lang w:val="fr-FR"/>
        </w:rPr>
        <w:t>8.4 Préparation des surfaces de contact dans les assemblages résistant au glissement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présent article n'est pas applicable aux aciers inoxydables pour lesquels les exigences éventuelles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concernant les surfaces de contact doivent être spécifiées.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présent article ne traite pas de la protection contre la corrosion pour laquelle les exigences sont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spécifiées à l'article 10 et à l'Annexe F.</w:t>
      </w:r>
    </w:p>
    <w:p w:rsid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L'aire des surfaces de contact dans des assemblages précontraints doit être spécifiée.</w:t>
      </w:r>
    </w:p>
    <w:p w:rsidR="007F7864" w:rsidRPr="007F7864" w:rsidRDefault="007F7864" w:rsidP="007F7864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lang w:val="fr-FR"/>
        </w:rPr>
        <w:t>Les surfaces de contact doivent être préparées de manière à produire le coefficient de frottement requis</w:t>
      </w:r>
      <w:r w:rsidRPr="007F7864">
        <w:rPr>
          <w:rFonts w:ascii="Times New Roman" w:hAnsi="Times New Roman" w:cs="Times New Roman"/>
          <w:b/>
          <w:bCs/>
          <w:lang w:val="fr-FR"/>
        </w:rPr>
        <w:t xml:space="preserve"> 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qui doit en général être déterminé par des essais tels que spécifiés à l'Annexe G.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précautions suivantes doivent être prises avant assemblage :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a) les surfaces de contact doivent être exemptes de toute souillure, par exemple, huile, saleté ou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peinture ; les bavures susceptibles d'empêcher l’accostage précis des parties assemblées doivent être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éliminées ;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b) les surfaces non revêtues doivent être débarrassées de rouille ou d'autre matériau non adhérent. On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doit veiller à ne pas endommager ou polir la surface rugueuse. Les zones non traitées autour du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périmètre de l'assemblage serré ne doivent pas être traitées avant la fin du contrôle de l'assemblage.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Tableau 18 donne les traitements de surfaces qui peuvent être considérés comme fournissant le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coefficient de frottement minimal selon la classe spécifiée de surface de frottement, sans essai.</w:t>
      </w:r>
    </w:p>
    <w:p w:rsidR="007F7864" w:rsidRDefault="007065BA" w:rsidP="007065BA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Tableau 18 — Classifications pouvant être envisagées pour les surfaces de frottement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cyan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5760720" cy="194243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4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Ces exigences s'appliquent aussi aux fourrures placées pour compenser les différences d'épaisseur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comme spécifié au 8.1.</w:t>
      </w:r>
    </w:p>
    <w:p w:rsidR="007065BA" w:rsidRP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065BA">
        <w:rPr>
          <w:rFonts w:ascii="Times New Roman" w:hAnsi="Times New Roman" w:cs="Times New Roman"/>
          <w:b/>
          <w:bCs/>
          <w:highlight w:val="yellow"/>
          <w:lang w:val="fr-FR"/>
        </w:rPr>
        <w:t>8.5 Serrage des boulons précontraints</w:t>
      </w:r>
    </w:p>
    <w:p w:rsidR="007065BA" w:rsidRP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7065BA">
        <w:rPr>
          <w:rFonts w:ascii="Times New Roman" w:hAnsi="Times New Roman" w:cs="Times New Roman"/>
          <w:b/>
          <w:bCs/>
          <w:highlight w:val="cyan"/>
          <w:lang w:val="fr-FR"/>
        </w:rPr>
        <w:t>8.5.1 Généralités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Sauf spécification contraire, la précontrainte minimale nominale F</w:t>
      </w:r>
      <w:r>
        <w:rPr>
          <w:rFonts w:ascii="Times New Roman" w:hAnsi="Times New Roman" w:cs="Times New Roman"/>
          <w:sz w:val="14"/>
          <w:szCs w:val="14"/>
          <w:lang w:val="fr-FR"/>
        </w:rPr>
        <w:t xml:space="preserve">p,C </w:t>
      </w:r>
      <w:r>
        <w:rPr>
          <w:rFonts w:ascii="Times New Roman" w:hAnsi="Times New Roman" w:cs="Times New Roman"/>
          <w:lang w:val="fr-FR"/>
        </w:rPr>
        <w:t>doit être prise comme suit :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F</w:t>
      </w:r>
      <w:r>
        <w:rPr>
          <w:rFonts w:ascii="Times New Roman" w:hAnsi="Times New Roman" w:cs="Times New Roman"/>
          <w:sz w:val="14"/>
          <w:szCs w:val="14"/>
          <w:lang w:val="fr-FR"/>
        </w:rPr>
        <w:t xml:space="preserve">p,C </w:t>
      </w:r>
      <w:r>
        <w:rPr>
          <w:rFonts w:ascii="Times New Roman" w:hAnsi="Times New Roman" w:cs="Times New Roman"/>
          <w:lang w:val="fr-FR"/>
        </w:rPr>
        <w:t>= 0,7 f</w:t>
      </w:r>
      <w:r>
        <w:rPr>
          <w:rFonts w:ascii="Times New Roman" w:hAnsi="Times New Roman" w:cs="Times New Roman"/>
          <w:sz w:val="14"/>
          <w:szCs w:val="14"/>
          <w:lang w:val="fr-FR"/>
        </w:rPr>
        <w:t xml:space="preserve">ub </w:t>
      </w:r>
      <w:r>
        <w:rPr>
          <w:rFonts w:ascii="Times New Roman" w:hAnsi="Times New Roman" w:cs="Times New Roman"/>
          <w:lang w:val="fr-FR"/>
        </w:rPr>
        <w:t>As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Où : f</w:t>
      </w:r>
      <w:r>
        <w:rPr>
          <w:rFonts w:ascii="Times New Roman" w:hAnsi="Times New Roman" w:cs="Times New Roman"/>
          <w:sz w:val="14"/>
          <w:szCs w:val="14"/>
          <w:lang w:val="fr-FR"/>
        </w:rPr>
        <w:t xml:space="preserve">ub </w:t>
      </w:r>
      <w:r>
        <w:rPr>
          <w:rFonts w:ascii="Times New Roman" w:hAnsi="Times New Roman" w:cs="Times New Roman"/>
          <w:lang w:val="fr-FR"/>
        </w:rPr>
        <w:t>est la résistance nominale ultime du matériau de la vis et A</w:t>
      </w:r>
      <w:r>
        <w:rPr>
          <w:rFonts w:ascii="Times New Roman" w:hAnsi="Times New Roman" w:cs="Times New Roman"/>
          <w:sz w:val="14"/>
          <w:szCs w:val="14"/>
          <w:lang w:val="fr-FR"/>
        </w:rPr>
        <w:t xml:space="preserve">s </w:t>
      </w:r>
      <w:r>
        <w:rPr>
          <w:rFonts w:ascii="Times New Roman" w:hAnsi="Times New Roman" w:cs="Times New Roman"/>
          <w:lang w:val="fr-FR"/>
        </w:rPr>
        <w:t>est l'aire résistante de la vis.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telle que définie dans l'EN 1993-1-8 et spécifiée dans le Tableau 19. Ce niveau de précontrainte doit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être utilisé pour tous les assemblages précontraints résistant au glissement et pour tous les autres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assemblages précontraints à moins qu'un niveau de précontrainte inférieur n'ait été spécifié. Dans le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dernier cas, les boulons, la méthode de serrage, les paramètres de serrage et les exigences relatives à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l'inspection doivent aussi être spécifiés.</w:t>
      </w:r>
    </w:p>
    <w:p w:rsidR="007065BA" w:rsidRP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lang w:val="fr-FR"/>
        </w:rPr>
      </w:pPr>
      <w:r w:rsidRPr="007065BA">
        <w:rPr>
          <w:rFonts w:ascii="Times New Roman" w:hAnsi="Times New Roman" w:cs="Times New Roman"/>
          <w:i/>
          <w:iCs/>
          <w:sz w:val="20"/>
          <w:szCs w:val="20"/>
          <w:lang w:val="fr-FR"/>
        </w:rPr>
        <w:t>NOTE La précontrainte peut être utilisée pour la résistance au glissement, pour les</w:t>
      </w:r>
    </w:p>
    <w:p w:rsidR="007065BA" w:rsidRP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lang w:val="fr-FR"/>
        </w:rPr>
      </w:pPr>
      <w:r w:rsidRPr="007065BA">
        <w:rPr>
          <w:rFonts w:ascii="Times New Roman" w:hAnsi="Times New Roman" w:cs="Times New Roman"/>
          <w:i/>
          <w:iCs/>
          <w:sz w:val="20"/>
          <w:szCs w:val="20"/>
          <w:lang w:val="fr-FR"/>
        </w:rPr>
        <w:t>assemblages sismiques, pour la résistance à la fatigue, à des fins d'exécution ou comme mesure de qualité</w:t>
      </w:r>
    </w:p>
    <w:p w:rsidR="007065BA" w:rsidRP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lang w:val="fr-FR"/>
        </w:rPr>
      </w:pPr>
      <w:r w:rsidRPr="007065BA">
        <w:rPr>
          <w:rFonts w:ascii="Times New Roman" w:hAnsi="Times New Roman" w:cs="Times New Roman"/>
          <w:i/>
          <w:iCs/>
          <w:sz w:val="20"/>
          <w:szCs w:val="20"/>
          <w:lang w:val="fr-FR"/>
        </w:rPr>
        <w:t>(par exemple pour la durabilité).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Tableau 19 — Valeurs de Fp,C en [kN]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w:lastRenderedPageBreak/>
        <w:drawing>
          <wp:inline distT="0" distB="0" distL="0" distR="0">
            <wp:extent cx="5760720" cy="93573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N'importe laquelle des méthodes de serrage figurant au Tableau 20 peut être utilisée à moins que des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restrictions d’utilisation ne soient spécifiées. La classe k (état de calibrage tel que livré) du boulon doit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être conforme au Tableau 20 pour la méthode utilisée.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Tableau 20 — Classes k pour les méthodes de serrage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cyan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3595418" cy="1653926"/>
            <wp:effectExtent l="19050" t="0" r="5032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15" cy="16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En variante, un calibrage conforme à l'Annexe H peut être utilisé, sauf pour la méthode du couple à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moins que ce ne soit autorisé dans le cahier des charges d'exécution.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L’état de calibrage tel que livré est valide pour un serrage par rotation de l'écrou. Si le serrage est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effectué par rotation de la tête de vis, le calibrage doit être réalisé conformément à l'Annexe H ou par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des essais complémentaires effectués par le fabricant de l'élément de fixation conformément à l'EN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14399-2.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bavures, les matériaux non adhérents ou une surépaisseur de peinture susceptibles d'empêcher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l'accostage précis des parties assemblées doivent être éliminées avant l'assemblage.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Avant l'application de la précontrainte, les éléments assemblés doivent être positionnés et les boulons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d'un même groupe de boulons doivent être serrés conformément au 8.3, mais le jeu résiduel doit être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limité à 2 mm avec les actions correctives nécessaires sur les éléments en acier.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serrage doit être effectué par rotation de l'écrou, sauf lorsque l'accès du côté écrou du boulon est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inadapté. Des précautions particulières, selon la méthode de serrage adoptée, peuvent se révéler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nécessaires lorsque les vis sont serrées par rotation de la tête de vis.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serrage doit être réalisé progressivement de la partie la plus rigide de l'assemblage vers la partie la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moins rigide. Pour obtenir une précontrainte uniforme, plusieurs cycles de serrage peuvent être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nécessaires. Les clés dynamométriques utilisées dans toutes les phases de la méthode du couple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doivent avoir une précision de ± 4% conformément à l'EN ISO 6789. La précision de chaque clé doit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être contrôlée au moins une fois par semaine, et, dans le cas des clés pneumatiques, à chaque</w:t>
      </w:r>
    </w:p>
    <w:p w:rsidR="007065BA" w:rsidRDefault="007065BA" w:rsidP="007065B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changement de longueur du flexible d'alimentation en air.</w:t>
      </w:r>
    </w:p>
    <w:p w:rsidR="00AF33C0" w:rsidRDefault="007065BA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les clés dynamométriques utilisées dans la première p</w:t>
      </w:r>
      <w:r w:rsidR="00AF33C0">
        <w:rPr>
          <w:rFonts w:ascii="Times New Roman" w:hAnsi="Times New Roman" w:cs="Times New Roman"/>
          <w:lang w:val="fr-FR"/>
        </w:rPr>
        <w:t>hase de la méthode combinée; les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prescriptions sont portés à ± 10 % pour la précision et à une année pour la périodicité.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contrôle doit être effectué après tout incident se produisant en cours d'utilisation (choc violent,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chute, surcharge,...) et affectant la clé.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autres méthodes de serrage (par exemple, précontrainte axiale par des dispositifs hydrauliques ou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mise en tension avec contrôle par ultrasons) doivent être calibrées conformément aux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recommandations du fabricant de l'équipement.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boulons à haute résistance aptes à la précontrainte doivent être utilisés sans modification de l’état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 la lubrification tel que livré, à moins de choisir la méthode pour DTI ou le mode opératoire de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l'Annexe H.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Lorsqu'un boulon a été serré jusqu'à la précontrainte minimale puis est ensuite desserré il doit être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enlevé et mis au rebut.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boulons utilisés pour l’accostage initial n'ont normalement pas besoin d'être serrés jusqu'à la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précontrainte minimale ou desserrés ; ils sont, par conséquent, encore utilisables tels quels pour le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serrage final.</w:t>
      </w:r>
    </w:p>
    <w:p w:rsidR="00AF33C0" w:rsidRP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AF33C0">
        <w:rPr>
          <w:rFonts w:ascii="Times New Roman" w:hAnsi="Times New Roman" w:cs="Times New Roman"/>
          <w:i/>
          <w:iCs/>
          <w:lang w:val="fr-FR"/>
        </w:rPr>
        <w:t>NOTE</w:t>
      </w:r>
      <w:r>
        <w:rPr>
          <w:rFonts w:ascii="Times New Roman" w:hAnsi="Times New Roman" w:cs="Times New Roman"/>
          <w:i/>
          <w:iCs/>
          <w:lang w:val="fr-FR"/>
        </w:rPr>
        <w:t xml:space="preserve"> : </w:t>
      </w:r>
      <w:r w:rsidRPr="00AF33C0">
        <w:rPr>
          <w:rFonts w:ascii="Times New Roman" w:hAnsi="Times New Roman" w:cs="Times New Roman"/>
          <w:i/>
          <w:iCs/>
          <w:lang w:val="fr-FR"/>
        </w:rPr>
        <w:t>Si le processus de serrage est retardé dans des conditions d’exposition non</w:t>
      </w:r>
      <w:r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AF33C0">
        <w:rPr>
          <w:rFonts w:ascii="Times New Roman" w:hAnsi="Times New Roman" w:cs="Times New Roman"/>
          <w:i/>
          <w:iCs/>
          <w:lang w:val="fr-FR"/>
        </w:rPr>
        <w:t>contrôlées, les performances de la lubrification peuvent être affectées et il convient de les</w:t>
      </w:r>
      <w:r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AF33C0">
        <w:rPr>
          <w:rFonts w:ascii="Times New Roman" w:hAnsi="Times New Roman" w:cs="Times New Roman"/>
          <w:i/>
          <w:iCs/>
          <w:lang w:val="fr-FR"/>
        </w:rPr>
        <w:t>vérifier.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perte potentielle de force de précontrainte par rapport à sa valeur initiale en fonction de différents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facteurs, par exemple relaxation, fluage des revêtements de surface (voir Annexe F.4 et Tableau 18),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est prise en compte dans les méthodes de serrage spécifiées ci-après. Dans le cas de revêtements de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surface épais, il doit être précisé si des mesures doivent être prises pour compenser la perte ultérieure</w:t>
      </w:r>
    </w:p>
    <w:p w:rsidR="007065BA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 précontrainte éventuelle.</w:t>
      </w:r>
    </w:p>
    <w:p w:rsidR="00AF33C0" w:rsidRP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AF33C0">
        <w:rPr>
          <w:rFonts w:ascii="Times New Roman" w:hAnsi="Times New Roman" w:cs="Times New Roman"/>
          <w:i/>
          <w:iCs/>
          <w:lang w:val="fr-FR"/>
        </w:rPr>
        <w:t>NOTE</w:t>
      </w:r>
      <w:r>
        <w:rPr>
          <w:rFonts w:ascii="Times New Roman" w:hAnsi="Times New Roman" w:cs="Times New Roman"/>
          <w:i/>
          <w:iCs/>
          <w:lang w:val="fr-FR"/>
        </w:rPr>
        <w:t xml:space="preserve"> : </w:t>
      </w:r>
      <w:r w:rsidRPr="00AF33C0">
        <w:rPr>
          <w:rFonts w:ascii="Times New Roman" w:hAnsi="Times New Roman" w:cs="Times New Roman"/>
          <w:i/>
          <w:iCs/>
          <w:lang w:val="fr-FR"/>
        </w:rPr>
        <w:t xml:space="preserve">Quand la </w:t>
      </w:r>
      <w:r>
        <w:rPr>
          <w:rFonts w:ascii="Times New Roman" w:hAnsi="Times New Roman" w:cs="Times New Roman"/>
          <w:i/>
          <w:iCs/>
          <w:lang w:val="fr-FR"/>
        </w:rPr>
        <w:t xml:space="preserve">méthode du couple est utilisée, </w:t>
      </w:r>
      <w:r w:rsidRPr="00AF33C0">
        <w:rPr>
          <w:rFonts w:ascii="Times New Roman" w:hAnsi="Times New Roman" w:cs="Times New Roman"/>
          <w:i/>
          <w:iCs/>
          <w:lang w:val="fr-FR"/>
        </w:rPr>
        <w:t>ceci peut être fait par resserrage après quelques jours.</w:t>
      </w:r>
    </w:p>
    <w:p w:rsidR="00AF33C0" w:rsidRPr="00AF33C0" w:rsidRDefault="00AF33C0" w:rsidP="00AF33C0">
      <w:pPr>
        <w:tabs>
          <w:tab w:val="left" w:pos="3573"/>
        </w:tabs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AF33C0">
        <w:rPr>
          <w:rFonts w:ascii="Times New Roman" w:hAnsi="Times New Roman" w:cs="Times New Roman"/>
          <w:b/>
          <w:bCs/>
          <w:highlight w:val="cyan"/>
          <w:lang w:val="fr-FR"/>
        </w:rPr>
        <w:t>8.5.2 Valeurs de référence du couple</w:t>
      </w:r>
      <w:r w:rsidRPr="00AF33C0">
        <w:rPr>
          <w:rFonts w:ascii="Times New Roman" w:hAnsi="Times New Roman" w:cs="Times New Roman"/>
          <w:b/>
          <w:bCs/>
          <w:lang w:val="fr-FR"/>
        </w:rPr>
        <w:tab/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valeurs de référence du couple Mr à utiliser pour une force de précontrainte nominale minimale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</w:t>
      </w:r>
      <w:r>
        <w:rPr>
          <w:rFonts w:ascii="Times New Roman" w:hAnsi="Times New Roman" w:cs="Times New Roman"/>
          <w:sz w:val="14"/>
          <w:szCs w:val="14"/>
          <w:lang w:val="fr-FR"/>
        </w:rPr>
        <w:t xml:space="preserve">p,C </w:t>
      </w:r>
      <w:r>
        <w:rPr>
          <w:rFonts w:ascii="Times New Roman" w:hAnsi="Times New Roman" w:cs="Times New Roman"/>
          <w:lang w:val="fr-FR"/>
        </w:rPr>
        <w:t>sont déterminées pour chaque type de combinaison vis-écrou utilisée selon l’une des options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suivantes :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a) valeurs fondées sur la classe k déclarée par le fabricant de l'élément de fixation conformément aux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parties concernées de l'EN 14399 :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1) M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r,2 </w:t>
      </w:r>
      <w:r>
        <w:rPr>
          <w:rFonts w:ascii="Times New Roman" w:hAnsi="Times New Roman" w:cs="Times New Roman"/>
          <w:lang w:val="fr-FR"/>
        </w:rPr>
        <w:t>= k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m </w:t>
      </w:r>
      <w:r>
        <w:rPr>
          <w:rFonts w:ascii="Times New Roman" w:hAnsi="Times New Roman" w:cs="Times New Roman"/>
          <w:lang w:val="fr-FR"/>
        </w:rPr>
        <w:t>d F</w:t>
      </w:r>
      <w:r>
        <w:rPr>
          <w:rFonts w:ascii="Times New Roman" w:hAnsi="Times New Roman" w:cs="Times New Roman"/>
          <w:sz w:val="14"/>
          <w:szCs w:val="14"/>
          <w:lang w:val="fr-FR"/>
        </w:rPr>
        <w:t xml:space="preserve">p,C </w:t>
      </w:r>
      <w:r>
        <w:rPr>
          <w:rFonts w:ascii="Times New Roman" w:hAnsi="Times New Roman" w:cs="Times New Roman"/>
          <w:lang w:val="fr-FR"/>
        </w:rPr>
        <w:t>avec k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m </w:t>
      </w:r>
      <w:r>
        <w:rPr>
          <w:rFonts w:ascii="Times New Roman" w:hAnsi="Times New Roman" w:cs="Times New Roman"/>
          <w:lang w:val="fr-FR"/>
        </w:rPr>
        <w:t>pour la classe K2.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2) M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r,1 </w:t>
      </w:r>
      <w:r>
        <w:rPr>
          <w:rFonts w:ascii="Times New Roman" w:hAnsi="Times New Roman" w:cs="Times New Roman"/>
          <w:lang w:val="fr-FR"/>
        </w:rPr>
        <w:t>= k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m </w:t>
      </w:r>
      <w:r>
        <w:rPr>
          <w:rFonts w:ascii="Times New Roman" w:hAnsi="Times New Roman" w:cs="Times New Roman"/>
          <w:lang w:val="fr-FR"/>
        </w:rPr>
        <w:t>d F</w:t>
      </w:r>
      <w:r>
        <w:rPr>
          <w:rFonts w:ascii="Times New Roman" w:hAnsi="Times New Roman" w:cs="Times New Roman"/>
          <w:sz w:val="14"/>
          <w:szCs w:val="14"/>
          <w:lang w:val="fr-FR"/>
        </w:rPr>
        <w:t xml:space="preserve">p,C </w:t>
      </w:r>
      <w:r>
        <w:rPr>
          <w:rFonts w:ascii="Times New Roman" w:hAnsi="Times New Roman" w:cs="Times New Roman"/>
          <w:lang w:val="fr-FR"/>
        </w:rPr>
        <w:t>avec k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m </w:t>
      </w:r>
      <w:r>
        <w:rPr>
          <w:rFonts w:ascii="Times New Roman" w:hAnsi="Times New Roman" w:cs="Times New Roman"/>
          <w:lang w:val="fr-FR"/>
        </w:rPr>
        <w:t>pour la classe K1.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b) valeurs déterminées conformément à l'Annexe H :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r,test </w:t>
      </w:r>
      <w:r>
        <w:rPr>
          <w:rFonts w:ascii="Times New Roman" w:hAnsi="Times New Roman" w:cs="Times New Roman"/>
          <w:lang w:val="fr-FR"/>
        </w:rPr>
        <w:t>= M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m </w:t>
      </w:r>
      <w:r>
        <w:rPr>
          <w:rFonts w:ascii="Times New Roman" w:hAnsi="Times New Roman" w:cs="Times New Roman"/>
          <w:lang w:val="fr-FR"/>
        </w:rPr>
        <w:t>avec Mm déterminé conformément à la procédure appropriée à la méthode de serrage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utilisée.</w:t>
      </w:r>
    </w:p>
    <w:p w:rsidR="00AF33C0" w:rsidRP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AF33C0">
        <w:rPr>
          <w:rFonts w:ascii="Times New Roman" w:hAnsi="Times New Roman" w:cs="Times New Roman"/>
          <w:b/>
          <w:bCs/>
          <w:highlight w:val="cyan"/>
          <w:lang w:val="fr-FR"/>
        </w:rPr>
        <w:t>8.5.3 Méthode du couple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boulons doivent être serrés à l'aide d'une clé dynamométrique offrant une plage de fonctionnement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appropriée. Des clés manuelles ou automatiques peuvent être utilisées. Les clés à chocs peuvent être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utilisées dans la première phase du serrage de chaque boulon.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couple de serrage doit être appliqué de manière continue et sans à-coups.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serrage par la méthode du couple comprend au moins les deux phases suivantes :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a) une première phase de serrage : la clé doit être réglée sur une valeur de couple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F33C0">
        <w:rPr>
          <w:rFonts w:ascii="Times New Roman" w:hAnsi="Times New Roman" w:cs="Times New Roman"/>
        </w:rPr>
        <w:t>d’environ 0,75 Mr,i avec Mr,i = Mr,2 ou Mr,test.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Cette première phase doit être achevée pour tous les boulons dans un même assemblage avant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d'entamer la seconde phase.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b) une seconde phase de serrage : la clé doit être réglée sur une valeur de couple de 1,10 Mr,i avec</w:t>
      </w:r>
    </w:p>
    <w:p w:rsidR="00AF33C0" w:rsidRP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F33C0">
        <w:rPr>
          <w:rFonts w:ascii="Times New Roman" w:hAnsi="Times New Roman" w:cs="Times New Roman"/>
        </w:rPr>
        <w:t>Mr = Mr,2 ou Mr,test.</w:t>
      </w:r>
    </w:p>
    <w:p w:rsidR="00AF33C0" w:rsidRP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AF33C0">
        <w:rPr>
          <w:rFonts w:ascii="Times New Roman" w:hAnsi="Times New Roman" w:cs="Times New Roman"/>
          <w:i/>
          <w:iCs/>
          <w:lang w:val="fr-FR"/>
        </w:rPr>
        <w:t>NOTE L’utilisation du coefficient 1,10 avec Mr,2 est équivalent à (1 + 1,65Vk)</w:t>
      </w:r>
    </w:p>
    <w:p w:rsidR="00AF33C0" w:rsidRP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AF33C0">
        <w:rPr>
          <w:rFonts w:ascii="Times New Roman" w:hAnsi="Times New Roman" w:cs="Times New Roman"/>
          <w:i/>
          <w:iCs/>
          <w:lang w:val="fr-FR"/>
        </w:rPr>
        <w:t>avec Vk = 0,06 pour la classe-k, K2.</w:t>
      </w:r>
    </w:p>
    <w:p w:rsidR="00AF33C0" w:rsidRP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AF33C0">
        <w:rPr>
          <w:rFonts w:ascii="Times New Roman" w:hAnsi="Times New Roman" w:cs="Times New Roman"/>
          <w:b/>
          <w:bCs/>
          <w:highlight w:val="cyan"/>
          <w:lang w:val="fr-FR"/>
        </w:rPr>
        <w:t>8.5.4 Méthode combinée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serrage par la méthode combinée comprend deux phases :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a) une première phase de serrage, à l'aide d'une clé dynamométrique offrant une plage de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fonctionnement appropriée. La clé doit être réglée sur une valeur de couple d’environ 0,75 Mr,i avec</w:t>
      </w:r>
    </w:p>
    <w:p w:rsidR="00AF33C0" w:rsidRP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F33C0">
        <w:rPr>
          <w:rFonts w:ascii="Times New Roman" w:hAnsi="Times New Roman" w:cs="Times New Roman"/>
        </w:rPr>
        <w:t>Mr,i = Mr,2 ou Mr,1 ou Mr,test.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Cette première phase doit être achevée pour tous les boulons dans un même assemblage avant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d'entamer la seconde phase.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Quand on utilise M</w:t>
      </w:r>
      <w:r>
        <w:rPr>
          <w:rFonts w:ascii="Times New Roman" w:hAnsi="Times New Roman" w:cs="Times New Roman"/>
          <w:sz w:val="16"/>
          <w:szCs w:val="16"/>
          <w:lang w:val="fr-FR"/>
        </w:rPr>
        <w:t>r,1</w:t>
      </w:r>
      <w:r>
        <w:rPr>
          <w:rFonts w:ascii="Times New Roman" w:hAnsi="Times New Roman" w:cs="Times New Roman"/>
          <w:lang w:val="fr-FR"/>
        </w:rPr>
        <w:t>, par simplification, on peut utiliser M</w:t>
      </w:r>
      <w:r>
        <w:rPr>
          <w:rFonts w:ascii="Times New Roman" w:hAnsi="Times New Roman" w:cs="Times New Roman"/>
          <w:sz w:val="16"/>
          <w:szCs w:val="16"/>
          <w:lang w:val="fr-FR"/>
        </w:rPr>
        <w:t>r,1</w:t>
      </w:r>
      <w:r>
        <w:rPr>
          <w:rFonts w:ascii="Times New Roman" w:hAnsi="Times New Roman" w:cs="Times New Roman"/>
          <w:lang w:val="fr-FR"/>
        </w:rPr>
        <w:t>= 0,13 d F</w:t>
      </w:r>
      <w:r>
        <w:rPr>
          <w:rFonts w:ascii="Times New Roman" w:hAnsi="Times New Roman" w:cs="Times New Roman"/>
          <w:sz w:val="16"/>
          <w:szCs w:val="16"/>
          <w:lang w:val="fr-FR"/>
        </w:rPr>
        <w:t xml:space="preserve">p,C </w:t>
      </w:r>
      <w:r>
        <w:rPr>
          <w:rFonts w:ascii="Times New Roman" w:hAnsi="Times New Roman" w:cs="Times New Roman"/>
          <w:lang w:val="fr-FR"/>
        </w:rPr>
        <w:t>, sauf spécification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contraire.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b) une seconde phase de serrage dans laquelle une rotation spécifiée est appliquée à la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partie de l'assemblage qui tourne. La position de l'écrou par rapport aux filets de la vis doit être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repérée immédiatement après la première phase, en utilisant un marqueur ou une marque de peinture,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 manière à pouvoir facilement déterminer la rotation finale de l'écrou par rapport aux filets dans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cette seconde phase. Sauf spécification contraire, la seconde phase doit être conforme aux valeurs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données dans le Tableau 21.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Tableau 21 — Méthode combinée : rotation supplémentaire (vis 8.8 et 10.9)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w:drawing>
          <wp:inline distT="0" distB="0" distL="0" distR="0">
            <wp:extent cx="5760720" cy="1182480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3C0" w:rsidRPr="00C8027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C80270">
        <w:rPr>
          <w:rFonts w:ascii="Times New Roman" w:hAnsi="Times New Roman" w:cs="Times New Roman"/>
          <w:i/>
          <w:iCs/>
          <w:lang w:val="fr-FR"/>
        </w:rPr>
        <w:t>NOTE</w:t>
      </w:r>
      <w:r w:rsidR="00C80270" w:rsidRPr="00C80270">
        <w:rPr>
          <w:rFonts w:ascii="Times New Roman" w:hAnsi="Times New Roman" w:cs="Times New Roman"/>
          <w:i/>
          <w:iCs/>
          <w:lang w:val="fr-FR"/>
        </w:rPr>
        <w:t xml:space="preserve"> : </w:t>
      </w:r>
      <w:r w:rsidRPr="00C80270">
        <w:rPr>
          <w:rFonts w:ascii="Times New Roman" w:hAnsi="Times New Roman" w:cs="Times New Roman"/>
          <w:i/>
          <w:iCs/>
          <w:lang w:val="fr-FR"/>
        </w:rPr>
        <w:t>Lorsque la surface sous la tête de vis (en tenant compte des rondelles biaises, le cas échéant)</w:t>
      </w:r>
    </w:p>
    <w:p w:rsidR="00AF33C0" w:rsidRPr="00C8027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C80270">
        <w:rPr>
          <w:rFonts w:ascii="Times New Roman" w:hAnsi="Times New Roman" w:cs="Times New Roman"/>
          <w:i/>
          <w:iCs/>
          <w:lang w:val="fr-FR"/>
        </w:rPr>
        <w:t>n'est pas perpendiculaire à l'axe de la vis, il convient de déterminer par des essais l'angle de rotation</w:t>
      </w:r>
    </w:p>
    <w:p w:rsidR="00AF33C0" w:rsidRPr="00C8027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C80270">
        <w:rPr>
          <w:rFonts w:ascii="Times New Roman" w:hAnsi="Times New Roman" w:cs="Times New Roman"/>
          <w:i/>
          <w:iCs/>
          <w:lang w:val="fr-FR"/>
        </w:rPr>
        <w:t>requis.</w:t>
      </w:r>
    </w:p>
    <w:p w:rsidR="00AF33C0" w:rsidRPr="00C8027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C80270">
        <w:rPr>
          <w:rFonts w:ascii="Times New Roman" w:hAnsi="Times New Roman" w:cs="Times New Roman"/>
          <w:b/>
          <w:bCs/>
          <w:highlight w:val="cyan"/>
          <w:lang w:val="fr-FR"/>
        </w:rPr>
        <w:t>8.5.5 Méthode HRC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Les boulons HRC doivent être serrés à l'aide d'une visseuse spécifique équipée de deux douilles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coaxiales qui réagissent par couple l'une contre l'autre. La douille extérieure qui se prend sur l'écrou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tourne dans le sens horaire. La douille intérieure qui s'engage sur l'extrémité cannelée de la vis tourne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dans le sens contraire des aiguilles d'une montre.</w:t>
      </w:r>
    </w:p>
    <w:p w:rsidR="00AF33C0" w:rsidRP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AF33C0">
        <w:rPr>
          <w:rFonts w:ascii="Times New Roman" w:hAnsi="Times New Roman" w:cs="Times New Roman"/>
          <w:i/>
          <w:iCs/>
          <w:lang w:val="fr-FR"/>
        </w:rPr>
        <w:t>NOTE 1 La visseuse spécifique fonctionne de la manière suivante :</w:t>
      </w:r>
    </w:p>
    <w:p w:rsidR="00AF33C0" w:rsidRDefault="00C8027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r w:rsidR="00AF33C0">
        <w:rPr>
          <w:rFonts w:ascii="Times New Roman" w:hAnsi="Times New Roman" w:cs="Times New Roman"/>
          <w:lang w:val="fr-FR"/>
        </w:rPr>
        <w:t xml:space="preserve"> au cours du serrage d'un boulon, la douille en rotation est celle qui rencontre le moins de résistance ;</w:t>
      </w:r>
    </w:p>
    <w:p w:rsidR="00AF33C0" w:rsidRDefault="00C8027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 </w:t>
      </w:r>
      <w:r w:rsidR="00AF33C0">
        <w:rPr>
          <w:rFonts w:ascii="Times New Roman" w:hAnsi="Times New Roman" w:cs="Times New Roman"/>
          <w:lang w:val="fr-FR"/>
        </w:rPr>
        <w:t>du début jusqu'à la dernière phase de serrage, la douille extérieure sur l'écrou tourne dans le sens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horaire alors que la douille intérieure maintient l'extrémité cannelée sans tourner, ce qui entraîne le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serrage progressif du boulon par le couple croissant appliqué à l'écrou ;</w:t>
      </w:r>
    </w:p>
    <w:p w:rsidR="00AF33C0" w:rsidRDefault="00C8027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 </w:t>
      </w:r>
      <w:r w:rsidR="00AF33C0">
        <w:rPr>
          <w:rFonts w:ascii="Times New Roman" w:hAnsi="Times New Roman" w:cs="Times New Roman"/>
          <w:lang w:val="fr-FR"/>
        </w:rPr>
        <w:t xml:space="preserve"> lors de la dernière phase de serrage, c'est-à-dire lorsque le plateau de résistance à la torsion de la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gorge de rupture est atteinte, la douille intérieure tourne dans le sens contraire des aiguilles d'une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montre alors que la douille extérieure sur l'écrou fournit la réaction sans tourner ;</w:t>
      </w:r>
    </w:p>
    <w:p w:rsidR="00AF33C0" w:rsidRDefault="00C8027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 </w:t>
      </w:r>
      <w:r w:rsidR="00AF33C0">
        <w:rPr>
          <w:rFonts w:ascii="Times New Roman" w:hAnsi="Times New Roman" w:cs="Times New Roman"/>
          <w:lang w:val="fr-FR"/>
        </w:rPr>
        <w:t>la pose du boulon est terminée lorsque l'extrémité cannelée se cisaille au droit de la gorge de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rupture.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niveau requis de précontrainte spécifiée est contrôlé par la vis HRC elle-même au moyen des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caractéristiques géométriques et des caractéristiques mécaniques en torsion conjointement aux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conditions de lubrification. L'équipement ne nécessite pas de calibrage.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Afin de s'assurer que les précontraintes dans les boulons définitivement posés dans les assemblages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répondent à l'exigence de précontrainte minimale spécifiée, le processus d'installation des boulons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comporte généralement deux phases de serrage.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première phase de serrage est terminée au plus tard lorsque la douille extérieure de la visseuse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arrête de tourner. Si spécifié, cette première phase est répétée aussi souvent que nécessaire. Cette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première phase doit être achevée pour tous les boulons dans un même assemblage avant d'entamer la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seconde phase.</w:t>
      </w:r>
    </w:p>
    <w:p w:rsidR="00AF33C0" w:rsidRP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AF33C0">
        <w:rPr>
          <w:rFonts w:ascii="Times New Roman" w:hAnsi="Times New Roman" w:cs="Times New Roman"/>
          <w:i/>
          <w:iCs/>
          <w:lang w:val="fr-FR"/>
        </w:rPr>
        <w:t>NOTE 2 Les conseils du fabricant de l'équipement peuvent porter sur des informations</w:t>
      </w:r>
    </w:p>
    <w:p w:rsidR="00AF33C0" w:rsidRP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AF33C0">
        <w:rPr>
          <w:rFonts w:ascii="Times New Roman" w:hAnsi="Times New Roman" w:cs="Times New Roman"/>
          <w:i/>
          <w:iCs/>
          <w:lang w:val="fr-FR"/>
        </w:rPr>
        <w:t>complémentaires indiquant comment identifier si le préserrage a bien eu lieu (par exemple le</w:t>
      </w:r>
    </w:p>
    <w:p w:rsidR="00AF33C0" w:rsidRP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AF33C0">
        <w:rPr>
          <w:rFonts w:ascii="Times New Roman" w:hAnsi="Times New Roman" w:cs="Times New Roman"/>
          <w:i/>
          <w:iCs/>
          <w:lang w:val="fr-FR"/>
        </w:rPr>
        <w:t>changement du son produit par la visseuse spécifique ou si d'autres méthodes de préserrage sont</w:t>
      </w:r>
    </w:p>
    <w:p w:rsidR="00AF33C0" w:rsidRP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fr-FR"/>
        </w:rPr>
      </w:pPr>
      <w:r w:rsidRPr="00AF33C0">
        <w:rPr>
          <w:rFonts w:ascii="Times New Roman" w:hAnsi="Times New Roman" w:cs="Times New Roman"/>
          <w:i/>
          <w:iCs/>
          <w:lang w:val="fr-FR"/>
        </w:rPr>
        <w:t>appropriées.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seconde phase de serrage est terminée lorsque l'extrémité cannelée du boulon se cisaille au niveau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 la gorge de rupture.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Si les conditions d'assemblage sont telles qu'il n'est pas possible d'utiliser une visseuse spécifique sur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boulon HRC, par exemple par manque de place, le serrage doit être effectué par la méthode du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couple (voir 8.5.3), en s'appuyant sur les informations de la classe K2 ou en utilisant un indicateur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direct de précontrainte (voir 8.5.6).</w:t>
      </w:r>
    </w:p>
    <w:p w:rsidR="00AF33C0" w:rsidRPr="00C8027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C80270">
        <w:rPr>
          <w:rFonts w:ascii="Times New Roman" w:hAnsi="Times New Roman" w:cs="Times New Roman"/>
          <w:b/>
          <w:bCs/>
          <w:highlight w:val="cyan"/>
          <w:lang w:val="fr-FR"/>
        </w:rPr>
        <w:t>8.5.6 Méthode par indicateur direct de précontrainte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présent paragraphe s'applique aux rondelles compressibles, telles que les indicateurs directs de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précontrainte conformes au prEN 14399-9, qui indiquent qu'au moins la contrainte minimale requise a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été atteinte, en contrôlant la force dans le boulon. Il ne couvre pas les indicateurs qui s'appuient sur la</w:t>
      </w:r>
    </w:p>
    <w:p w:rsidR="00AF33C0" w:rsidRDefault="00AF33C0" w:rsidP="00AF33C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torsion. Il ne s'applique pas à la mesure directe de la précontrainte des boulons à l'aide d'instruments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hydrauliques.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indicateurs directs de précontrainte et leurs rondelles associées doivent être assemblés comme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spécifié dans l'Annexe J.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première phase de serrage pour atteindre l'état «serré jusqu'au refus» d'un assemblage d'élément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doit correspondre au moment où la déformation initiale des protubérances des DTI commence. Cette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première phase doit être achevée pour tous les boulons dans un même assemblage avant d'entamer la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seconde phase.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seconde phase du serrage doit être conforme au prEN 14399-9 et à l'Annexe J. Les valeurs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d’interstices mesurés sur la rondelle indicatrice peuvent être moyennées pour établir l'acceptabilité du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boulon.</w:t>
      </w:r>
    </w:p>
    <w:p w:rsidR="00C80270" w:rsidRP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C80270">
        <w:rPr>
          <w:rFonts w:ascii="Times New Roman" w:hAnsi="Times New Roman" w:cs="Times New Roman"/>
          <w:b/>
          <w:bCs/>
          <w:highlight w:val="yellow"/>
          <w:lang w:val="fr-FR"/>
        </w:rPr>
        <w:t>8.6 Boulons ajustés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boulons ajustés peuvent être utilisés dans des applications précontraintes ou non précontraintes, et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8.1 à 8.5 s'appliquent si nécessaire en supplément des exigences ci-après.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convient que la longueur de la portion filetée de la tige du boulon ajusté (y compris l'amorce de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filetage) incluse dans la longueur d'appui ne dépasse pas le 1/3 de l'épaisseur de la plaque sauf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spécification contraire (voir Figure 4).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Figure 4 —Portion filetée de la tige incluse dans la longueur d'appui pour des boulons ajustés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boulons ajustés doivent être mis en place sans appliquer un effort excessif, et de telle façon que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leurs filetages ne soient pas endommagés.</w:t>
      </w:r>
    </w:p>
    <w:p w:rsidR="00C80270" w:rsidRP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C80270">
        <w:rPr>
          <w:rFonts w:ascii="Times New Roman" w:hAnsi="Times New Roman" w:cs="Times New Roman"/>
          <w:b/>
          <w:bCs/>
          <w:highlight w:val="yellow"/>
          <w:lang w:val="fr-FR"/>
        </w:rPr>
        <w:t>8.7 Rivetage à chaud</w:t>
      </w:r>
    </w:p>
    <w:p w:rsidR="00C80270" w:rsidRP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C80270">
        <w:rPr>
          <w:rFonts w:ascii="Times New Roman" w:hAnsi="Times New Roman" w:cs="Times New Roman"/>
          <w:b/>
          <w:bCs/>
          <w:highlight w:val="cyan"/>
          <w:lang w:val="fr-FR"/>
        </w:rPr>
        <w:t>8.7.1 Rivets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Chaque rivet doit avoir une longueur suffisante pour obtenir une tête de dimensions uniformes, un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remplissage intégral du trou et pour éviter l’empreinte superficielle de la bouterolle sur les faces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extérieures des éléments.</w:t>
      </w:r>
    </w:p>
    <w:p w:rsidR="00C80270" w:rsidRP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C80270">
        <w:rPr>
          <w:rFonts w:ascii="Times New Roman" w:hAnsi="Times New Roman" w:cs="Times New Roman"/>
          <w:b/>
          <w:bCs/>
          <w:highlight w:val="cyan"/>
          <w:lang w:val="fr-FR"/>
        </w:rPr>
        <w:t>8.7.2 Mise en oeuvre des rivets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éléments assemblés doivent être rapprochés de manière à être maintenus fermement en contact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pendant le rivetage. L'excentricité maximale entre les trous relatifs à un même rivet dans un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assemblage ne doit pas être supérieureà1mm. Pour répondre à cette exigence, un alésage est autorisé.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Après alésage, il peut être nécessaire de mettre en place un rivet de plus grand diamètre. Pour les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assemblages à plusieurs rivets, un boulon provisoire doit être mis en place et serré dans au moins un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trou sur quatre avant le rivetage qui doit débuter au centre du groupe de rivets. Des mesures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particulières doivent être prises pour maintenir des éléments assemblés avec un seul rivet (par exemple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serrage).Chaque fois que cela est possible, le rivetage doit être effectué à l'aide de machines de type à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pression constante. Une fois le refoulement terminé, la pression de pose doit être maintenue sur le rivet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pendant un court instant, de façon qu’au dégagement de la machine, la tête soit noire. Chaque rivet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doit être chauffé uniformément sur toute sa longueur, sans brûlure ni calaminage excessif. Il doit être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porté au rouge vif de la tête à la pointe au moment de son insertion, et refoulé sur la totalité de sa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longueur tant qu'il est brûlant, de façon à remplir complètement le trou. Un soin particulier doit être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apporté à la chauffe et à la pose des rivets longs. Chaque rivet doit être débarrassé de sa calamine en le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frappant alors qu'il est brûlant contre une surface dure, après la chauffe et avant l'insertion dans le trou.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rivet brûlé ne doit pas être utilisé. Un rivet chauffé qui n'est pas utilisé immédiatement ne doit pas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être réchauffé en vue d'une utilisation ultérieure. Lorsqu'une surface affleurante est spécifiée pour des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rivets à tête fraisée, toute partie de métal saillante doit être burinée ou meulée.</w:t>
      </w:r>
    </w:p>
    <w:p w:rsidR="00C80270" w:rsidRP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C80270">
        <w:rPr>
          <w:rFonts w:ascii="Times New Roman" w:hAnsi="Times New Roman" w:cs="Times New Roman"/>
          <w:b/>
          <w:bCs/>
          <w:highlight w:val="cyan"/>
          <w:lang w:val="fr-FR"/>
        </w:rPr>
        <w:t>8.7.3 Critères d'acceptation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têtes de rivets doivent être centrées. Le décentrage de la tête par rapport à l'axe de la tige ne doit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pas être supérieur à 0,15 d</w:t>
      </w:r>
      <w:r>
        <w:rPr>
          <w:rFonts w:ascii="Times New Roman" w:hAnsi="Times New Roman" w:cs="Times New Roman"/>
          <w:sz w:val="18"/>
          <w:szCs w:val="18"/>
          <w:lang w:val="fr-FR"/>
        </w:rPr>
        <w:t>0</w:t>
      </w:r>
      <w:r>
        <w:rPr>
          <w:rFonts w:ascii="Times New Roman" w:hAnsi="Times New Roman" w:cs="Times New Roman"/>
          <w:lang w:val="fr-FR"/>
        </w:rPr>
        <w:t>, où d</w:t>
      </w:r>
      <w:r>
        <w:rPr>
          <w:rFonts w:ascii="Times New Roman" w:hAnsi="Times New Roman" w:cs="Times New Roman"/>
          <w:sz w:val="18"/>
          <w:szCs w:val="18"/>
          <w:lang w:val="fr-FR"/>
        </w:rPr>
        <w:t xml:space="preserve">0 </w:t>
      </w:r>
      <w:r>
        <w:rPr>
          <w:rFonts w:ascii="Times New Roman" w:hAnsi="Times New Roman" w:cs="Times New Roman"/>
          <w:lang w:val="fr-FR"/>
        </w:rPr>
        <w:t>est le diamètre du trou. Les têtes de rivets doivent être bien formées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et ne doivent présenter ni gerçures, ni cratères. Les rivets doivent présenter un contact satisfaisant avec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pièces assemblées, aussi bien au niveau de la face extérieure des pièces que dans le trou. Il ne doit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être détecté ni mouvement ni vibration lorsque la tête du rivet est tapotée légèrement à l'aide d'un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marteau. Une légère collerette régulière et bien centrée ne peut être acceptée que si un nombre restreint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 rivets du groupe est concerné. Les faces extérieures des pièces qui ne doivent pas présenter de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marque causée par la bouterolle peuvent être spécifiées. Lorsque des rivets à tête fraisée sont exigés,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têtes doivent remplir complètement les fraisures après rivetage. En cas de manque de matière, le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rivet doit être remplacé. Tout rivet ne répondant pas aux critères d'acceptation doit être ôté et remplacé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par un rivet neuf.</w:t>
      </w:r>
    </w:p>
    <w:p w:rsidR="00AF33C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C80270">
        <w:rPr>
          <w:rFonts w:ascii="Times New Roman" w:hAnsi="Times New Roman" w:cs="Times New Roman"/>
          <w:b/>
          <w:bCs/>
          <w:highlight w:val="yellow"/>
          <w:lang w:val="fr-FR"/>
        </w:rPr>
        <w:t>8.8 Fixation des éléments minces</w:t>
      </w:r>
      <w:r>
        <w:rPr>
          <w:rFonts w:ascii="Times New Roman" w:hAnsi="Times New Roman" w:cs="Times New Roman"/>
          <w:b/>
          <w:bCs/>
          <w:lang w:val="fr-FR"/>
        </w:rPr>
        <w:t xml:space="preserve"> (à voir le texte de la norme)</w:t>
      </w:r>
    </w:p>
    <w:p w:rsid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lang w:val="fr-FR"/>
        </w:rPr>
      </w:pPr>
      <w:r w:rsidRPr="00C80270">
        <w:rPr>
          <w:rFonts w:ascii="Times New Roman" w:hAnsi="Times New Roman" w:cs="Times New Roman"/>
          <w:highlight w:val="yellow"/>
          <w:lang w:val="fr-FR"/>
        </w:rPr>
        <w:t>8.9 Utilisation d'éléments de fixation particuliers et de méthodes de fixation particulières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lang w:val="fr-FR"/>
        </w:rPr>
        <w:t>(à voir le texte de la norme)</w:t>
      </w:r>
    </w:p>
    <w:p w:rsidR="00C80270" w:rsidRPr="00C80270" w:rsidRDefault="00C80270" w:rsidP="00C80270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fr-FR"/>
        </w:rPr>
      </w:pPr>
      <w:r w:rsidRPr="00C80270">
        <w:rPr>
          <w:rFonts w:ascii="Times New Roman" w:hAnsi="Times New Roman" w:cs="Times New Roman"/>
          <w:highlight w:val="yellow"/>
          <w:lang w:val="fr-FR"/>
        </w:rPr>
        <w:t>8.10 Grippage et arrachement superficiel des aciers inoxydables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lang w:val="fr-FR"/>
        </w:rPr>
        <w:t>(à voir le texte de la norme)</w:t>
      </w:r>
    </w:p>
    <w:p w:rsidR="003E52D3" w:rsidRPr="003E52D3" w:rsidRDefault="003E52D3" w:rsidP="007B1E6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E52D3">
        <w:rPr>
          <w:rFonts w:ascii="Times New Roman" w:hAnsi="Times New Roman" w:cs="Times New Roman"/>
          <w:b/>
          <w:bCs/>
          <w:sz w:val="24"/>
          <w:szCs w:val="24"/>
          <w:highlight w:val="yellow"/>
          <w:lang w:val="fr-FR"/>
        </w:rPr>
        <w:t>Bibliographie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[1] prEN 1090-1, Exécution des structures en acier et des structures en aluminium — Partie 1 :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Évaluation de la conformité des éléments structuraux.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[2] EN 1990 : 2002, Eurocode : Bases de calcul des structures.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[3] EN 1993-1-1, Eurocode 3 : Calcul des structures en acier —Partie 1-1 : Règles générales et règles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les bâtiments.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[4] EN 1993-1-2, Eurocode 3 : Calcul des structures en acier —Partie 1-2 : Règles générales —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Calcul du comportement au feu.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[5] EN 1993-1-3, Eurocode 3 : Calcul des structures en acier —Partie 1-3 : Règles générales —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Règles supplémentaires pour les profilés et les plaques formées à froid.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[6] EN 1993-1-4, Eurocode 3 : Calcul des structures en acier —Partie 1-4 : Règles générales —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Règles supplémentaires pour les aciers inoxydables.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[7] EN 1993-1-5, Eurocode 3 : Calcul des structures en acier —Partie 1-5 : Plaques planes.</w:t>
      </w:r>
    </w:p>
    <w:p w:rsidR="003E52D3" w:rsidRDefault="003E52D3" w:rsidP="00040DA6">
      <w:pPr>
        <w:bidi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[8] EN 1993-1-7, Eurocode 3 : Calcul des structures en acier —Partie 1-7 : Structures en plaques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chargées hors de leur plan.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[9] EN 1993-1-9, Eurocode 3 : Calcul des structures en acier —Partie 1-9 : Fatigue.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[10] EN 1993-1-10, Eurocode 3 : Calcul des structures en acier — Partie 1-10 : Choix des qualités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d’acier.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[11] EN 1993-1-11, Eurocode 3 : Calcul des structures en acier — Partie 1-11 : Calcul des structures à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câbles ou éléments tendus.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[12] EN 1993-1-12, Eurocode 3 : Calcul des structures en acier — Partie 1-12 : Règles additionnelles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l'utilisation de l'EN 1993 jusqu'à la nuance d'acier S 700.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[13] EN 1993-2, Eurocode 3 : Calcul des structures en acier —Partie 2 : Ponts métalliques.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[14] EN 1993-3-1, Eurocode 3 : Calcul des structures en acier — Partie 3-1 : Tours, mâts et cheminées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—Tours et mâts haubanés.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[15] EN 1993-3-2, Eurocode 3 : Calcul des structures en acier — Partie 3-2 : Tours, mâts et cheminées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— Cheminées.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[16] EN 1993-4-1, Eurocode 3 : Calcul des structures en acier — Partie 4-1 : Silos.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[17] EN 1993-4-2, Eurocode 3 : Calcul des structures en acier — Partie 4-2 : Réservoirs.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[18] EN 1993-4-3, Eurocode 3 : Calcul des structures en acier — Partie 4-3 : Canalisations.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[19] EN 1993-5, Eurocode 3 : Calcul des structures en acier —Partie 5 : pieux et palplanches.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[20] EN 1993-6, Eurocode 3 : Calcul des structures en acier —Partie 6 : Chemins de roulement.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[21] EN 1994 (toutes parties), Eurocode 4 : Calcul des structures mixtes acier — Béton.</w:t>
      </w:r>
    </w:p>
    <w:p w:rsidR="003E52D3" w:rsidRDefault="003E52D3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[22] EN 1998-1, Eurocode 8 : Calcul des structures pour leur résistance aux séismes — Partie 1 :</w:t>
      </w:r>
    </w:p>
    <w:p w:rsidR="003E52D3" w:rsidRDefault="003E52D3" w:rsidP="00040DA6">
      <w:pPr>
        <w:bidi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Règles générales, actions sismiques et règles pour les bâtiments.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[23] EN 10020, Définition et classification des nuances d'acier.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[24] EN 10027-1, Systèmes de désignation des aciers — Partie 1 : Désignation symbolique, symboles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principaux.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[25] EN 10027-2, Systèmes de désignation des aciers — Partie 2 : Système numérique.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[26] EN 10079, Définition des produits en acier.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[27] EN 10162, Profilés en acier formés à froid — Conditions techniques de livraison —Tolérances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dimensionnelles et sur sections transversales.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[28] EN 13001-1, Appareils de levage à charge suspendue — Conception générale — Partie 1: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Principes généraux et prescriptions.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[29] CEN ISO/TR 3834-6, Exigences de qualité en soudage par fusion des matériaux métalliques —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Partie 6 : Lignes directrices pour la mise en application de l'ISO 3834 (ISO/TR 3834-6 :2007)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[30] EN ISO 2320, Écrous hexagonaux autofreinés en acier — Caractéristiques mécaniques et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performances (ISO2320:1997).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[31] EN ISO 7040, Écrous hexagonaux autofreinés (à anneau non métallique), style 1 — Classes de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qualité 5, 8 et10 (ISO 7040:1997)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[32] EN ISO 7042, Écrous hexagonaux autofreinés tout métal, style 2 — Classes de qualité 5, 8, 10 et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12 (ISO7042:1997)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[33] EN ISO 7719, Écrous hexagonaux autofreinés tout métal, style 1 — Classes de qualité 5, 8 et 10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(ISO7719:1997).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[34] EN ISO 10511, Écrous hexagonaux bas autofreinés (à anneau non métallique)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(ISO 10511:1997).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[35] EN ISO 10512, Écrous hexagonaux autofreinés (à anneau non métallique), style 1, à filetage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métrique à pas fin — Classes de qualité 6, 8 et 10 (ISO 10512:1997)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[36] EN ISO 10513, Écrous hexagonaux autofreinés tout métal, style 2, à filetage métrique à pas fin —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Classes de qualité 8, 10 et 12 (ISO 10513:1997).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[37] EN ISO 9000, Systèmes de management de la qualité — Concepts et vocabulaire (ISO 9000 :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2005).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[38] EN ISO 21670, Écrous hexagonaux à souder, à embase (ISO 21670:2003).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[39] EN ISO 17652-2, Soudage — Essai sur peintures primaires en relation avec le soudage et les</w:t>
      </w:r>
    </w:p>
    <w:p w:rsidR="00564F6D" w:rsidRDefault="00564F6D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techniques connexes — Partie 2 : Propriétés relatives au soudage des peintures primaires</w:t>
      </w:r>
    </w:p>
    <w:p w:rsidR="00564F6D" w:rsidRDefault="00564F6D" w:rsidP="00040DA6">
      <w:pPr>
        <w:bidi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(ISO 17652-2:2003)</w:t>
      </w:r>
    </w:p>
    <w:p w:rsid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[40] ISO 1803, Construction immobilière — Tolérances — Expression de l'exactitude dimensionnelle</w:t>
      </w:r>
    </w:p>
    <w:p w:rsid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— Principes et terminologie.</w:t>
      </w:r>
    </w:p>
    <w:p w:rsid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[41] ISO 3443-1, Tolérances pour le bâtiment — Partie 1 : Principes fondamentaux de l'évaluation et</w:t>
      </w:r>
    </w:p>
    <w:p w:rsid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 la spécification.</w:t>
      </w:r>
    </w:p>
    <w:p w:rsid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[42] ISO 3443-2, Tolérances pour le bâtiment — Partie 2 : Méthode de prévision de la compatibilité</w:t>
      </w:r>
    </w:p>
    <w:p w:rsidR="003E52D3" w:rsidRDefault="00040DA6" w:rsidP="00040DA6">
      <w:pPr>
        <w:bidi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des éléments.</w:t>
      </w:r>
    </w:p>
    <w:p w:rsid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[43] ISO 3443-3, Tolérances pour le bâtiment — Partie 3 : Procédés pour choisir la dimension</w:t>
      </w:r>
    </w:p>
    <w:p w:rsid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recherchée et prévoir l'ajustement.</w:t>
      </w:r>
    </w:p>
    <w:p w:rsid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[44] ISO 10005, Systèmes de management de la qualité — Lignes directrices pour les plans qualité.</w:t>
      </w:r>
    </w:p>
    <w:p w:rsid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[45] ISO/TR 15608, Soudage — Lignes directrices pour un système de groupement des matériaux</w:t>
      </w:r>
    </w:p>
    <w:p w:rsid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métalliques.</w:t>
      </w:r>
    </w:p>
    <w:p w:rsid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[46] ISO/TR 17663, Soudage — Lignes directrices concernant les exigences de qualité relatives au</w:t>
      </w:r>
    </w:p>
    <w:p w:rsid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traitement thermique en soudage et techniques connexes.</w:t>
      </w:r>
    </w:p>
    <w:p w:rsid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[47] ISO/TR 20172, Soudage — Systèmes de groupement des matériaux — Matériaux européens.</w:t>
      </w:r>
    </w:p>
    <w:p w:rsidR="00040DA6" w:rsidRP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</w:rPr>
      </w:pPr>
      <w:r w:rsidRPr="00040DA6">
        <w:rPr>
          <w:rFonts w:ascii="Times New Roman" w:hAnsi="Times New Roman" w:cs="Times New Roman"/>
        </w:rPr>
        <w:t>[48] ASTM A325-06, Standard Specification for Structural Bolts, Steel, Heat Treated, 120/105 ksi</w:t>
      </w:r>
    </w:p>
    <w:p w:rsidR="00040DA6" w:rsidRP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</w:rPr>
      </w:pPr>
      <w:r w:rsidRPr="00040DA6">
        <w:rPr>
          <w:rFonts w:ascii="Times New Roman" w:hAnsi="Times New Roman" w:cs="Times New Roman"/>
        </w:rPr>
        <w:t>Minimum Tensile Strength.</w:t>
      </w:r>
    </w:p>
    <w:p w:rsidR="00040DA6" w:rsidRP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</w:rPr>
      </w:pPr>
      <w:r w:rsidRPr="00040DA6">
        <w:rPr>
          <w:rFonts w:ascii="Times New Roman" w:hAnsi="Times New Roman" w:cs="Times New Roman"/>
        </w:rPr>
        <w:t>[49] FORCE Technology Report No. 94.34 Reference colour charts for purity of purging gas in</w:t>
      </w:r>
    </w:p>
    <w:p w:rsidR="00040DA6" w:rsidRP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</w:rPr>
      </w:pPr>
      <w:r w:rsidRPr="00040DA6">
        <w:rPr>
          <w:rFonts w:ascii="Times New Roman" w:hAnsi="Times New Roman" w:cs="Times New Roman"/>
        </w:rPr>
        <w:t>stainless steel tubes.J. Vagn Hansen. revised May 2006.</w:t>
      </w:r>
    </w:p>
    <w:p w:rsidR="00040DA6" w:rsidRP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</w:rPr>
      </w:pPr>
      <w:r w:rsidRPr="00040DA6">
        <w:rPr>
          <w:rFonts w:ascii="Times New Roman" w:hAnsi="Times New Roman" w:cs="Times New Roman"/>
        </w:rPr>
        <w:t>[50] ECCS No 79 European recommendations for bolted connections with injection bolts; August</w:t>
      </w:r>
    </w:p>
    <w:p w:rsidR="00040DA6" w:rsidRP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</w:rPr>
      </w:pPr>
      <w:r w:rsidRPr="00040DA6">
        <w:rPr>
          <w:rFonts w:ascii="Times New Roman" w:hAnsi="Times New Roman" w:cs="Times New Roman"/>
        </w:rPr>
        <w:t>1994.</w:t>
      </w:r>
    </w:p>
    <w:p w:rsidR="00040DA6" w:rsidRP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</w:rPr>
      </w:pPr>
      <w:r w:rsidRPr="00040DA6">
        <w:rPr>
          <w:rFonts w:ascii="Times New Roman" w:hAnsi="Times New Roman" w:cs="Times New Roman"/>
        </w:rPr>
        <w:t>[51] BCSA and Galvanizers Association Publication No. 40/05 — Galvanizing structural steelwork —</w:t>
      </w:r>
    </w:p>
    <w:p w:rsidR="00040DA6" w:rsidRPr="00040DA6" w:rsidRDefault="00040DA6" w:rsidP="00040DA6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</w:rPr>
      </w:pPr>
      <w:r w:rsidRPr="00040DA6">
        <w:rPr>
          <w:rFonts w:ascii="Times New Roman" w:hAnsi="Times New Roman" w:cs="Times New Roman"/>
        </w:rPr>
        <w:t>An approach to the management of liquid metal assisted cracking; 2005.</w:t>
      </w:r>
    </w:p>
    <w:p w:rsidR="00040DA6" w:rsidRPr="00040DA6" w:rsidRDefault="00040DA6" w:rsidP="00040DA6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  <w:r w:rsidRPr="00040DA6">
        <w:rPr>
          <w:rFonts w:ascii="Times New Roman" w:hAnsi="Times New Roman" w:cs="Times New Roman"/>
        </w:rPr>
        <w:t>[52] DASt-Ri 022, Guidance for hot dip zinc coating (en preparation en 2009)</w:t>
      </w:r>
    </w:p>
    <w:p w:rsidR="00B75C91" w:rsidRPr="00040DA6" w:rsidRDefault="00B75C91"/>
    <w:p w:rsidR="003E52D3" w:rsidRPr="00040DA6" w:rsidRDefault="003E52D3"/>
    <w:sectPr w:rsidR="003E52D3" w:rsidRPr="00040DA6" w:rsidSect="00B75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32B"/>
    <w:multiLevelType w:val="hybridMultilevel"/>
    <w:tmpl w:val="09D81F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F1B97"/>
    <w:multiLevelType w:val="hybridMultilevel"/>
    <w:tmpl w:val="21CC0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77298"/>
    <w:multiLevelType w:val="multilevel"/>
    <w:tmpl w:val="0FC4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7520AA"/>
    <w:multiLevelType w:val="hybridMultilevel"/>
    <w:tmpl w:val="BE5440CA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E45A92"/>
    <w:multiLevelType w:val="hybridMultilevel"/>
    <w:tmpl w:val="BC6E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368F2"/>
    <w:multiLevelType w:val="hybridMultilevel"/>
    <w:tmpl w:val="CCE2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9524B"/>
    <w:multiLevelType w:val="hybridMultilevel"/>
    <w:tmpl w:val="217A9B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A916B0"/>
    <w:multiLevelType w:val="hybridMultilevel"/>
    <w:tmpl w:val="3DE26E4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0ADB3070"/>
    <w:multiLevelType w:val="hybridMultilevel"/>
    <w:tmpl w:val="04A4638E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E882011"/>
    <w:multiLevelType w:val="hybridMultilevel"/>
    <w:tmpl w:val="9F621A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B43054"/>
    <w:multiLevelType w:val="hybridMultilevel"/>
    <w:tmpl w:val="635ADE94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FDE64E7"/>
    <w:multiLevelType w:val="hybridMultilevel"/>
    <w:tmpl w:val="2E34D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357C82"/>
    <w:multiLevelType w:val="hybridMultilevel"/>
    <w:tmpl w:val="D772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A67481"/>
    <w:multiLevelType w:val="hybridMultilevel"/>
    <w:tmpl w:val="AE545546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2A02A69"/>
    <w:multiLevelType w:val="hybridMultilevel"/>
    <w:tmpl w:val="A920D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D86751"/>
    <w:multiLevelType w:val="hybridMultilevel"/>
    <w:tmpl w:val="4D5AC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E302B5"/>
    <w:multiLevelType w:val="hybridMultilevel"/>
    <w:tmpl w:val="27843718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FA1E4B"/>
    <w:multiLevelType w:val="hybridMultilevel"/>
    <w:tmpl w:val="A20C1134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DA85D09"/>
    <w:multiLevelType w:val="hybridMultilevel"/>
    <w:tmpl w:val="DAAC7DBE"/>
    <w:lvl w:ilvl="0" w:tplc="2CE011F4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FE3E1C"/>
    <w:multiLevelType w:val="hybridMultilevel"/>
    <w:tmpl w:val="2BAE2A06"/>
    <w:lvl w:ilvl="0" w:tplc="2CE011F4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414BE"/>
    <w:multiLevelType w:val="multilevel"/>
    <w:tmpl w:val="C152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914C33"/>
    <w:multiLevelType w:val="hybridMultilevel"/>
    <w:tmpl w:val="1D30368E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D6529C6"/>
    <w:multiLevelType w:val="hybridMultilevel"/>
    <w:tmpl w:val="16DC3436"/>
    <w:lvl w:ilvl="0" w:tplc="D24A0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272E4"/>
    <w:multiLevelType w:val="hybridMultilevel"/>
    <w:tmpl w:val="73C61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3718CD"/>
    <w:multiLevelType w:val="hybridMultilevel"/>
    <w:tmpl w:val="6518B98E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A72FC3"/>
    <w:multiLevelType w:val="hybridMultilevel"/>
    <w:tmpl w:val="1A94085A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C44EF2"/>
    <w:multiLevelType w:val="hybridMultilevel"/>
    <w:tmpl w:val="420670C8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FFA1E30"/>
    <w:multiLevelType w:val="hybridMultilevel"/>
    <w:tmpl w:val="C03A0D68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1A806B5"/>
    <w:multiLevelType w:val="hybridMultilevel"/>
    <w:tmpl w:val="80385856"/>
    <w:lvl w:ilvl="0" w:tplc="2CE011F4">
      <w:start w:val="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1F6F11"/>
    <w:multiLevelType w:val="hybridMultilevel"/>
    <w:tmpl w:val="493276A6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5F1D1D"/>
    <w:multiLevelType w:val="hybridMultilevel"/>
    <w:tmpl w:val="7C9E3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291C08"/>
    <w:multiLevelType w:val="hybridMultilevel"/>
    <w:tmpl w:val="1442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6F488A"/>
    <w:multiLevelType w:val="hybridMultilevel"/>
    <w:tmpl w:val="53348076"/>
    <w:lvl w:ilvl="0" w:tplc="2CE011F4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114640"/>
    <w:multiLevelType w:val="hybridMultilevel"/>
    <w:tmpl w:val="139828A0"/>
    <w:lvl w:ilvl="0" w:tplc="2CE011F4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CD2375"/>
    <w:multiLevelType w:val="hybridMultilevel"/>
    <w:tmpl w:val="056C813A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5D352B1"/>
    <w:multiLevelType w:val="hybridMultilevel"/>
    <w:tmpl w:val="0EE25CB2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9731FA"/>
    <w:multiLevelType w:val="multilevel"/>
    <w:tmpl w:val="0BF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0D67A1"/>
    <w:multiLevelType w:val="hybridMultilevel"/>
    <w:tmpl w:val="F7D40260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88F419D"/>
    <w:multiLevelType w:val="hybridMultilevel"/>
    <w:tmpl w:val="E3EC6B86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9640778"/>
    <w:multiLevelType w:val="hybridMultilevel"/>
    <w:tmpl w:val="8B327ACE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2203FB2"/>
    <w:multiLevelType w:val="hybridMultilevel"/>
    <w:tmpl w:val="D5F6C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936526"/>
    <w:multiLevelType w:val="multilevel"/>
    <w:tmpl w:val="664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B103CF"/>
    <w:multiLevelType w:val="multilevel"/>
    <w:tmpl w:val="32BE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DC5A33"/>
    <w:multiLevelType w:val="hybridMultilevel"/>
    <w:tmpl w:val="5BBCD142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7154417"/>
    <w:multiLevelType w:val="hybridMultilevel"/>
    <w:tmpl w:val="F8742532"/>
    <w:lvl w:ilvl="0" w:tplc="2CE011F4">
      <w:start w:val="5"/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37C00"/>
    <w:multiLevelType w:val="hybridMultilevel"/>
    <w:tmpl w:val="B9F2108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>
    <w:nsid w:val="7EAF44CF"/>
    <w:multiLevelType w:val="multilevel"/>
    <w:tmpl w:val="0DB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"/>
  </w:num>
  <w:num w:numId="3">
    <w:abstractNumId w:val="41"/>
  </w:num>
  <w:num w:numId="4">
    <w:abstractNumId w:val="46"/>
  </w:num>
  <w:num w:numId="5">
    <w:abstractNumId w:val="36"/>
  </w:num>
  <w:num w:numId="6">
    <w:abstractNumId w:val="20"/>
  </w:num>
  <w:num w:numId="7">
    <w:abstractNumId w:val="19"/>
  </w:num>
  <w:num w:numId="8">
    <w:abstractNumId w:val="16"/>
  </w:num>
  <w:num w:numId="9">
    <w:abstractNumId w:val="7"/>
  </w:num>
  <w:num w:numId="10">
    <w:abstractNumId w:val="45"/>
  </w:num>
  <w:num w:numId="11">
    <w:abstractNumId w:val="12"/>
  </w:num>
  <w:num w:numId="12">
    <w:abstractNumId w:val="4"/>
  </w:num>
  <w:num w:numId="13">
    <w:abstractNumId w:val="5"/>
  </w:num>
  <w:num w:numId="14">
    <w:abstractNumId w:val="31"/>
  </w:num>
  <w:num w:numId="15">
    <w:abstractNumId w:val="28"/>
  </w:num>
  <w:num w:numId="16">
    <w:abstractNumId w:val="8"/>
  </w:num>
  <w:num w:numId="17">
    <w:abstractNumId w:val="13"/>
  </w:num>
  <w:num w:numId="18">
    <w:abstractNumId w:val="21"/>
  </w:num>
  <w:num w:numId="19">
    <w:abstractNumId w:val="32"/>
  </w:num>
  <w:num w:numId="20">
    <w:abstractNumId w:val="33"/>
  </w:num>
  <w:num w:numId="21">
    <w:abstractNumId w:val="17"/>
  </w:num>
  <w:num w:numId="22">
    <w:abstractNumId w:val="37"/>
  </w:num>
  <w:num w:numId="23">
    <w:abstractNumId w:val="25"/>
  </w:num>
  <w:num w:numId="24">
    <w:abstractNumId w:val="35"/>
  </w:num>
  <w:num w:numId="25">
    <w:abstractNumId w:val="18"/>
  </w:num>
  <w:num w:numId="26">
    <w:abstractNumId w:val="27"/>
  </w:num>
  <w:num w:numId="27">
    <w:abstractNumId w:val="10"/>
  </w:num>
  <w:num w:numId="28">
    <w:abstractNumId w:val="3"/>
  </w:num>
  <w:num w:numId="29">
    <w:abstractNumId w:val="24"/>
  </w:num>
  <w:num w:numId="30">
    <w:abstractNumId w:val="43"/>
  </w:num>
  <w:num w:numId="31">
    <w:abstractNumId w:val="44"/>
  </w:num>
  <w:num w:numId="32">
    <w:abstractNumId w:val="38"/>
  </w:num>
  <w:num w:numId="33">
    <w:abstractNumId w:val="34"/>
  </w:num>
  <w:num w:numId="34">
    <w:abstractNumId w:val="39"/>
  </w:num>
  <w:num w:numId="35">
    <w:abstractNumId w:val="26"/>
  </w:num>
  <w:num w:numId="36">
    <w:abstractNumId w:val="11"/>
  </w:num>
  <w:num w:numId="37">
    <w:abstractNumId w:val="29"/>
  </w:num>
  <w:num w:numId="38">
    <w:abstractNumId w:val="30"/>
  </w:num>
  <w:num w:numId="39">
    <w:abstractNumId w:val="0"/>
  </w:num>
  <w:num w:numId="40">
    <w:abstractNumId w:val="6"/>
  </w:num>
  <w:num w:numId="41">
    <w:abstractNumId w:val="1"/>
  </w:num>
  <w:num w:numId="42">
    <w:abstractNumId w:val="9"/>
  </w:num>
  <w:num w:numId="43">
    <w:abstractNumId w:val="23"/>
  </w:num>
  <w:num w:numId="44">
    <w:abstractNumId w:val="22"/>
  </w:num>
  <w:num w:numId="45">
    <w:abstractNumId w:val="14"/>
  </w:num>
  <w:num w:numId="46">
    <w:abstractNumId w:val="15"/>
  </w:num>
  <w:num w:numId="47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1126E"/>
    <w:rsid w:val="000024CE"/>
    <w:rsid w:val="00007ACA"/>
    <w:rsid w:val="00016E0B"/>
    <w:rsid w:val="00021B40"/>
    <w:rsid w:val="00025EAC"/>
    <w:rsid w:val="00027622"/>
    <w:rsid w:val="00030FA7"/>
    <w:rsid w:val="0003467B"/>
    <w:rsid w:val="000354FA"/>
    <w:rsid w:val="000370A1"/>
    <w:rsid w:val="00040DA6"/>
    <w:rsid w:val="000423B7"/>
    <w:rsid w:val="00042698"/>
    <w:rsid w:val="000431CB"/>
    <w:rsid w:val="00044F4C"/>
    <w:rsid w:val="000648C5"/>
    <w:rsid w:val="000728CE"/>
    <w:rsid w:val="00081DA0"/>
    <w:rsid w:val="00083E0D"/>
    <w:rsid w:val="00095D07"/>
    <w:rsid w:val="000963AA"/>
    <w:rsid w:val="000964E8"/>
    <w:rsid w:val="000A04A6"/>
    <w:rsid w:val="000A5E54"/>
    <w:rsid w:val="000B526D"/>
    <w:rsid w:val="000B64F9"/>
    <w:rsid w:val="000B7B92"/>
    <w:rsid w:val="000C7C18"/>
    <w:rsid w:val="000D471D"/>
    <w:rsid w:val="000D5BFD"/>
    <w:rsid w:val="000D7F57"/>
    <w:rsid w:val="000E1B57"/>
    <w:rsid w:val="000F0964"/>
    <w:rsid w:val="000F7BF9"/>
    <w:rsid w:val="0010267F"/>
    <w:rsid w:val="00106651"/>
    <w:rsid w:val="00110FEE"/>
    <w:rsid w:val="0011126E"/>
    <w:rsid w:val="00115BA4"/>
    <w:rsid w:val="00115C39"/>
    <w:rsid w:val="0012001D"/>
    <w:rsid w:val="00123224"/>
    <w:rsid w:val="00127CDF"/>
    <w:rsid w:val="00146CE3"/>
    <w:rsid w:val="00153778"/>
    <w:rsid w:val="00155E1D"/>
    <w:rsid w:val="00161EC1"/>
    <w:rsid w:val="00166223"/>
    <w:rsid w:val="00174472"/>
    <w:rsid w:val="001810A8"/>
    <w:rsid w:val="001810D5"/>
    <w:rsid w:val="00182805"/>
    <w:rsid w:val="0018558C"/>
    <w:rsid w:val="00185D3D"/>
    <w:rsid w:val="00186E2F"/>
    <w:rsid w:val="001907E9"/>
    <w:rsid w:val="00192C78"/>
    <w:rsid w:val="001A64D7"/>
    <w:rsid w:val="001B019B"/>
    <w:rsid w:val="001B41C7"/>
    <w:rsid w:val="001B50BA"/>
    <w:rsid w:val="001B519D"/>
    <w:rsid w:val="001B59EF"/>
    <w:rsid w:val="001C09E8"/>
    <w:rsid w:val="001C0AD4"/>
    <w:rsid w:val="001C0C6D"/>
    <w:rsid w:val="001C1972"/>
    <w:rsid w:val="001C524F"/>
    <w:rsid w:val="001D4432"/>
    <w:rsid w:val="001E0D06"/>
    <w:rsid w:val="001E2537"/>
    <w:rsid w:val="001E2C33"/>
    <w:rsid w:val="001E72D3"/>
    <w:rsid w:val="001F0760"/>
    <w:rsid w:val="001F2038"/>
    <w:rsid w:val="001F43ED"/>
    <w:rsid w:val="001F59DC"/>
    <w:rsid w:val="001F640F"/>
    <w:rsid w:val="002030ED"/>
    <w:rsid w:val="00206126"/>
    <w:rsid w:val="00214247"/>
    <w:rsid w:val="00216468"/>
    <w:rsid w:val="002172A2"/>
    <w:rsid w:val="0022182E"/>
    <w:rsid w:val="002333AB"/>
    <w:rsid w:val="00233AB1"/>
    <w:rsid w:val="00237211"/>
    <w:rsid w:val="00237FCF"/>
    <w:rsid w:val="00240F91"/>
    <w:rsid w:val="00241E08"/>
    <w:rsid w:val="00243F44"/>
    <w:rsid w:val="002463A6"/>
    <w:rsid w:val="00251A1A"/>
    <w:rsid w:val="00255830"/>
    <w:rsid w:val="00257113"/>
    <w:rsid w:val="00257F5D"/>
    <w:rsid w:val="00266947"/>
    <w:rsid w:val="00270AC9"/>
    <w:rsid w:val="00281306"/>
    <w:rsid w:val="002814CA"/>
    <w:rsid w:val="00281F22"/>
    <w:rsid w:val="00283D3A"/>
    <w:rsid w:val="00287138"/>
    <w:rsid w:val="002903B3"/>
    <w:rsid w:val="0029063E"/>
    <w:rsid w:val="00293F71"/>
    <w:rsid w:val="00295ED7"/>
    <w:rsid w:val="002969EC"/>
    <w:rsid w:val="00297557"/>
    <w:rsid w:val="002A67D7"/>
    <w:rsid w:val="002A6D6F"/>
    <w:rsid w:val="002B3572"/>
    <w:rsid w:val="002C45F0"/>
    <w:rsid w:val="002C53E8"/>
    <w:rsid w:val="002C5DB7"/>
    <w:rsid w:val="002D0C0D"/>
    <w:rsid w:val="002E1BD3"/>
    <w:rsid w:val="002E334B"/>
    <w:rsid w:val="002E7FE0"/>
    <w:rsid w:val="00304391"/>
    <w:rsid w:val="00304DB1"/>
    <w:rsid w:val="00311935"/>
    <w:rsid w:val="00312573"/>
    <w:rsid w:val="00323DA9"/>
    <w:rsid w:val="00334FEA"/>
    <w:rsid w:val="00335B2F"/>
    <w:rsid w:val="00337791"/>
    <w:rsid w:val="00341AC7"/>
    <w:rsid w:val="00345260"/>
    <w:rsid w:val="003475BE"/>
    <w:rsid w:val="003542E8"/>
    <w:rsid w:val="0036227B"/>
    <w:rsid w:val="003671AB"/>
    <w:rsid w:val="00367873"/>
    <w:rsid w:val="00372279"/>
    <w:rsid w:val="00373CC9"/>
    <w:rsid w:val="00374A69"/>
    <w:rsid w:val="003823EC"/>
    <w:rsid w:val="00384BEB"/>
    <w:rsid w:val="00390D12"/>
    <w:rsid w:val="003911A1"/>
    <w:rsid w:val="00391F73"/>
    <w:rsid w:val="0039309D"/>
    <w:rsid w:val="003942E7"/>
    <w:rsid w:val="00395FB4"/>
    <w:rsid w:val="0039667B"/>
    <w:rsid w:val="003A3F02"/>
    <w:rsid w:val="003A614C"/>
    <w:rsid w:val="003A6474"/>
    <w:rsid w:val="003A73CF"/>
    <w:rsid w:val="003B1E1A"/>
    <w:rsid w:val="003B3C52"/>
    <w:rsid w:val="003B56C9"/>
    <w:rsid w:val="003B6861"/>
    <w:rsid w:val="003C590B"/>
    <w:rsid w:val="003D0B56"/>
    <w:rsid w:val="003D0EE0"/>
    <w:rsid w:val="003D2E23"/>
    <w:rsid w:val="003D59F8"/>
    <w:rsid w:val="003D60CB"/>
    <w:rsid w:val="003D6E42"/>
    <w:rsid w:val="003E29D1"/>
    <w:rsid w:val="003E52D3"/>
    <w:rsid w:val="003E74FD"/>
    <w:rsid w:val="003F23AE"/>
    <w:rsid w:val="003F3A30"/>
    <w:rsid w:val="00401DDB"/>
    <w:rsid w:val="00410651"/>
    <w:rsid w:val="004162D9"/>
    <w:rsid w:val="004230EE"/>
    <w:rsid w:val="004334F9"/>
    <w:rsid w:val="0043569B"/>
    <w:rsid w:val="0044199B"/>
    <w:rsid w:val="00443591"/>
    <w:rsid w:val="00443F23"/>
    <w:rsid w:val="00444392"/>
    <w:rsid w:val="0044518C"/>
    <w:rsid w:val="00452075"/>
    <w:rsid w:val="004520CC"/>
    <w:rsid w:val="004729EF"/>
    <w:rsid w:val="0048341D"/>
    <w:rsid w:val="004947DD"/>
    <w:rsid w:val="004A03B0"/>
    <w:rsid w:val="004A2D4A"/>
    <w:rsid w:val="004C4503"/>
    <w:rsid w:val="004C6516"/>
    <w:rsid w:val="004C6757"/>
    <w:rsid w:val="004E296A"/>
    <w:rsid w:val="004E7CE6"/>
    <w:rsid w:val="004F19FA"/>
    <w:rsid w:val="004F4179"/>
    <w:rsid w:val="00505B0D"/>
    <w:rsid w:val="005126A4"/>
    <w:rsid w:val="00515B73"/>
    <w:rsid w:val="005219DE"/>
    <w:rsid w:val="0052404D"/>
    <w:rsid w:val="00531AD4"/>
    <w:rsid w:val="00533175"/>
    <w:rsid w:val="005353D5"/>
    <w:rsid w:val="00535878"/>
    <w:rsid w:val="00545898"/>
    <w:rsid w:val="0055484A"/>
    <w:rsid w:val="00564F6D"/>
    <w:rsid w:val="00565512"/>
    <w:rsid w:val="00566AA7"/>
    <w:rsid w:val="005868D6"/>
    <w:rsid w:val="00587645"/>
    <w:rsid w:val="005901EB"/>
    <w:rsid w:val="005A05CD"/>
    <w:rsid w:val="005B0213"/>
    <w:rsid w:val="005B4430"/>
    <w:rsid w:val="005B77A8"/>
    <w:rsid w:val="005C1C9D"/>
    <w:rsid w:val="005C4156"/>
    <w:rsid w:val="005C58E7"/>
    <w:rsid w:val="005C6F4B"/>
    <w:rsid w:val="005E5765"/>
    <w:rsid w:val="005F3957"/>
    <w:rsid w:val="005F7B07"/>
    <w:rsid w:val="0060176C"/>
    <w:rsid w:val="0060531D"/>
    <w:rsid w:val="006137FA"/>
    <w:rsid w:val="006148AD"/>
    <w:rsid w:val="00631AE4"/>
    <w:rsid w:val="0063593C"/>
    <w:rsid w:val="006417C1"/>
    <w:rsid w:val="006453D3"/>
    <w:rsid w:val="00647983"/>
    <w:rsid w:val="00651140"/>
    <w:rsid w:val="00651CAE"/>
    <w:rsid w:val="00660EF8"/>
    <w:rsid w:val="00665DF2"/>
    <w:rsid w:val="0066653D"/>
    <w:rsid w:val="006706C5"/>
    <w:rsid w:val="00681A9F"/>
    <w:rsid w:val="00683C8A"/>
    <w:rsid w:val="0069107E"/>
    <w:rsid w:val="00691240"/>
    <w:rsid w:val="0069330B"/>
    <w:rsid w:val="00693330"/>
    <w:rsid w:val="006A03A0"/>
    <w:rsid w:val="006A0506"/>
    <w:rsid w:val="006A0A42"/>
    <w:rsid w:val="006A1390"/>
    <w:rsid w:val="006A1CAD"/>
    <w:rsid w:val="006A2D0E"/>
    <w:rsid w:val="006A645B"/>
    <w:rsid w:val="006B0960"/>
    <w:rsid w:val="006B717E"/>
    <w:rsid w:val="006C1DA6"/>
    <w:rsid w:val="006C5875"/>
    <w:rsid w:val="006C69B2"/>
    <w:rsid w:val="006C71CA"/>
    <w:rsid w:val="006D1900"/>
    <w:rsid w:val="006D5091"/>
    <w:rsid w:val="006D74DC"/>
    <w:rsid w:val="006E6279"/>
    <w:rsid w:val="006E62AE"/>
    <w:rsid w:val="006E6820"/>
    <w:rsid w:val="006F0B15"/>
    <w:rsid w:val="006F21EB"/>
    <w:rsid w:val="006F6CBA"/>
    <w:rsid w:val="0070216B"/>
    <w:rsid w:val="00702841"/>
    <w:rsid w:val="00705BC5"/>
    <w:rsid w:val="007065BA"/>
    <w:rsid w:val="00710062"/>
    <w:rsid w:val="00716AD7"/>
    <w:rsid w:val="00716B61"/>
    <w:rsid w:val="00725C24"/>
    <w:rsid w:val="00731353"/>
    <w:rsid w:val="0073197B"/>
    <w:rsid w:val="00731993"/>
    <w:rsid w:val="0073247B"/>
    <w:rsid w:val="0073736E"/>
    <w:rsid w:val="00737DB1"/>
    <w:rsid w:val="00740FA0"/>
    <w:rsid w:val="007419A8"/>
    <w:rsid w:val="007475D0"/>
    <w:rsid w:val="00751F30"/>
    <w:rsid w:val="007528BF"/>
    <w:rsid w:val="00756916"/>
    <w:rsid w:val="0076338D"/>
    <w:rsid w:val="00767BBD"/>
    <w:rsid w:val="00781859"/>
    <w:rsid w:val="00781C97"/>
    <w:rsid w:val="00790669"/>
    <w:rsid w:val="0079146F"/>
    <w:rsid w:val="007939D9"/>
    <w:rsid w:val="00794998"/>
    <w:rsid w:val="0079509B"/>
    <w:rsid w:val="007A6130"/>
    <w:rsid w:val="007B1E66"/>
    <w:rsid w:val="007B3C63"/>
    <w:rsid w:val="007B72F4"/>
    <w:rsid w:val="007B7FFB"/>
    <w:rsid w:val="007C5F04"/>
    <w:rsid w:val="007C60F8"/>
    <w:rsid w:val="007C7D1F"/>
    <w:rsid w:val="007D209F"/>
    <w:rsid w:val="007E2D64"/>
    <w:rsid w:val="007F4B45"/>
    <w:rsid w:val="007F7864"/>
    <w:rsid w:val="00802EF1"/>
    <w:rsid w:val="00810CE7"/>
    <w:rsid w:val="008171C6"/>
    <w:rsid w:val="0083193D"/>
    <w:rsid w:val="00832C0A"/>
    <w:rsid w:val="00845C6A"/>
    <w:rsid w:val="00853B0A"/>
    <w:rsid w:val="00854489"/>
    <w:rsid w:val="0085557F"/>
    <w:rsid w:val="00856BF0"/>
    <w:rsid w:val="00860B8F"/>
    <w:rsid w:val="0086412B"/>
    <w:rsid w:val="0086584A"/>
    <w:rsid w:val="00871963"/>
    <w:rsid w:val="0087270C"/>
    <w:rsid w:val="00875062"/>
    <w:rsid w:val="00875301"/>
    <w:rsid w:val="00880725"/>
    <w:rsid w:val="00881A75"/>
    <w:rsid w:val="00882C65"/>
    <w:rsid w:val="00890D6B"/>
    <w:rsid w:val="008915B2"/>
    <w:rsid w:val="00891F8A"/>
    <w:rsid w:val="0089335B"/>
    <w:rsid w:val="0089512E"/>
    <w:rsid w:val="008A05F4"/>
    <w:rsid w:val="008A3789"/>
    <w:rsid w:val="008A4907"/>
    <w:rsid w:val="008B5C33"/>
    <w:rsid w:val="008B5C62"/>
    <w:rsid w:val="008B7E36"/>
    <w:rsid w:val="008C2A4F"/>
    <w:rsid w:val="008C448D"/>
    <w:rsid w:val="008C7114"/>
    <w:rsid w:val="008D30B6"/>
    <w:rsid w:val="008D53C7"/>
    <w:rsid w:val="008E0CFB"/>
    <w:rsid w:val="008E2A22"/>
    <w:rsid w:val="008E7DA6"/>
    <w:rsid w:val="008F54C6"/>
    <w:rsid w:val="008F6C2A"/>
    <w:rsid w:val="00903683"/>
    <w:rsid w:val="0090387C"/>
    <w:rsid w:val="009076ED"/>
    <w:rsid w:val="00911EDC"/>
    <w:rsid w:val="00912B94"/>
    <w:rsid w:val="00916F58"/>
    <w:rsid w:val="009240DB"/>
    <w:rsid w:val="00924B14"/>
    <w:rsid w:val="009300F7"/>
    <w:rsid w:val="00930678"/>
    <w:rsid w:val="00932B3B"/>
    <w:rsid w:val="00941D6B"/>
    <w:rsid w:val="00955968"/>
    <w:rsid w:val="0096305D"/>
    <w:rsid w:val="00977190"/>
    <w:rsid w:val="0098251C"/>
    <w:rsid w:val="00990CBD"/>
    <w:rsid w:val="00990E12"/>
    <w:rsid w:val="00992A44"/>
    <w:rsid w:val="009A325C"/>
    <w:rsid w:val="009A4B18"/>
    <w:rsid w:val="009B4183"/>
    <w:rsid w:val="009B4D05"/>
    <w:rsid w:val="009B7AC4"/>
    <w:rsid w:val="009C1A48"/>
    <w:rsid w:val="009C1C43"/>
    <w:rsid w:val="009C7751"/>
    <w:rsid w:val="009E21BF"/>
    <w:rsid w:val="009E4A3D"/>
    <w:rsid w:val="009E55BA"/>
    <w:rsid w:val="009E6E09"/>
    <w:rsid w:val="009E745C"/>
    <w:rsid w:val="009F2D55"/>
    <w:rsid w:val="009F5D38"/>
    <w:rsid w:val="009F6DB3"/>
    <w:rsid w:val="00A03102"/>
    <w:rsid w:val="00A170E2"/>
    <w:rsid w:val="00A17EC2"/>
    <w:rsid w:val="00A22B1D"/>
    <w:rsid w:val="00A24124"/>
    <w:rsid w:val="00A30DB0"/>
    <w:rsid w:val="00A3480E"/>
    <w:rsid w:val="00A36D68"/>
    <w:rsid w:val="00A415E7"/>
    <w:rsid w:val="00A43728"/>
    <w:rsid w:val="00A4388B"/>
    <w:rsid w:val="00A60755"/>
    <w:rsid w:val="00A701FC"/>
    <w:rsid w:val="00A71B7B"/>
    <w:rsid w:val="00A735C6"/>
    <w:rsid w:val="00A74EB2"/>
    <w:rsid w:val="00A765A6"/>
    <w:rsid w:val="00A836FB"/>
    <w:rsid w:val="00A83F37"/>
    <w:rsid w:val="00A921AC"/>
    <w:rsid w:val="00A967B1"/>
    <w:rsid w:val="00AA301A"/>
    <w:rsid w:val="00AA419A"/>
    <w:rsid w:val="00AA62AC"/>
    <w:rsid w:val="00AB67CA"/>
    <w:rsid w:val="00AC232E"/>
    <w:rsid w:val="00AD0917"/>
    <w:rsid w:val="00AD0E02"/>
    <w:rsid w:val="00AD70ED"/>
    <w:rsid w:val="00AE0E19"/>
    <w:rsid w:val="00AE4257"/>
    <w:rsid w:val="00AE4750"/>
    <w:rsid w:val="00AF33C0"/>
    <w:rsid w:val="00B01288"/>
    <w:rsid w:val="00B10D22"/>
    <w:rsid w:val="00B11E79"/>
    <w:rsid w:val="00B12A7A"/>
    <w:rsid w:val="00B16DFE"/>
    <w:rsid w:val="00B20AA0"/>
    <w:rsid w:val="00B276BC"/>
    <w:rsid w:val="00B27F67"/>
    <w:rsid w:val="00B312ED"/>
    <w:rsid w:val="00B45BED"/>
    <w:rsid w:val="00B54EEC"/>
    <w:rsid w:val="00B557FB"/>
    <w:rsid w:val="00B55911"/>
    <w:rsid w:val="00B605D7"/>
    <w:rsid w:val="00B62B25"/>
    <w:rsid w:val="00B66002"/>
    <w:rsid w:val="00B677B4"/>
    <w:rsid w:val="00B70C20"/>
    <w:rsid w:val="00B73458"/>
    <w:rsid w:val="00B74EF8"/>
    <w:rsid w:val="00B75C91"/>
    <w:rsid w:val="00B9635F"/>
    <w:rsid w:val="00B969A8"/>
    <w:rsid w:val="00BA2656"/>
    <w:rsid w:val="00BA3F98"/>
    <w:rsid w:val="00BB45B2"/>
    <w:rsid w:val="00BB5A66"/>
    <w:rsid w:val="00BC0F18"/>
    <w:rsid w:val="00BC1F2F"/>
    <w:rsid w:val="00BC33E8"/>
    <w:rsid w:val="00BC35B4"/>
    <w:rsid w:val="00BC6607"/>
    <w:rsid w:val="00BD3135"/>
    <w:rsid w:val="00BE0ECE"/>
    <w:rsid w:val="00BE18DB"/>
    <w:rsid w:val="00BF192E"/>
    <w:rsid w:val="00BF29E5"/>
    <w:rsid w:val="00BF70D8"/>
    <w:rsid w:val="00BF755F"/>
    <w:rsid w:val="00C0744B"/>
    <w:rsid w:val="00C115B0"/>
    <w:rsid w:val="00C23E0D"/>
    <w:rsid w:val="00C32235"/>
    <w:rsid w:val="00C4687A"/>
    <w:rsid w:val="00C46DEC"/>
    <w:rsid w:val="00C50AA5"/>
    <w:rsid w:val="00C542C4"/>
    <w:rsid w:val="00C564BB"/>
    <w:rsid w:val="00C710DF"/>
    <w:rsid w:val="00C760FA"/>
    <w:rsid w:val="00C76158"/>
    <w:rsid w:val="00C80270"/>
    <w:rsid w:val="00C8201B"/>
    <w:rsid w:val="00C930F7"/>
    <w:rsid w:val="00C93402"/>
    <w:rsid w:val="00CA6482"/>
    <w:rsid w:val="00CB31C6"/>
    <w:rsid w:val="00CB5055"/>
    <w:rsid w:val="00CC29BE"/>
    <w:rsid w:val="00CC4E2F"/>
    <w:rsid w:val="00CD0326"/>
    <w:rsid w:val="00CD3110"/>
    <w:rsid w:val="00CE6864"/>
    <w:rsid w:val="00CF1A03"/>
    <w:rsid w:val="00CF2373"/>
    <w:rsid w:val="00CF7A7C"/>
    <w:rsid w:val="00D028FA"/>
    <w:rsid w:val="00D05B7F"/>
    <w:rsid w:val="00D153CE"/>
    <w:rsid w:val="00D27E0A"/>
    <w:rsid w:val="00D35DBF"/>
    <w:rsid w:val="00D36BCF"/>
    <w:rsid w:val="00D409E3"/>
    <w:rsid w:val="00D42ADA"/>
    <w:rsid w:val="00D4748D"/>
    <w:rsid w:val="00D51506"/>
    <w:rsid w:val="00D5623D"/>
    <w:rsid w:val="00D764CF"/>
    <w:rsid w:val="00D95C3F"/>
    <w:rsid w:val="00DA677B"/>
    <w:rsid w:val="00DB46BC"/>
    <w:rsid w:val="00DC2AC9"/>
    <w:rsid w:val="00DD56ED"/>
    <w:rsid w:val="00DD73A5"/>
    <w:rsid w:val="00DE567A"/>
    <w:rsid w:val="00DF2B4C"/>
    <w:rsid w:val="00DF4195"/>
    <w:rsid w:val="00E033B6"/>
    <w:rsid w:val="00E0367A"/>
    <w:rsid w:val="00E0671E"/>
    <w:rsid w:val="00E2430F"/>
    <w:rsid w:val="00E259C3"/>
    <w:rsid w:val="00E2708F"/>
    <w:rsid w:val="00E372F9"/>
    <w:rsid w:val="00E4224D"/>
    <w:rsid w:val="00E47B1B"/>
    <w:rsid w:val="00E50EA6"/>
    <w:rsid w:val="00E5172A"/>
    <w:rsid w:val="00E519C2"/>
    <w:rsid w:val="00E534B3"/>
    <w:rsid w:val="00E54116"/>
    <w:rsid w:val="00E627D4"/>
    <w:rsid w:val="00E62CAC"/>
    <w:rsid w:val="00E71F3A"/>
    <w:rsid w:val="00E775E8"/>
    <w:rsid w:val="00E83D28"/>
    <w:rsid w:val="00E87E00"/>
    <w:rsid w:val="00E912B1"/>
    <w:rsid w:val="00E9187D"/>
    <w:rsid w:val="00E918F7"/>
    <w:rsid w:val="00EA2792"/>
    <w:rsid w:val="00EA4DC8"/>
    <w:rsid w:val="00EB07A4"/>
    <w:rsid w:val="00EB2E58"/>
    <w:rsid w:val="00EC4B42"/>
    <w:rsid w:val="00EC69CF"/>
    <w:rsid w:val="00EC788A"/>
    <w:rsid w:val="00EC7E68"/>
    <w:rsid w:val="00ED072B"/>
    <w:rsid w:val="00ED24E6"/>
    <w:rsid w:val="00ED3F0E"/>
    <w:rsid w:val="00EE209B"/>
    <w:rsid w:val="00EE54FD"/>
    <w:rsid w:val="00EF168C"/>
    <w:rsid w:val="00EF3C8B"/>
    <w:rsid w:val="00EF65C0"/>
    <w:rsid w:val="00F01AA0"/>
    <w:rsid w:val="00F022CB"/>
    <w:rsid w:val="00F02398"/>
    <w:rsid w:val="00F059B4"/>
    <w:rsid w:val="00F05C79"/>
    <w:rsid w:val="00F1214A"/>
    <w:rsid w:val="00F13E69"/>
    <w:rsid w:val="00F13F70"/>
    <w:rsid w:val="00F31C13"/>
    <w:rsid w:val="00F35835"/>
    <w:rsid w:val="00F47A8A"/>
    <w:rsid w:val="00F5157B"/>
    <w:rsid w:val="00F51E89"/>
    <w:rsid w:val="00F53319"/>
    <w:rsid w:val="00F5512C"/>
    <w:rsid w:val="00F63B77"/>
    <w:rsid w:val="00F63B9F"/>
    <w:rsid w:val="00F743E4"/>
    <w:rsid w:val="00F760B8"/>
    <w:rsid w:val="00F773EF"/>
    <w:rsid w:val="00F77D0E"/>
    <w:rsid w:val="00F8047A"/>
    <w:rsid w:val="00F8463B"/>
    <w:rsid w:val="00F94CCB"/>
    <w:rsid w:val="00FA21A6"/>
    <w:rsid w:val="00FA7358"/>
    <w:rsid w:val="00FA7EFE"/>
    <w:rsid w:val="00FB4632"/>
    <w:rsid w:val="00FC4A30"/>
    <w:rsid w:val="00FD7AD1"/>
    <w:rsid w:val="00FE1B4E"/>
    <w:rsid w:val="00FE7A8A"/>
    <w:rsid w:val="00FF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6E"/>
    <w:pPr>
      <w:widowControl/>
      <w:autoSpaceDE/>
      <w:autoSpaceDN/>
      <w:bidi/>
      <w:spacing w:after="200" w:line="276" w:lineRule="auto"/>
    </w:pPr>
  </w:style>
  <w:style w:type="paragraph" w:styleId="Titre1">
    <w:name w:val="heading 1"/>
    <w:basedOn w:val="Normal"/>
    <w:link w:val="Titre1Car"/>
    <w:uiPriority w:val="9"/>
    <w:qFormat/>
    <w:rsid w:val="0011126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11126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11126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3193D"/>
    <w:rPr>
      <w:rFonts w:eastAsia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3193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3193D"/>
    <w:pPr>
      <w:ind w:left="833" w:hanging="360"/>
    </w:pPr>
    <w:rPr>
      <w:rFonts w:eastAsia="Times New Roman" w:cs="Times New Roman"/>
    </w:rPr>
  </w:style>
  <w:style w:type="paragraph" w:customStyle="1" w:styleId="TOC1">
    <w:name w:val="TOC 1"/>
    <w:basedOn w:val="Normal"/>
    <w:uiPriority w:val="1"/>
    <w:qFormat/>
    <w:rsid w:val="0083193D"/>
    <w:pPr>
      <w:spacing w:before="426"/>
      <w:ind w:left="113" w:firstLine="720"/>
    </w:pPr>
    <w:rPr>
      <w:rFonts w:eastAsia="Times New Roman" w:cs="Times New Roman"/>
      <w:b/>
      <w:bCs/>
      <w:sz w:val="28"/>
      <w:szCs w:val="28"/>
    </w:rPr>
  </w:style>
  <w:style w:type="paragraph" w:customStyle="1" w:styleId="TOC2">
    <w:name w:val="TOC 2"/>
    <w:basedOn w:val="Normal"/>
    <w:uiPriority w:val="1"/>
    <w:qFormat/>
    <w:rsid w:val="0083193D"/>
    <w:pPr>
      <w:spacing w:before="307"/>
      <w:ind w:left="833"/>
    </w:pPr>
    <w:rPr>
      <w:rFonts w:eastAsia="Times New Roman" w:cs="Times New Roman"/>
      <w:b/>
      <w:bCs/>
      <w:sz w:val="24"/>
      <w:szCs w:val="24"/>
    </w:rPr>
  </w:style>
  <w:style w:type="paragraph" w:customStyle="1" w:styleId="TOC3">
    <w:name w:val="TOC 3"/>
    <w:basedOn w:val="Normal"/>
    <w:uiPriority w:val="1"/>
    <w:qFormat/>
    <w:rsid w:val="0083193D"/>
    <w:pPr>
      <w:spacing w:before="64"/>
      <w:ind w:left="1073"/>
    </w:pPr>
    <w:rPr>
      <w:rFonts w:eastAsia="Times New Roman" w:cs="Times New Roman"/>
    </w:rPr>
  </w:style>
  <w:style w:type="paragraph" w:customStyle="1" w:styleId="Heading1">
    <w:name w:val="Heading 1"/>
    <w:basedOn w:val="Normal"/>
    <w:uiPriority w:val="1"/>
    <w:qFormat/>
    <w:rsid w:val="0083193D"/>
    <w:pPr>
      <w:spacing w:before="134"/>
      <w:ind w:left="4205" w:hanging="619"/>
      <w:outlineLvl w:val="1"/>
    </w:pPr>
    <w:rPr>
      <w:rFonts w:ascii="Georgia" w:eastAsia="Georgia" w:hAnsi="Georgia" w:cs="Georgia"/>
      <w:sz w:val="52"/>
      <w:szCs w:val="52"/>
    </w:rPr>
  </w:style>
  <w:style w:type="paragraph" w:customStyle="1" w:styleId="Heading2">
    <w:name w:val="Heading 2"/>
    <w:basedOn w:val="Normal"/>
    <w:uiPriority w:val="1"/>
    <w:qFormat/>
    <w:rsid w:val="0083193D"/>
    <w:pPr>
      <w:spacing w:before="81"/>
      <w:ind w:left="763" w:right="1008"/>
      <w:jc w:val="center"/>
      <w:outlineLvl w:val="2"/>
    </w:pPr>
    <w:rPr>
      <w:rFonts w:eastAsia="Times New Roman" w:cs="Times New Roman"/>
      <w:b/>
      <w:bCs/>
      <w:sz w:val="44"/>
      <w:szCs w:val="44"/>
      <w:u w:val="single" w:color="000000"/>
    </w:rPr>
  </w:style>
  <w:style w:type="paragraph" w:customStyle="1" w:styleId="Heading3">
    <w:name w:val="Heading 3"/>
    <w:basedOn w:val="Normal"/>
    <w:uiPriority w:val="1"/>
    <w:qFormat/>
    <w:rsid w:val="0083193D"/>
    <w:pPr>
      <w:ind w:left="744"/>
      <w:outlineLvl w:val="3"/>
    </w:pPr>
    <w:rPr>
      <w:rFonts w:eastAsia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3193D"/>
    <w:pPr>
      <w:spacing w:line="247" w:lineRule="exact"/>
      <w:ind w:left="107"/>
    </w:pPr>
    <w:rPr>
      <w:rFonts w:eastAsia="Times New Roman" w:cs="Times New Roman"/>
    </w:rPr>
  </w:style>
  <w:style w:type="paragraph" w:customStyle="1" w:styleId="Heading6">
    <w:name w:val="Heading 6"/>
    <w:basedOn w:val="Normal"/>
    <w:uiPriority w:val="1"/>
    <w:qFormat/>
    <w:rsid w:val="0083193D"/>
    <w:pPr>
      <w:ind w:left="161"/>
      <w:outlineLvl w:val="6"/>
    </w:pPr>
    <w:rPr>
      <w:rFonts w:eastAsia="Times New Roman" w:cs="Times New Roman"/>
      <w:b/>
      <w:bCs/>
      <w:sz w:val="24"/>
      <w:szCs w:val="24"/>
      <w:u w:val="single" w:color="000000"/>
    </w:rPr>
  </w:style>
  <w:style w:type="character" w:customStyle="1" w:styleId="Titre1Car">
    <w:name w:val="Titre 1 Car"/>
    <w:basedOn w:val="Policepardfaut"/>
    <w:link w:val="Titre1"/>
    <w:uiPriority w:val="9"/>
    <w:rsid w:val="00111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1112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1112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11126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1126E"/>
    <w:rPr>
      <w:color w:val="800080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1126E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1126E"/>
    <w:rPr>
      <w:rFonts w:ascii="Arial" w:eastAsia="Times New Roman" w:hAnsi="Arial" w:cs="Arial"/>
      <w:vanish/>
      <w:sz w:val="16"/>
      <w:szCs w:val="16"/>
    </w:rPr>
  </w:style>
  <w:style w:type="character" w:customStyle="1" w:styleId="icon">
    <w:name w:val="icon"/>
    <w:basedOn w:val="Policepardfaut"/>
    <w:rsid w:val="0011126E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11126E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11126E"/>
    <w:rPr>
      <w:rFonts w:ascii="Arial" w:eastAsia="Times New Roman" w:hAnsi="Arial" w:cs="Arial"/>
      <w:vanish/>
      <w:sz w:val="16"/>
      <w:szCs w:val="16"/>
    </w:rPr>
  </w:style>
  <w:style w:type="character" w:customStyle="1" w:styleId="iconbtntext">
    <w:name w:val="icon_btn_text"/>
    <w:basedOn w:val="Policepardfaut"/>
    <w:rsid w:val="0011126E"/>
  </w:style>
  <w:style w:type="character" w:customStyle="1" w:styleId="icon-downarrow">
    <w:name w:val="icon-down_arrow"/>
    <w:basedOn w:val="Policepardfaut"/>
    <w:rsid w:val="0011126E"/>
  </w:style>
  <w:style w:type="character" w:customStyle="1" w:styleId="pagenum">
    <w:name w:val="page_num"/>
    <w:basedOn w:val="Policepardfaut"/>
    <w:rsid w:val="0011126E"/>
  </w:style>
  <w:style w:type="character" w:customStyle="1" w:styleId="innertext">
    <w:name w:val="inner_text"/>
    <w:basedOn w:val="Policepardfaut"/>
    <w:rsid w:val="0011126E"/>
  </w:style>
  <w:style w:type="character" w:customStyle="1" w:styleId="inlinestat">
    <w:name w:val="inline_stat"/>
    <w:basedOn w:val="Policepardfaut"/>
    <w:rsid w:val="0011126E"/>
  </w:style>
  <w:style w:type="character" w:customStyle="1" w:styleId="label">
    <w:name w:val="label"/>
    <w:basedOn w:val="Policepardfaut"/>
    <w:rsid w:val="0011126E"/>
  </w:style>
  <w:style w:type="character" w:customStyle="1" w:styleId="ratingstar">
    <w:name w:val="rating_star"/>
    <w:basedOn w:val="Policepardfaut"/>
    <w:rsid w:val="0011126E"/>
  </w:style>
  <w:style w:type="character" w:customStyle="1" w:styleId="value">
    <w:name w:val="value"/>
    <w:basedOn w:val="Policepardfaut"/>
    <w:rsid w:val="0011126E"/>
  </w:style>
  <w:style w:type="character" w:customStyle="1" w:styleId="statdivider">
    <w:name w:val="stat_divider"/>
    <w:basedOn w:val="Policepardfaut"/>
    <w:rsid w:val="0011126E"/>
  </w:style>
  <w:style w:type="character" w:customStyle="1" w:styleId="a">
    <w:name w:val="a"/>
    <w:basedOn w:val="Policepardfaut"/>
    <w:rsid w:val="0011126E"/>
  </w:style>
  <w:style w:type="character" w:customStyle="1" w:styleId="w6">
    <w:name w:val="w6"/>
    <w:basedOn w:val="Policepardfaut"/>
    <w:rsid w:val="0011126E"/>
  </w:style>
  <w:style w:type="character" w:customStyle="1" w:styleId="l6">
    <w:name w:val="l6"/>
    <w:basedOn w:val="Policepardfaut"/>
    <w:rsid w:val="0011126E"/>
  </w:style>
  <w:style w:type="character" w:customStyle="1" w:styleId="w">
    <w:name w:val="w"/>
    <w:basedOn w:val="Policepardfaut"/>
    <w:rsid w:val="0011126E"/>
  </w:style>
  <w:style w:type="character" w:customStyle="1" w:styleId="l">
    <w:name w:val="l"/>
    <w:basedOn w:val="Policepardfaut"/>
    <w:rsid w:val="0011126E"/>
  </w:style>
  <w:style w:type="character" w:customStyle="1" w:styleId="l10">
    <w:name w:val="l10"/>
    <w:basedOn w:val="Policepardfaut"/>
    <w:rsid w:val="0011126E"/>
  </w:style>
  <w:style w:type="character" w:customStyle="1" w:styleId="l12">
    <w:name w:val="l12"/>
    <w:basedOn w:val="Policepardfaut"/>
    <w:rsid w:val="0011126E"/>
  </w:style>
  <w:style w:type="character" w:customStyle="1" w:styleId="w8">
    <w:name w:val="w8"/>
    <w:basedOn w:val="Policepardfaut"/>
    <w:rsid w:val="0011126E"/>
  </w:style>
  <w:style w:type="character" w:customStyle="1" w:styleId="l11">
    <w:name w:val="l11"/>
    <w:basedOn w:val="Policepardfaut"/>
    <w:rsid w:val="0011126E"/>
  </w:style>
  <w:style w:type="character" w:customStyle="1" w:styleId="l8">
    <w:name w:val="l8"/>
    <w:basedOn w:val="Policepardfaut"/>
    <w:rsid w:val="0011126E"/>
  </w:style>
  <w:style w:type="character" w:customStyle="1" w:styleId="w12">
    <w:name w:val="w12"/>
    <w:basedOn w:val="Policepardfaut"/>
    <w:rsid w:val="0011126E"/>
  </w:style>
  <w:style w:type="character" w:customStyle="1" w:styleId="w10">
    <w:name w:val="w10"/>
    <w:basedOn w:val="Policepardfaut"/>
    <w:rsid w:val="0011126E"/>
  </w:style>
  <w:style w:type="character" w:customStyle="1" w:styleId="l9">
    <w:name w:val="l9"/>
    <w:basedOn w:val="Policepardfaut"/>
    <w:rsid w:val="0011126E"/>
  </w:style>
  <w:style w:type="character" w:customStyle="1" w:styleId="w9">
    <w:name w:val="w9"/>
    <w:basedOn w:val="Policepardfaut"/>
    <w:rsid w:val="0011126E"/>
  </w:style>
  <w:style w:type="character" w:customStyle="1" w:styleId="l7">
    <w:name w:val="l7"/>
    <w:basedOn w:val="Policepardfaut"/>
    <w:rsid w:val="0011126E"/>
  </w:style>
  <w:style w:type="character" w:customStyle="1" w:styleId="w11">
    <w:name w:val="w11"/>
    <w:basedOn w:val="Policepardfaut"/>
    <w:rsid w:val="0011126E"/>
  </w:style>
  <w:style w:type="character" w:customStyle="1" w:styleId="w7">
    <w:name w:val="w7"/>
    <w:basedOn w:val="Policepardfaut"/>
    <w:rsid w:val="0011126E"/>
  </w:style>
  <w:style w:type="character" w:customStyle="1" w:styleId="activitycount">
    <w:name w:val="activity_count"/>
    <w:basedOn w:val="Policepardfaut"/>
    <w:rsid w:val="0011126E"/>
  </w:style>
  <w:style w:type="character" w:customStyle="1" w:styleId="activitycountvalue">
    <w:name w:val="activity_count_value"/>
    <w:basedOn w:val="Policepardfaut"/>
    <w:rsid w:val="0011126E"/>
  </w:style>
  <w:style w:type="character" w:customStyle="1" w:styleId="sprite">
    <w:name w:val="sprite"/>
    <w:basedOn w:val="Policepardfaut"/>
    <w:rsid w:val="0011126E"/>
  </w:style>
  <w:style w:type="character" w:customStyle="1" w:styleId="primary">
    <w:name w:val="primary"/>
    <w:basedOn w:val="Policepardfaut"/>
    <w:rsid w:val="0011126E"/>
  </w:style>
  <w:style w:type="character" w:customStyle="1" w:styleId="actionlabel">
    <w:name w:val="action_label"/>
    <w:basedOn w:val="Policepardfaut"/>
    <w:rsid w:val="0011126E"/>
  </w:style>
  <w:style w:type="character" w:customStyle="1" w:styleId="formatext">
    <w:name w:val="format_ext"/>
    <w:basedOn w:val="Policepardfaut"/>
    <w:rsid w:val="0011126E"/>
  </w:style>
  <w:style w:type="paragraph" w:styleId="NormalWeb">
    <w:name w:val="Normal (Web)"/>
    <w:basedOn w:val="Normal"/>
    <w:uiPriority w:val="99"/>
    <w:semiHidden/>
    <w:unhideWhenUsed/>
    <w:rsid w:val="001112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label">
    <w:name w:val="page_label"/>
    <w:basedOn w:val="Policepardfaut"/>
    <w:rsid w:val="0011126E"/>
  </w:style>
  <w:style w:type="character" w:customStyle="1" w:styleId="currentpage">
    <w:name w:val="current_page"/>
    <w:basedOn w:val="Policepardfaut"/>
    <w:rsid w:val="0011126E"/>
  </w:style>
  <w:style w:type="character" w:styleId="lev">
    <w:name w:val="Strong"/>
    <w:basedOn w:val="Policepardfaut"/>
    <w:uiPriority w:val="22"/>
    <w:qFormat/>
    <w:rsid w:val="0011126E"/>
    <w:rPr>
      <w:b/>
      <w:bCs/>
    </w:rPr>
  </w:style>
  <w:style w:type="character" w:customStyle="1" w:styleId="icontainer">
    <w:name w:val="icontainer"/>
    <w:basedOn w:val="Policepardfaut"/>
    <w:rsid w:val="0011126E"/>
  </w:style>
  <w:style w:type="character" w:customStyle="1" w:styleId="copyright">
    <w:name w:val="copyright"/>
    <w:basedOn w:val="Policepardfaut"/>
    <w:rsid w:val="0011126E"/>
  </w:style>
  <w:style w:type="character" w:customStyle="1" w:styleId="dotdivider">
    <w:name w:val="dot_divider"/>
    <w:basedOn w:val="Policepardfaut"/>
    <w:rsid w:val="0011126E"/>
  </w:style>
  <w:style w:type="character" w:customStyle="1" w:styleId="secondary">
    <w:name w:val="secondary"/>
    <w:basedOn w:val="Policepardfaut"/>
    <w:rsid w:val="0011126E"/>
  </w:style>
  <w:style w:type="paragraph" w:styleId="Textedebulles">
    <w:name w:val="Balloon Text"/>
    <w:basedOn w:val="Normal"/>
    <w:link w:val="TextedebullesCar"/>
    <w:uiPriority w:val="99"/>
    <w:semiHidden/>
    <w:unhideWhenUsed/>
    <w:rsid w:val="0011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26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1126E"/>
    <w:pPr>
      <w:widowControl/>
      <w:autoSpaceDE/>
      <w:autoSpaceDN/>
      <w:bidi/>
    </w:pPr>
  </w:style>
  <w:style w:type="table" w:styleId="Grilledutableau">
    <w:name w:val="Table Grid"/>
    <w:basedOn w:val="TableauNormal"/>
    <w:uiPriority w:val="59"/>
    <w:rsid w:val="0011126E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112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1126E"/>
  </w:style>
  <w:style w:type="paragraph" w:styleId="Pieddepage">
    <w:name w:val="footer"/>
    <w:basedOn w:val="Normal"/>
    <w:link w:val="PieddepageCar"/>
    <w:uiPriority w:val="99"/>
    <w:semiHidden/>
    <w:unhideWhenUsed/>
    <w:rsid w:val="001112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1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18</Pages>
  <Words>7155</Words>
  <Characters>39356</Characters>
  <Application>Microsoft Office Word</Application>
  <DocSecurity>0</DocSecurity>
  <Lines>327</Lines>
  <Paragraphs>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Dr.Info</dc:creator>
  <cp:lastModifiedBy>Dr.Info</cp:lastModifiedBy>
  <cp:revision>3</cp:revision>
  <dcterms:created xsi:type="dcterms:W3CDTF">2020-06-03T21:47:00Z</dcterms:created>
  <dcterms:modified xsi:type="dcterms:W3CDTF">2020-06-03T22:54:00Z</dcterms:modified>
</cp:coreProperties>
</file>