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F3" w:rsidRDefault="004859F3" w:rsidP="004859F3">
      <w:pPr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رسم استعمال آلات الاستقبال الإذاعي و التلفزي</w:t>
      </w:r>
    </w:p>
    <w:p w:rsidR="004859F3" w:rsidRDefault="004859F3" w:rsidP="004859F3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1- حقوق و مجال التطبيق :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وفق المادة 485 مكرر :يحصل وفق الكيفية المحددة في المواد المذكورة  أدناه رسم عن استعمال أجهزة البث الإذاعي و التلفزي و ملحقاتها يشتمل على ما يلي :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1- رسم ثابت يفرض على كل مشترك خاص لدى الشركات الموكلة بتوزيع الكهرباء و الغاز , و يحدد كما يأتي :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- 25 دج عندما يفوق استعمال التيار الكهربائي المفوتر 70 كيلواط و يقل عن 190 كيلواط أو يساويه.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- 50 دج عندما يفوق استهلاك التيار الكهربائي المفوتر 190 كيلواط  و يقل عن 390 كيلواط أو يساويه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- 100 دج عندما يفوق استهلاك التيار الكهربائي المفوتر 390 كيلواط .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2- رسم خاص على المواد الآتية :</w:t>
      </w:r>
    </w:p>
    <w:tbl>
      <w:tblPr>
        <w:tblW w:w="0" w:type="auto"/>
        <w:tblInd w:w="18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74"/>
        <w:gridCol w:w="4982"/>
      </w:tblGrid>
      <w:tr w:rsidR="004859F3" w:rsidRPr="0071047D" w:rsidTr="001C6B50">
        <w:trPr>
          <w:trHeight w:val="369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قيمة الرسم</w:t>
            </w:r>
          </w:p>
        </w:tc>
        <w:tc>
          <w:tcPr>
            <w:tcW w:w="4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 xml:space="preserve">       المواد  الخــــاضعة للرســـــم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أ- أجهزة البث </w:t>
            </w:r>
            <w:r w:rsidRPr="0071047D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</w:rPr>
              <w:t>الإذاعي</w:t>
            </w:r>
            <w:r w:rsidRPr="0071047D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 مركبا كان أو غير مركب :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50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 xml:space="preserve">التي يقل سعرها أو يساوي 1000 دج 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100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يتراوح سعرها ما بين 1000 و 3000 دج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300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يتراوح سعرها ما بين 3001 و 10,000 دج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500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يفوق سعرها 10,000 دج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ب- أجهزة استقبال البث التلفزي مركبا كان أو غير مركب :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200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يقل سعرها عن 15,000 دج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300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يتراوح سعرها ما بين 15,000 دج و 35,000 د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1000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يفوق سعرها 35,000 دج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جـ - أجهزة التحكم في الصوت و الصورة و تحليل الرموز :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300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يقل سعرها عن 8000 دج</w:t>
            </w:r>
          </w:p>
        </w:tc>
      </w:tr>
      <w:tr w:rsidR="004859F3" w:rsidRPr="0071047D" w:rsidTr="001C6B50">
        <w:trPr>
          <w:trHeight w:val="352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500 دج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يتراوح سعرها ما بين 8000 و 30,000 دج</w:t>
            </w:r>
          </w:p>
        </w:tc>
      </w:tr>
      <w:tr w:rsidR="004859F3" w:rsidRPr="0071047D" w:rsidTr="001C6B50">
        <w:trPr>
          <w:trHeight w:val="369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1000 دج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F3" w:rsidRPr="0071047D" w:rsidRDefault="004859F3" w:rsidP="001C6B5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047D">
              <w:rPr>
                <w:rFonts w:ascii="Calibri" w:eastAsia="Times New Roman" w:hAnsi="Calibri" w:cs="Times New Roman"/>
                <w:color w:val="000000"/>
                <w:rtl/>
              </w:rPr>
              <w:t>التي يفوق سعرها 30,000 دج</w:t>
            </w:r>
          </w:p>
        </w:tc>
      </w:tr>
    </w:tbl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يفهم من السعر :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عند الاستيراد : القيمة في الجمارك.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عند التصدير : سعر الخروج من المصنع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3- رسم بنسبة 20 بالمائة على البطاريات الكهربائية ( على قيمة جميع الرسوم )</w:t>
      </w:r>
    </w:p>
    <w:p w:rsidR="004859F3" w:rsidRDefault="004859F3" w:rsidP="004859F3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2- الإعفاء :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إن الإعفاء من هذا الرسم لا يمس إلا المنتجات الموجهة للتصدير كما تنص علية المادة 485 مكرر 3 و المعدلة في قانون المالية 2016</w:t>
      </w:r>
    </w:p>
    <w:p w:rsidR="004859F3" w:rsidRDefault="004859F3" w:rsidP="004859F3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3- الوعاء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العمل المنشئ و التزامات الخاضعين للضريبة :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يطبق الرسم النوعي و الرسم المقاس على قيمة البطاريات الكهربائية :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على المنتوجات المستوفية من إجراءات الاستيراد عند الاستيراد كما يمس هذا الرسم المستوردات للاستعمال الشخصي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على المنتوجات المصنوعة محليا عند خروجها من المصنع 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عند الاستيراد فأن الرسم يؤسس و يحصل من طرف إدارة الجمارك كما لو كان الأمر يتعلق بالمجال الجمركي .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تحدد الالتزامات التي تقع على الخاضعين للرسم النوعي و الرسم على قيمة البطاريات الكهربائية كما يلي :</w:t>
      </w:r>
    </w:p>
    <w:p w:rsidR="004859F3" w:rsidRDefault="004859F3" w:rsidP="004859F3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أولا : التصريح المهني </w:t>
      </w:r>
    </w:p>
    <w:p w:rsidR="004859F3" w:rsidRDefault="004859F3" w:rsidP="004859F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ثانيا : مسك الحسابات : </w:t>
      </w:r>
      <w:r>
        <w:rPr>
          <w:rFonts w:hint="cs"/>
          <w:sz w:val="28"/>
          <w:szCs w:val="28"/>
          <w:rtl/>
          <w:lang w:bidi="ar-DZ"/>
        </w:rPr>
        <w:t>وفق المادة 8 و 9 من القانون التجاري</w:t>
      </w:r>
    </w:p>
    <w:p w:rsidR="004859F3" w:rsidRDefault="004859F3" w:rsidP="004859F3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ثالثا : التصريح الشهري:</w:t>
      </w:r>
      <w:r>
        <w:rPr>
          <w:rFonts w:hint="cs"/>
          <w:sz w:val="28"/>
          <w:szCs w:val="28"/>
          <w:rtl/>
          <w:lang w:bidi="ar-DZ"/>
        </w:rPr>
        <w:t xml:space="preserve">يعتبر هذا الرسم جزء من التصريحات الشهرية </w:t>
      </w:r>
      <w:r w:rsidRPr="00C0395E">
        <w:rPr>
          <w:b/>
          <w:bCs/>
          <w:sz w:val="28"/>
          <w:szCs w:val="28"/>
          <w:lang w:bidi="ar-DZ"/>
        </w:rPr>
        <w:t>G50</w:t>
      </w:r>
    </w:p>
    <w:p w:rsidR="00DD3C59" w:rsidRDefault="00DD3C59"/>
    <w:sectPr w:rsidR="00DD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859F3"/>
    <w:rsid w:val="004859F3"/>
    <w:rsid w:val="00DD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1821</Characters>
  <Application>Microsoft Office Word</Application>
  <DocSecurity>0</DocSecurity>
  <Lines>15</Lines>
  <Paragraphs>4</Paragraphs>
  <ScaleCrop>false</ScaleCrop>
  <Company>Sweet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Lenevo DC</dc:creator>
  <cp:keywords/>
  <dc:description/>
  <cp:lastModifiedBy>Lenevo DC</cp:lastModifiedBy>
  <cp:revision>2</cp:revision>
  <dcterms:created xsi:type="dcterms:W3CDTF">2020-06-07T16:30:00Z</dcterms:created>
  <dcterms:modified xsi:type="dcterms:W3CDTF">2020-06-07T16:31:00Z</dcterms:modified>
</cp:coreProperties>
</file>