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9F7D4" w14:textId="169194EC" w:rsidR="005C4497"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7-</w:t>
      </w:r>
      <w:r w:rsidRPr="00812EDD">
        <w:rPr>
          <w:rFonts w:ascii="Traditional Arabic" w:hAnsi="Traditional Arabic" w:cs="Traditional Arabic"/>
          <w:b/>
          <w:bCs/>
          <w:sz w:val="32"/>
          <w:szCs w:val="32"/>
          <w:rtl/>
          <w:lang w:bidi="ar-DZ"/>
        </w:rPr>
        <w:t xml:space="preserve"> طرق قياس مؤشر تكلفة الجودة: </w:t>
      </w:r>
      <w:r w:rsidRPr="00812EDD">
        <w:rPr>
          <w:rFonts w:ascii="Traditional Arabic" w:hAnsi="Traditional Arabic" w:cs="Traditional Arabic"/>
          <w:sz w:val="32"/>
          <w:szCs w:val="32"/>
          <w:rtl/>
          <w:lang w:bidi="ar-DZ"/>
        </w:rPr>
        <w:t xml:space="preserve">ويقصد بمؤشر الجودة </w:t>
      </w:r>
      <w:r w:rsidRPr="00812EDD">
        <w:rPr>
          <w:rFonts w:ascii="Traditional Arabic" w:hAnsi="Traditional Arabic" w:cs="Traditional Arabic"/>
          <w:sz w:val="32"/>
          <w:szCs w:val="32"/>
          <w:lang w:bidi="ar-DZ"/>
        </w:rPr>
        <w:t xml:space="preserve">Index </w:t>
      </w:r>
      <w:proofErr w:type="spellStart"/>
      <w:proofErr w:type="gramStart"/>
      <w:r w:rsidRPr="00812EDD">
        <w:rPr>
          <w:rFonts w:ascii="Traditional Arabic" w:hAnsi="Traditional Arabic" w:cs="Traditional Arabic"/>
          <w:sz w:val="32"/>
          <w:szCs w:val="32"/>
          <w:lang w:bidi="ar-DZ"/>
        </w:rPr>
        <w:t>number</w:t>
      </w:r>
      <w:proofErr w:type="spellEnd"/>
      <w:r w:rsidRPr="00812EDD">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r w:rsidRPr="00812EDD">
        <w:rPr>
          <w:rFonts w:ascii="Traditional Arabic" w:hAnsi="Traditional Arabic" w:cs="Traditional Arabic"/>
          <w:sz w:val="32"/>
          <w:szCs w:val="32"/>
          <w:rtl/>
          <w:lang w:bidi="ar-DZ"/>
        </w:rPr>
        <w:t>العلاقة</w:t>
      </w:r>
      <w:proofErr w:type="gramEnd"/>
      <w:r w:rsidRPr="00812EDD">
        <w:rPr>
          <w:rFonts w:ascii="Traditional Arabic" w:hAnsi="Traditional Arabic" w:cs="Traditional Arabic"/>
          <w:sz w:val="32"/>
          <w:szCs w:val="32"/>
          <w:rtl/>
          <w:lang w:bidi="ar-DZ"/>
        </w:rPr>
        <w:t xml:space="preserve"> النسبية </w:t>
      </w:r>
      <w:r w:rsidRPr="00812EDD">
        <w:rPr>
          <w:rFonts w:ascii="Traditional Arabic" w:hAnsi="Traditional Arabic" w:cs="Traditional Arabic"/>
          <w:sz w:val="32"/>
          <w:szCs w:val="32"/>
          <w:lang w:bidi="ar-DZ"/>
        </w:rPr>
        <w:t xml:space="preserve">Ration </w:t>
      </w:r>
      <w:r w:rsidRPr="00812EDD">
        <w:rPr>
          <w:rFonts w:ascii="Traditional Arabic" w:hAnsi="Traditional Arabic" w:cs="Traditional Arabic"/>
          <w:sz w:val="32"/>
          <w:szCs w:val="32"/>
          <w:rtl/>
          <w:lang w:bidi="ar-DZ"/>
        </w:rPr>
        <w:t>التي يتم بموجبها قياس تكلفة الجودة على أسس قيمية، وتستخدم هذه الأرقام والمؤشرات في مقارنة الأداء المحقق خلال فترتين من الزمن أو ما بين أداء الأقسام الإنتاجية والخدمية المختلفة ومن المؤشرات الشائعة الاستخدام:</w:t>
      </w:r>
    </w:p>
    <w:p w14:paraId="6A0AD582" w14:textId="6EF87789"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7-1- مؤشر العمل </w:t>
      </w:r>
      <w:r w:rsidRPr="00812EDD">
        <w:rPr>
          <w:rFonts w:ascii="Traditional Arabic" w:hAnsi="Traditional Arabic" w:cs="Traditional Arabic"/>
          <w:b/>
          <w:bCs/>
          <w:sz w:val="32"/>
          <w:szCs w:val="32"/>
          <w:lang w:bidi="ar-DZ"/>
        </w:rPr>
        <w:t>Labor index</w:t>
      </w:r>
      <w:r w:rsidRPr="00812EDD">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وهو النسبة المئوية ما بين تكلفة الجودة وبين مجموع ساعات العمل المباشرة.</w:t>
      </w:r>
    </w:p>
    <w:p w14:paraId="1B210D59" w14:textId="0A76328B"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7-2- مؤشر التكلفة </w:t>
      </w:r>
      <w:proofErr w:type="spellStart"/>
      <w:r w:rsidRPr="00812EDD">
        <w:rPr>
          <w:rFonts w:ascii="Traditional Arabic" w:hAnsi="Traditional Arabic" w:cs="Traditional Arabic"/>
          <w:b/>
          <w:bCs/>
          <w:sz w:val="32"/>
          <w:szCs w:val="32"/>
          <w:lang w:bidi="ar-DZ"/>
        </w:rPr>
        <w:t>Cost</w:t>
      </w:r>
      <w:proofErr w:type="spellEnd"/>
      <w:r w:rsidRPr="00812EDD">
        <w:rPr>
          <w:rFonts w:ascii="Traditional Arabic" w:hAnsi="Traditional Arabic" w:cs="Traditional Arabic"/>
          <w:b/>
          <w:bCs/>
          <w:sz w:val="32"/>
          <w:szCs w:val="32"/>
          <w:lang w:bidi="ar-DZ"/>
        </w:rPr>
        <w:t xml:space="preserve"> index</w:t>
      </w:r>
      <w:r w:rsidRPr="00812EDD">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وهو النسبة المئوية ما بين تكلفة الجودة وتكلفة الإنتاج بشقيها المباشرة وغير المباشرة.</w:t>
      </w:r>
    </w:p>
    <w:p w14:paraId="1B3ACDCD" w14:textId="2AE2FF7A" w:rsidR="00812EDD" w:rsidRDefault="00812EDD" w:rsidP="00812EDD">
      <w:pPr>
        <w:bidi/>
        <w:rPr>
          <w:rFonts w:ascii="Traditional Arabic" w:hAnsi="Traditional Arabic" w:cs="Traditional Arabic"/>
          <w:sz w:val="32"/>
          <w:szCs w:val="32"/>
          <w:rtl/>
          <w:lang w:bidi="ar-DZ"/>
        </w:rPr>
      </w:pPr>
      <w:r w:rsidRPr="00812EDD">
        <w:rPr>
          <w:rFonts w:ascii="Traditional Arabic" w:hAnsi="Traditional Arabic" w:cs="Traditional Arabic" w:hint="cs"/>
          <w:b/>
          <w:bCs/>
          <w:sz w:val="32"/>
          <w:szCs w:val="32"/>
          <w:rtl/>
          <w:lang w:bidi="ar-DZ"/>
        </w:rPr>
        <w:t xml:space="preserve">7-3- مؤشر المبيعات </w:t>
      </w:r>
      <w:r w:rsidRPr="00812EDD">
        <w:rPr>
          <w:rFonts w:ascii="Traditional Arabic" w:hAnsi="Traditional Arabic" w:cs="Traditional Arabic"/>
          <w:b/>
          <w:bCs/>
          <w:sz w:val="32"/>
          <w:szCs w:val="32"/>
          <w:lang w:bidi="ar-DZ"/>
        </w:rPr>
        <w:t xml:space="preserve">Sale </w:t>
      </w:r>
      <w:proofErr w:type="gramStart"/>
      <w:r w:rsidRPr="00812EDD">
        <w:rPr>
          <w:rFonts w:ascii="Traditional Arabic" w:hAnsi="Traditional Arabic" w:cs="Traditional Arabic"/>
          <w:b/>
          <w:bCs/>
          <w:sz w:val="32"/>
          <w:szCs w:val="32"/>
          <w:lang w:bidi="ar-DZ"/>
        </w:rPr>
        <w:t xml:space="preserve">index </w:t>
      </w:r>
      <w:r>
        <w:rPr>
          <w:rFonts w:ascii="Traditional Arabic" w:hAnsi="Traditional Arabic" w:cs="Traditional Arabic" w:hint="cs"/>
          <w:sz w:val="32"/>
          <w:szCs w:val="32"/>
          <w:rtl/>
          <w:lang w:bidi="ar-DZ"/>
        </w:rPr>
        <w:t>:</w:t>
      </w:r>
      <w:proofErr w:type="gramEnd"/>
      <w:r>
        <w:rPr>
          <w:rFonts w:ascii="Traditional Arabic" w:hAnsi="Traditional Arabic" w:cs="Traditional Arabic" w:hint="cs"/>
          <w:sz w:val="32"/>
          <w:szCs w:val="32"/>
          <w:rtl/>
          <w:lang w:bidi="ar-DZ"/>
        </w:rPr>
        <w:t xml:space="preserve"> وهو النسبة المئوية ما بين تكلفة الجودة وبين إجمال قيمة المبيعات.</w:t>
      </w:r>
    </w:p>
    <w:p w14:paraId="3C02C629" w14:textId="47C6BD8C" w:rsidR="00812EDD" w:rsidRDefault="00812EDD" w:rsidP="00214A1B">
      <w:pPr>
        <w:bidi/>
        <w:rPr>
          <w:rFonts w:ascii="Traditional Arabic" w:hAnsi="Traditional Arabic" w:cs="Traditional Arabic"/>
          <w:b/>
          <w:bCs/>
          <w:sz w:val="32"/>
          <w:szCs w:val="32"/>
          <w:rtl/>
          <w:lang w:bidi="ar-DZ"/>
        </w:rPr>
      </w:pPr>
      <w:r w:rsidRPr="00214A1B">
        <w:rPr>
          <w:rFonts w:ascii="Traditional Arabic" w:hAnsi="Traditional Arabic" w:cs="Traditional Arabic" w:hint="cs"/>
          <w:b/>
          <w:bCs/>
          <w:sz w:val="32"/>
          <w:szCs w:val="32"/>
          <w:rtl/>
          <w:lang w:bidi="ar-DZ"/>
        </w:rPr>
        <w:t xml:space="preserve">7-4- مؤشر الإنتاج </w:t>
      </w:r>
      <w:r w:rsidRPr="00214A1B">
        <w:rPr>
          <w:rFonts w:ascii="Traditional Arabic" w:hAnsi="Traditional Arabic" w:cs="Traditional Arabic"/>
          <w:b/>
          <w:bCs/>
          <w:sz w:val="32"/>
          <w:szCs w:val="32"/>
          <w:lang w:bidi="ar-DZ"/>
        </w:rPr>
        <w:t xml:space="preserve">Production </w:t>
      </w:r>
      <w:proofErr w:type="gramStart"/>
      <w:r w:rsidRPr="00214A1B">
        <w:rPr>
          <w:rFonts w:ascii="Traditional Arabic" w:hAnsi="Traditional Arabic" w:cs="Traditional Arabic"/>
          <w:b/>
          <w:bCs/>
          <w:sz w:val="32"/>
          <w:szCs w:val="32"/>
          <w:lang w:bidi="ar-DZ"/>
        </w:rPr>
        <w:t xml:space="preserve">index </w:t>
      </w:r>
      <w:r w:rsidRPr="00214A1B">
        <w:rPr>
          <w:rFonts w:ascii="Traditional Arabic" w:hAnsi="Traditional Arabic" w:cs="Traditional Arabic" w:hint="cs"/>
          <w:b/>
          <w:bCs/>
          <w:sz w:val="32"/>
          <w:szCs w:val="32"/>
          <w:rtl/>
          <w:lang w:bidi="ar-DZ"/>
        </w:rPr>
        <w:t>:</w:t>
      </w:r>
      <w:proofErr w:type="gramEnd"/>
      <w:r w:rsidR="00214A1B">
        <w:rPr>
          <w:rFonts w:ascii="Traditional Arabic" w:hAnsi="Traditional Arabic" w:cs="Traditional Arabic" w:hint="cs"/>
          <w:b/>
          <w:bCs/>
          <w:sz w:val="32"/>
          <w:szCs w:val="32"/>
          <w:rtl/>
          <w:lang w:bidi="ar-DZ"/>
        </w:rPr>
        <w:t xml:space="preserve"> </w:t>
      </w:r>
      <w:r w:rsidR="00214A1B" w:rsidRPr="005C45D3">
        <w:rPr>
          <w:rFonts w:ascii="Traditional Arabic" w:hAnsi="Traditional Arabic" w:cs="Traditional Arabic" w:hint="cs"/>
          <w:sz w:val="32"/>
          <w:szCs w:val="32"/>
          <w:rtl/>
          <w:lang w:bidi="ar-DZ"/>
        </w:rPr>
        <w:t>وهو النسبة المئوية ما بين تكلفة الجودة وبين كمية الإنتاج.</w:t>
      </w:r>
    </w:p>
    <w:p w14:paraId="260497A5" w14:textId="471EE3E3" w:rsidR="00214A1B" w:rsidRDefault="00214A1B" w:rsidP="00214A1B">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مثال: </w:t>
      </w:r>
      <w:r w:rsidRPr="005C45D3">
        <w:rPr>
          <w:rFonts w:ascii="Traditional Arabic" w:hAnsi="Traditional Arabic" w:cs="Traditional Arabic" w:hint="cs"/>
          <w:sz w:val="32"/>
          <w:szCs w:val="32"/>
          <w:rtl/>
          <w:lang w:bidi="ar-DZ"/>
        </w:rPr>
        <w:t xml:space="preserve">تقوم شركة </w:t>
      </w:r>
      <w:proofErr w:type="spellStart"/>
      <w:r w:rsidRPr="005C45D3">
        <w:rPr>
          <w:rFonts w:ascii="Traditional Arabic" w:hAnsi="Traditional Arabic" w:cs="Traditional Arabic" w:hint="cs"/>
          <w:sz w:val="32"/>
          <w:szCs w:val="32"/>
          <w:rtl/>
          <w:lang w:bidi="ar-DZ"/>
        </w:rPr>
        <w:t>كوندور</w:t>
      </w:r>
      <w:proofErr w:type="spellEnd"/>
      <w:r w:rsidRPr="005C45D3">
        <w:rPr>
          <w:rFonts w:ascii="Traditional Arabic" w:hAnsi="Traditional Arabic" w:cs="Traditional Arabic" w:hint="cs"/>
          <w:sz w:val="32"/>
          <w:szCs w:val="32"/>
          <w:rtl/>
          <w:lang w:bidi="ar-DZ"/>
        </w:rPr>
        <w:t xml:space="preserve"> بصنع محركات صغيرة للخلاط الكهربائي والة طحن القهوة، وقد قامت الشركة بإعداد برامج إدارة الجودة قبل 4 سنوات وحققت النتائج التالية:</w:t>
      </w:r>
    </w:p>
    <w:tbl>
      <w:tblPr>
        <w:tblStyle w:val="Grilledutableau"/>
        <w:bidiVisual/>
        <w:tblW w:w="0" w:type="auto"/>
        <w:tblLook w:val="04A0" w:firstRow="1" w:lastRow="0" w:firstColumn="1" w:lastColumn="0" w:noHBand="0" w:noVBand="1"/>
      </w:tblPr>
      <w:tblGrid>
        <w:gridCol w:w="1659"/>
        <w:gridCol w:w="1659"/>
        <w:gridCol w:w="1659"/>
        <w:gridCol w:w="1659"/>
        <w:gridCol w:w="1660"/>
      </w:tblGrid>
      <w:tr w:rsidR="00B558CF" w14:paraId="007B34AC" w14:textId="77777777" w:rsidTr="00B558CF">
        <w:tc>
          <w:tcPr>
            <w:tcW w:w="1659" w:type="dxa"/>
          </w:tcPr>
          <w:p w14:paraId="29DADD59" w14:textId="77777777" w:rsidR="00B558CF" w:rsidRPr="005C45D3" w:rsidRDefault="00B558CF" w:rsidP="00214A1B">
            <w:pPr>
              <w:bidi/>
              <w:rPr>
                <w:rFonts w:ascii="Traditional Arabic" w:hAnsi="Traditional Arabic" w:cs="Traditional Arabic"/>
                <w:b/>
                <w:bCs/>
                <w:sz w:val="32"/>
                <w:szCs w:val="32"/>
                <w:rtl/>
                <w:lang w:bidi="ar-DZ"/>
              </w:rPr>
            </w:pPr>
          </w:p>
        </w:tc>
        <w:tc>
          <w:tcPr>
            <w:tcW w:w="1659" w:type="dxa"/>
          </w:tcPr>
          <w:p w14:paraId="4C6A7892" w14:textId="7B6EA49D"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2016</w:t>
            </w:r>
          </w:p>
        </w:tc>
        <w:tc>
          <w:tcPr>
            <w:tcW w:w="1659" w:type="dxa"/>
          </w:tcPr>
          <w:p w14:paraId="2BA05FB1" w14:textId="680EE5D4"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2017</w:t>
            </w:r>
          </w:p>
        </w:tc>
        <w:tc>
          <w:tcPr>
            <w:tcW w:w="1659" w:type="dxa"/>
          </w:tcPr>
          <w:p w14:paraId="4283DD4C" w14:textId="04C192B7"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2018</w:t>
            </w:r>
          </w:p>
        </w:tc>
        <w:tc>
          <w:tcPr>
            <w:tcW w:w="1660" w:type="dxa"/>
          </w:tcPr>
          <w:p w14:paraId="57CD77D6" w14:textId="059E2C81"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2019</w:t>
            </w:r>
          </w:p>
        </w:tc>
      </w:tr>
      <w:tr w:rsidR="00B558CF" w14:paraId="74F7DC03" w14:textId="77777777" w:rsidTr="006267C0">
        <w:tc>
          <w:tcPr>
            <w:tcW w:w="8296" w:type="dxa"/>
            <w:gridSpan w:val="5"/>
          </w:tcPr>
          <w:p w14:paraId="184A49A4" w14:textId="03D14656" w:rsidR="00B558CF" w:rsidRPr="005C45D3" w:rsidRDefault="00B558CF" w:rsidP="00B558CF">
            <w:pPr>
              <w:bidi/>
              <w:jc w:val="center"/>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الجودة</w:t>
            </w:r>
          </w:p>
        </w:tc>
      </w:tr>
      <w:tr w:rsidR="00B558CF" w14:paraId="07FC0DE3" w14:textId="77777777" w:rsidTr="00B558CF">
        <w:tc>
          <w:tcPr>
            <w:tcW w:w="1659" w:type="dxa"/>
          </w:tcPr>
          <w:p w14:paraId="63C04B36" w14:textId="17610723"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الوقاية</w:t>
            </w:r>
          </w:p>
        </w:tc>
        <w:tc>
          <w:tcPr>
            <w:tcW w:w="1659" w:type="dxa"/>
          </w:tcPr>
          <w:p w14:paraId="631234A6" w14:textId="4DF21D77"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27000</w:t>
            </w:r>
          </w:p>
        </w:tc>
        <w:tc>
          <w:tcPr>
            <w:tcW w:w="1659" w:type="dxa"/>
          </w:tcPr>
          <w:p w14:paraId="4C7AC2EF" w14:textId="7DB34EA9"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41500</w:t>
            </w:r>
          </w:p>
        </w:tc>
        <w:tc>
          <w:tcPr>
            <w:tcW w:w="1659" w:type="dxa"/>
          </w:tcPr>
          <w:p w14:paraId="1C95239E" w14:textId="351EC44B"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74600</w:t>
            </w:r>
          </w:p>
        </w:tc>
        <w:tc>
          <w:tcPr>
            <w:tcW w:w="1660" w:type="dxa"/>
          </w:tcPr>
          <w:p w14:paraId="2084213E" w14:textId="56203B30"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112300</w:t>
            </w:r>
          </w:p>
        </w:tc>
      </w:tr>
      <w:tr w:rsidR="00B558CF" w14:paraId="30614C36" w14:textId="77777777" w:rsidTr="00B558CF">
        <w:tc>
          <w:tcPr>
            <w:tcW w:w="1659" w:type="dxa"/>
          </w:tcPr>
          <w:p w14:paraId="6BAD6014" w14:textId="097F83FA"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تكاليف الأداء</w:t>
            </w:r>
          </w:p>
        </w:tc>
        <w:tc>
          <w:tcPr>
            <w:tcW w:w="1659" w:type="dxa"/>
          </w:tcPr>
          <w:p w14:paraId="754BDC51" w14:textId="1B11FC00"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155000</w:t>
            </w:r>
          </w:p>
        </w:tc>
        <w:tc>
          <w:tcPr>
            <w:tcW w:w="1659" w:type="dxa"/>
          </w:tcPr>
          <w:p w14:paraId="7A5015C5" w14:textId="3D1C2237"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122500</w:t>
            </w:r>
          </w:p>
        </w:tc>
        <w:tc>
          <w:tcPr>
            <w:tcW w:w="1659" w:type="dxa"/>
          </w:tcPr>
          <w:p w14:paraId="6D601AA1" w14:textId="5FF84CD3"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113400</w:t>
            </w:r>
          </w:p>
        </w:tc>
        <w:tc>
          <w:tcPr>
            <w:tcW w:w="1660" w:type="dxa"/>
          </w:tcPr>
          <w:p w14:paraId="1AEA7A44" w14:textId="40BEBBBC"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107000</w:t>
            </w:r>
          </w:p>
        </w:tc>
      </w:tr>
      <w:tr w:rsidR="00B558CF" w14:paraId="09116027" w14:textId="77777777" w:rsidTr="00B558CF">
        <w:tc>
          <w:tcPr>
            <w:tcW w:w="1659" w:type="dxa"/>
          </w:tcPr>
          <w:p w14:paraId="1FB56E5D" w14:textId="25699335"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الفشل الداخلي</w:t>
            </w:r>
          </w:p>
        </w:tc>
        <w:tc>
          <w:tcPr>
            <w:tcW w:w="1659" w:type="dxa"/>
          </w:tcPr>
          <w:p w14:paraId="0E57A8D9" w14:textId="0FF9FB39"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386400</w:t>
            </w:r>
          </w:p>
        </w:tc>
        <w:tc>
          <w:tcPr>
            <w:tcW w:w="1659" w:type="dxa"/>
          </w:tcPr>
          <w:p w14:paraId="53F5561C" w14:textId="339682AF"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469200</w:t>
            </w:r>
          </w:p>
        </w:tc>
        <w:tc>
          <w:tcPr>
            <w:tcW w:w="1659" w:type="dxa"/>
          </w:tcPr>
          <w:p w14:paraId="05F562BE" w14:textId="22354118"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347800</w:t>
            </w:r>
          </w:p>
        </w:tc>
        <w:tc>
          <w:tcPr>
            <w:tcW w:w="1660" w:type="dxa"/>
          </w:tcPr>
          <w:p w14:paraId="31D9BC16" w14:textId="127D51FC"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219100</w:t>
            </w:r>
          </w:p>
        </w:tc>
      </w:tr>
      <w:tr w:rsidR="00B558CF" w14:paraId="26D861CD" w14:textId="77777777" w:rsidTr="00B558CF">
        <w:tc>
          <w:tcPr>
            <w:tcW w:w="1659" w:type="dxa"/>
          </w:tcPr>
          <w:p w14:paraId="7AA26892" w14:textId="21DBCE22"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الفشل الخارجي</w:t>
            </w:r>
          </w:p>
        </w:tc>
        <w:tc>
          <w:tcPr>
            <w:tcW w:w="1659" w:type="dxa"/>
          </w:tcPr>
          <w:p w14:paraId="43928FEA" w14:textId="2C0AFD58"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242000</w:t>
            </w:r>
          </w:p>
        </w:tc>
        <w:tc>
          <w:tcPr>
            <w:tcW w:w="1659" w:type="dxa"/>
          </w:tcPr>
          <w:p w14:paraId="68A7ECFB" w14:textId="35FA0954"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196000</w:t>
            </w:r>
          </w:p>
        </w:tc>
        <w:tc>
          <w:tcPr>
            <w:tcW w:w="1659" w:type="dxa"/>
          </w:tcPr>
          <w:p w14:paraId="0D3B4562" w14:textId="75A19218"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103500</w:t>
            </w:r>
          </w:p>
        </w:tc>
        <w:tc>
          <w:tcPr>
            <w:tcW w:w="1660" w:type="dxa"/>
          </w:tcPr>
          <w:p w14:paraId="35E17F2B" w14:textId="4C82F7D6"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10600</w:t>
            </w:r>
          </w:p>
        </w:tc>
      </w:tr>
      <w:tr w:rsidR="00B558CF" w14:paraId="7B50D7AA" w14:textId="77777777" w:rsidTr="00B558CF">
        <w:tc>
          <w:tcPr>
            <w:tcW w:w="1659" w:type="dxa"/>
          </w:tcPr>
          <w:p w14:paraId="562CAC65" w14:textId="69F002CA"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المجموع</w:t>
            </w:r>
          </w:p>
        </w:tc>
        <w:tc>
          <w:tcPr>
            <w:tcW w:w="1659" w:type="dxa"/>
          </w:tcPr>
          <w:p w14:paraId="0ADE7E01" w14:textId="7F8D3235"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810400</w:t>
            </w:r>
          </w:p>
        </w:tc>
        <w:tc>
          <w:tcPr>
            <w:tcW w:w="1659" w:type="dxa"/>
          </w:tcPr>
          <w:p w14:paraId="1494A1A4" w14:textId="6B6A5519"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829200</w:t>
            </w:r>
          </w:p>
        </w:tc>
        <w:tc>
          <w:tcPr>
            <w:tcW w:w="1659" w:type="dxa"/>
          </w:tcPr>
          <w:p w14:paraId="2509C9AD" w14:textId="1D770FF9"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639300</w:t>
            </w:r>
          </w:p>
        </w:tc>
        <w:tc>
          <w:tcPr>
            <w:tcW w:w="1660" w:type="dxa"/>
          </w:tcPr>
          <w:p w14:paraId="038AB510" w14:textId="4B91953D"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544400</w:t>
            </w:r>
          </w:p>
        </w:tc>
      </w:tr>
      <w:tr w:rsidR="00B558CF" w14:paraId="7B510B6F" w14:textId="77777777" w:rsidTr="000310E6">
        <w:tc>
          <w:tcPr>
            <w:tcW w:w="8296" w:type="dxa"/>
            <w:gridSpan w:val="5"/>
          </w:tcPr>
          <w:p w14:paraId="2D218DFE" w14:textId="2CC51797" w:rsidR="00B558CF" w:rsidRPr="005C45D3" w:rsidRDefault="00B558CF" w:rsidP="00B558CF">
            <w:pPr>
              <w:bidi/>
              <w:jc w:val="center"/>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المعايير المحاسبية</w:t>
            </w:r>
          </w:p>
        </w:tc>
      </w:tr>
      <w:tr w:rsidR="00B558CF" w14:paraId="7C5D5C08" w14:textId="77777777" w:rsidTr="00B558CF">
        <w:tc>
          <w:tcPr>
            <w:tcW w:w="1659" w:type="dxa"/>
          </w:tcPr>
          <w:p w14:paraId="2048D436" w14:textId="1FE7E6B4"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المبيعات</w:t>
            </w:r>
          </w:p>
        </w:tc>
        <w:tc>
          <w:tcPr>
            <w:tcW w:w="1659" w:type="dxa"/>
          </w:tcPr>
          <w:p w14:paraId="2501EB45" w14:textId="43F4A170"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4360000</w:t>
            </w:r>
          </w:p>
        </w:tc>
        <w:tc>
          <w:tcPr>
            <w:tcW w:w="1659" w:type="dxa"/>
          </w:tcPr>
          <w:p w14:paraId="55AB6CC3" w14:textId="4BCCFA08"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4450000</w:t>
            </w:r>
          </w:p>
        </w:tc>
        <w:tc>
          <w:tcPr>
            <w:tcW w:w="1659" w:type="dxa"/>
          </w:tcPr>
          <w:p w14:paraId="2C78659C" w14:textId="4CE6A6ED"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5050000</w:t>
            </w:r>
          </w:p>
        </w:tc>
        <w:tc>
          <w:tcPr>
            <w:tcW w:w="1660" w:type="dxa"/>
          </w:tcPr>
          <w:p w14:paraId="21DED350" w14:textId="5145D97A"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5190000</w:t>
            </w:r>
          </w:p>
        </w:tc>
      </w:tr>
      <w:tr w:rsidR="00B558CF" w14:paraId="00E16CBB" w14:textId="77777777" w:rsidTr="00B558CF">
        <w:tc>
          <w:tcPr>
            <w:tcW w:w="1659" w:type="dxa"/>
          </w:tcPr>
          <w:p w14:paraId="24A0930C" w14:textId="24F1D851" w:rsidR="00B558CF" w:rsidRPr="005C45D3" w:rsidRDefault="00B558CF" w:rsidP="00214A1B">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t>تكلفة التصنيع</w:t>
            </w:r>
          </w:p>
        </w:tc>
        <w:tc>
          <w:tcPr>
            <w:tcW w:w="1659" w:type="dxa"/>
          </w:tcPr>
          <w:p w14:paraId="3F35FBD1" w14:textId="0359FF63"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1760000</w:t>
            </w:r>
          </w:p>
        </w:tc>
        <w:tc>
          <w:tcPr>
            <w:tcW w:w="1659" w:type="dxa"/>
          </w:tcPr>
          <w:p w14:paraId="150A4D35" w14:textId="6BFE2D6D"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1810000</w:t>
            </w:r>
          </w:p>
        </w:tc>
        <w:tc>
          <w:tcPr>
            <w:tcW w:w="1659" w:type="dxa"/>
          </w:tcPr>
          <w:p w14:paraId="47409A48" w14:textId="05BCB946"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1880000</w:t>
            </w:r>
          </w:p>
        </w:tc>
        <w:tc>
          <w:tcPr>
            <w:tcW w:w="1660" w:type="dxa"/>
          </w:tcPr>
          <w:p w14:paraId="146BA68F" w14:textId="3A637341" w:rsidR="00B558CF" w:rsidRDefault="00B558CF" w:rsidP="00214A1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1890000</w:t>
            </w:r>
          </w:p>
        </w:tc>
      </w:tr>
    </w:tbl>
    <w:p w14:paraId="07195C80" w14:textId="7BD82110" w:rsidR="00214A1B" w:rsidRDefault="00B558CF" w:rsidP="00214A1B">
      <w:pPr>
        <w:bidi/>
        <w:rPr>
          <w:rFonts w:ascii="Traditional Arabic" w:hAnsi="Traditional Arabic" w:cs="Traditional Arabic"/>
          <w:sz w:val="32"/>
          <w:szCs w:val="32"/>
          <w:rtl/>
          <w:lang w:bidi="ar-DZ"/>
        </w:rPr>
      </w:pPr>
      <w:r w:rsidRPr="005C45D3">
        <w:rPr>
          <w:rFonts w:ascii="Traditional Arabic" w:hAnsi="Traditional Arabic" w:cs="Traditional Arabic" w:hint="cs"/>
          <w:b/>
          <w:bCs/>
          <w:sz w:val="32"/>
          <w:szCs w:val="32"/>
          <w:rtl/>
          <w:lang w:bidi="ar-DZ"/>
        </w:rPr>
        <w:t>المطلوب:</w:t>
      </w:r>
      <w:r>
        <w:rPr>
          <w:rFonts w:ascii="Traditional Arabic" w:hAnsi="Traditional Arabic" w:cs="Traditional Arabic" w:hint="cs"/>
          <w:sz w:val="32"/>
          <w:szCs w:val="32"/>
          <w:rtl/>
          <w:lang w:bidi="ar-DZ"/>
        </w:rPr>
        <w:t xml:space="preserve"> أحسب مؤشرات الجودة باستخدام البيانات السابقة.</w:t>
      </w:r>
    </w:p>
    <w:p w14:paraId="2F5E7142" w14:textId="77777777" w:rsidR="005C45D3" w:rsidRPr="005C45D3" w:rsidRDefault="00B558CF" w:rsidP="00B558CF">
      <w:pPr>
        <w:bidi/>
        <w:rPr>
          <w:rFonts w:ascii="Traditional Arabic" w:hAnsi="Traditional Arabic" w:cs="Traditional Arabic"/>
          <w:b/>
          <w:bCs/>
          <w:sz w:val="32"/>
          <w:szCs w:val="32"/>
          <w:rtl/>
          <w:lang w:bidi="ar-DZ"/>
        </w:rPr>
      </w:pPr>
      <w:r w:rsidRPr="005C45D3">
        <w:rPr>
          <w:rFonts w:ascii="Traditional Arabic" w:hAnsi="Traditional Arabic" w:cs="Traditional Arabic" w:hint="cs"/>
          <w:b/>
          <w:bCs/>
          <w:sz w:val="32"/>
          <w:szCs w:val="32"/>
          <w:rtl/>
          <w:lang w:bidi="ar-DZ"/>
        </w:rPr>
        <w:lastRenderedPageBreak/>
        <w:t>الحل:</w:t>
      </w:r>
      <w:r w:rsidR="005C45D3" w:rsidRPr="005C45D3">
        <w:rPr>
          <w:rFonts w:ascii="Traditional Arabic" w:hAnsi="Traditional Arabic" w:cs="Traditional Arabic" w:hint="cs"/>
          <w:b/>
          <w:bCs/>
          <w:sz w:val="32"/>
          <w:szCs w:val="32"/>
          <w:rtl/>
          <w:lang w:bidi="ar-DZ"/>
        </w:rPr>
        <w:t xml:space="preserve">  </w:t>
      </w:r>
    </w:p>
    <w:p w14:paraId="2D7952FB" w14:textId="01C6EEE0" w:rsidR="00B558CF"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التكلفة الكلية للجودة</w:t>
      </w:r>
    </w:p>
    <w:p w14:paraId="62B4C47B" w14:textId="7D0635CE" w:rsidR="005C45D3" w:rsidRPr="00812EDD"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val="ar-DZ" w:bidi="ar-DZ"/>
        </w:rPr>
        <mc:AlternateContent>
          <mc:Choice Requires="wps">
            <w:drawing>
              <wp:anchor distT="0" distB="0" distL="114300" distR="114300" simplePos="0" relativeHeight="251659264" behindDoc="0" locked="0" layoutInCell="1" allowOverlap="1" wp14:anchorId="54C208C4" wp14:editId="49C317DA">
                <wp:simplePos x="0" y="0"/>
                <wp:positionH relativeFrom="column">
                  <wp:posOffset>3067050</wp:posOffset>
                </wp:positionH>
                <wp:positionV relativeFrom="paragraph">
                  <wp:posOffset>170815</wp:posOffset>
                </wp:positionV>
                <wp:extent cx="1257300" cy="9525"/>
                <wp:effectExtent l="0" t="0" r="19050" b="28575"/>
                <wp:wrapNone/>
                <wp:docPr id="1" name="Connecteur droit 1"/>
                <wp:cNvGraphicFramePr/>
                <a:graphic xmlns:a="http://schemas.openxmlformats.org/drawingml/2006/main">
                  <a:graphicData uri="http://schemas.microsoft.com/office/word/2010/wordprocessingShape">
                    <wps:wsp>
                      <wps:cNvCnPr/>
                      <wps:spPr>
                        <a:xfrm flipH="1" flipV="1">
                          <a:off x="0" y="0"/>
                          <a:ext cx="1257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1DE90" id="Connecteur droit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3.45pt" to="3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" strokecolor="#4472c4 [3204]" strokeweight=".5pt">
                <v:stroke joinstyle="miter"/>
              </v:line>
            </w:pict>
          </mc:Fallback>
        </mc:AlternateContent>
      </w:r>
      <w:r>
        <w:rPr>
          <w:rFonts w:ascii="Traditional Arabic" w:hAnsi="Traditional Arabic" w:cs="Traditional Arabic" w:hint="cs"/>
          <w:sz w:val="32"/>
          <w:szCs w:val="32"/>
          <w:rtl/>
          <w:lang w:bidi="ar-DZ"/>
        </w:rPr>
        <w:t xml:space="preserve">مؤشر المبيعات =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100</w:t>
      </w:r>
    </w:p>
    <w:p w14:paraId="45FCD466" w14:textId="130007B6" w:rsidR="005C45D3"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قيمة المبيعات</w:t>
      </w:r>
    </w:p>
    <w:p w14:paraId="03347B61" w14:textId="0F6DFCCD" w:rsidR="005C45D3" w:rsidRDefault="005C45D3" w:rsidP="005C45D3">
      <w:pPr>
        <w:bidi/>
        <w:rPr>
          <w:rFonts w:ascii="Traditional Arabic" w:hAnsi="Traditional Arabic" w:cs="Traditional Arabic"/>
          <w:sz w:val="32"/>
          <w:szCs w:val="32"/>
          <w:rtl/>
          <w:lang w:bidi="ar-DZ"/>
        </w:rPr>
      </w:pPr>
    </w:p>
    <w:p w14:paraId="12F92CAB" w14:textId="77777777" w:rsidR="005C45D3" w:rsidRDefault="005C45D3" w:rsidP="005C45D3">
      <w:p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 xml:space="preserve">:   </w:t>
      </w:r>
      <w:proofErr w:type="gramEnd"/>
      <w:r>
        <w:rPr>
          <w:rFonts w:ascii="Traditional Arabic" w:hAnsi="Traditional Arabic" w:cs="Traditional Arabic" w:hint="cs"/>
          <w:sz w:val="32"/>
          <w:szCs w:val="32"/>
          <w:rtl/>
          <w:lang w:bidi="ar-DZ"/>
        </w:rPr>
        <w:t xml:space="preserve">             التكلفة الكلية للجودة</w:t>
      </w:r>
    </w:p>
    <w:p w14:paraId="7C335656" w14:textId="3E5B0179" w:rsidR="005C45D3" w:rsidRPr="00812EDD"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val="ar-DZ" w:bidi="ar-DZ"/>
        </w:rPr>
        <mc:AlternateContent>
          <mc:Choice Requires="wps">
            <w:drawing>
              <wp:anchor distT="0" distB="0" distL="114300" distR="114300" simplePos="0" relativeHeight="251661312" behindDoc="0" locked="0" layoutInCell="1" allowOverlap="1" wp14:anchorId="60CA3B29" wp14:editId="494C83D6">
                <wp:simplePos x="0" y="0"/>
                <wp:positionH relativeFrom="column">
                  <wp:posOffset>3067050</wp:posOffset>
                </wp:positionH>
                <wp:positionV relativeFrom="paragraph">
                  <wp:posOffset>170815</wp:posOffset>
                </wp:positionV>
                <wp:extent cx="1257300" cy="9525"/>
                <wp:effectExtent l="0" t="0" r="19050" b="28575"/>
                <wp:wrapNone/>
                <wp:docPr id="2" name="Connecteur droit 2"/>
                <wp:cNvGraphicFramePr/>
                <a:graphic xmlns:a="http://schemas.openxmlformats.org/drawingml/2006/main">
                  <a:graphicData uri="http://schemas.microsoft.com/office/word/2010/wordprocessingShape">
                    <wps:wsp>
                      <wps:cNvCnPr/>
                      <wps:spPr>
                        <a:xfrm flipH="1" flipV="1">
                          <a:off x="0" y="0"/>
                          <a:ext cx="125730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07C9E" id="Connecteur droit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3.45pt" to="3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" strokecolor="#4472c4" strokeweight=".5pt">
                <v:stroke joinstyle="miter"/>
              </v:line>
            </w:pict>
          </mc:Fallback>
        </mc:AlternateContent>
      </w:r>
      <w:r>
        <w:rPr>
          <w:rFonts w:ascii="Traditional Arabic" w:hAnsi="Traditional Arabic" w:cs="Traditional Arabic" w:hint="cs"/>
          <w:sz w:val="32"/>
          <w:szCs w:val="32"/>
          <w:rtl/>
          <w:lang w:bidi="ar-DZ"/>
        </w:rPr>
        <w:t>مؤشر ال</w:t>
      </w:r>
      <w:r>
        <w:rPr>
          <w:rFonts w:ascii="Traditional Arabic" w:hAnsi="Traditional Arabic" w:cs="Traditional Arabic" w:hint="cs"/>
          <w:sz w:val="32"/>
          <w:szCs w:val="32"/>
          <w:rtl/>
          <w:lang w:bidi="ar-DZ"/>
        </w:rPr>
        <w:t>إنتاج</w:t>
      </w:r>
      <w:r>
        <w:rPr>
          <w:rFonts w:ascii="Traditional Arabic" w:hAnsi="Traditional Arabic" w:cs="Traditional Arabic" w:hint="cs"/>
          <w:sz w:val="32"/>
          <w:szCs w:val="32"/>
          <w:rtl/>
          <w:lang w:bidi="ar-DZ"/>
        </w:rPr>
        <w:t xml:space="preserve"> =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100</w:t>
      </w:r>
    </w:p>
    <w:p w14:paraId="68299FFE" w14:textId="5D1CF919" w:rsidR="005C45D3" w:rsidRDefault="005C45D3" w:rsidP="005C45D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تكلفة التصنيع</w:t>
      </w:r>
    </w:p>
    <w:tbl>
      <w:tblPr>
        <w:tblStyle w:val="Grilledutableau"/>
        <w:tblpPr w:leftFromText="141" w:rightFromText="141" w:vertAnchor="text" w:tblpXSpec="center" w:tblpY="1"/>
        <w:tblOverlap w:val="never"/>
        <w:bidiVisual/>
        <w:tblW w:w="0" w:type="auto"/>
        <w:tblLook w:val="04A0" w:firstRow="1" w:lastRow="0" w:firstColumn="1" w:lastColumn="0" w:noHBand="0" w:noVBand="1"/>
      </w:tblPr>
      <w:tblGrid>
        <w:gridCol w:w="2679"/>
        <w:gridCol w:w="969"/>
        <w:gridCol w:w="1146"/>
        <w:gridCol w:w="1146"/>
        <w:gridCol w:w="1146"/>
      </w:tblGrid>
      <w:tr w:rsidR="00B558CF" w14:paraId="495CE197" w14:textId="77777777" w:rsidTr="005C45D3">
        <w:tc>
          <w:tcPr>
            <w:tcW w:w="2679" w:type="dxa"/>
          </w:tcPr>
          <w:p w14:paraId="4BFF4BF5" w14:textId="77777777" w:rsidR="00B558CF" w:rsidRDefault="00B558CF" w:rsidP="00B558CF">
            <w:pPr>
              <w:bidi/>
              <w:rPr>
                <w:rFonts w:ascii="Traditional Arabic" w:hAnsi="Traditional Arabic" w:cs="Traditional Arabic"/>
                <w:sz w:val="32"/>
                <w:szCs w:val="32"/>
                <w:rtl/>
                <w:lang w:bidi="ar-DZ"/>
              </w:rPr>
            </w:pPr>
          </w:p>
        </w:tc>
        <w:tc>
          <w:tcPr>
            <w:tcW w:w="969" w:type="dxa"/>
          </w:tcPr>
          <w:p w14:paraId="1C11C129" w14:textId="2CE03ED7"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2016</w:t>
            </w:r>
          </w:p>
        </w:tc>
        <w:tc>
          <w:tcPr>
            <w:tcW w:w="1146" w:type="dxa"/>
          </w:tcPr>
          <w:p w14:paraId="702BFC7C" w14:textId="343F3998"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2017</w:t>
            </w:r>
          </w:p>
        </w:tc>
        <w:tc>
          <w:tcPr>
            <w:tcW w:w="1146" w:type="dxa"/>
          </w:tcPr>
          <w:p w14:paraId="628222E5" w14:textId="2098A5C4"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2018</w:t>
            </w:r>
          </w:p>
        </w:tc>
        <w:tc>
          <w:tcPr>
            <w:tcW w:w="1146" w:type="dxa"/>
          </w:tcPr>
          <w:p w14:paraId="3581A327" w14:textId="7A91BD47"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2019</w:t>
            </w:r>
          </w:p>
        </w:tc>
      </w:tr>
      <w:tr w:rsidR="00B558CF" w14:paraId="603B1A26" w14:textId="77777777" w:rsidTr="005C45D3">
        <w:tc>
          <w:tcPr>
            <w:tcW w:w="2679" w:type="dxa"/>
          </w:tcPr>
          <w:p w14:paraId="0B473035" w14:textId="6B087404" w:rsidR="00B558CF" w:rsidRPr="00B558CF" w:rsidRDefault="00B558CF" w:rsidP="00B558CF">
            <w:pPr>
              <w:bidi/>
              <w:rPr>
                <w:rFonts w:ascii="Traditional Arabic" w:hAnsi="Traditional Arabic" w:cs="Traditional Arabic"/>
                <w:b/>
                <w:bCs/>
                <w:sz w:val="32"/>
                <w:szCs w:val="32"/>
                <w:rtl/>
                <w:lang w:bidi="ar-DZ"/>
              </w:rPr>
            </w:pPr>
            <w:r w:rsidRPr="00B558CF">
              <w:rPr>
                <w:rFonts w:ascii="Traditional Arabic" w:hAnsi="Traditional Arabic" w:cs="Traditional Arabic" w:hint="cs"/>
                <w:b/>
                <w:bCs/>
                <w:sz w:val="32"/>
                <w:szCs w:val="32"/>
                <w:rtl/>
                <w:lang w:bidi="ar-DZ"/>
              </w:rPr>
              <w:t xml:space="preserve">مؤشر المبيعات </w:t>
            </w:r>
            <w:proofErr w:type="gramStart"/>
            <w:r w:rsidRPr="00B558CF">
              <w:rPr>
                <w:rFonts w:ascii="Traditional Arabic" w:hAnsi="Traditional Arabic" w:cs="Traditional Arabic" w:hint="cs"/>
                <w:b/>
                <w:bCs/>
                <w:sz w:val="32"/>
                <w:szCs w:val="32"/>
                <w:rtl/>
                <w:lang w:bidi="ar-DZ"/>
              </w:rPr>
              <w:t xml:space="preserve">( </w:t>
            </w:r>
            <w:r w:rsidR="005C45D3">
              <w:rPr>
                <w:rFonts w:ascii="Traditional Arabic" w:hAnsi="Traditional Arabic" w:cs="Traditional Arabic"/>
                <w:sz w:val="32"/>
                <w:szCs w:val="32"/>
                <w:rtl/>
                <w:lang w:bidi="ar-DZ"/>
              </w:rPr>
              <w:t>%</w:t>
            </w:r>
            <w:proofErr w:type="gramEnd"/>
            <w:r w:rsidRPr="00B558CF">
              <w:rPr>
                <w:rFonts w:ascii="Traditional Arabic" w:hAnsi="Traditional Arabic" w:cs="Traditional Arabic" w:hint="cs"/>
                <w:b/>
                <w:bCs/>
                <w:sz w:val="32"/>
                <w:szCs w:val="32"/>
                <w:rtl/>
                <w:lang w:bidi="ar-DZ"/>
              </w:rPr>
              <w:t>)</w:t>
            </w:r>
          </w:p>
        </w:tc>
        <w:tc>
          <w:tcPr>
            <w:tcW w:w="969" w:type="dxa"/>
          </w:tcPr>
          <w:p w14:paraId="45110645" w14:textId="22DB17CF"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18.58</w:t>
            </w:r>
          </w:p>
        </w:tc>
        <w:tc>
          <w:tcPr>
            <w:tcW w:w="1146" w:type="dxa"/>
          </w:tcPr>
          <w:p w14:paraId="392A5491" w14:textId="2E1A176B"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18.63</w:t>
            </w:r>
          </w:p>
        </w:tc>
        <w:tc>
          <w:tcPr>
            <w:tcW w:w="1146" w:type="dxa"/>
          </w:tcPr>
          <w:p w14:paraId="27FB0DCD" w14:textId="696072E6"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12.66</w:t>
            </w:r>
          </w:p>
        </w:tc>
        <w:tc>
          <w:tcPr>
            <w:tcW w:w="1146" w:type="dxa"/>
          </w:tcPr>
          <w:p w14:paraId="654D441E" w14:textId="0266EA3D"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10.49</w:t>
            </w:r>
          </w:p>
        </w:tc>
      </w:tr>
      <w:tr w:rsidR="00B558CF" w14:paraId="55A43259" w14:textId="77777777" w:rsidTr="005C45D3">
        <w:tc>
          <w:tcPr>
            <w:tcW w:w="2679" w:type="dxa"/>
          </w:tcPr>
          <w:p w14:paraId="5667092E" w14:textId="76A4D6DE" w:rsidR="00B558CF" w:rsidRPr="00B558CF" w:rsidRDefault="00B558CF" w:rsidP="00B558CF">
            <w:pPr>
              <w:bidi/>
              <w:rPr>
                <w:rFonts w:ascii="Traditional Arabic" w:hAnsi="Traditional Arabic" w:cs="Traditional Arabic"/>
                <w:b/>
                <w:bCs/>
                <w:sz w:val="32"/>
                <w:szCs w:val="32"/>
                <w:rtl/>
                <w:lang w:bidi="ar-DZ"/>
              </w:rPr>
            </w:pPr>
            <w:r w:rsidRPr="00B558CF">
              <w:rPr>
                <w:rFonts w:ascii="Traditional Arabic" w:hAnsi="Traditional Arabic" w:cs="Traditional Arabic" w:hint="cs"/>
                <w:b/>
                <w:bCs/>
                <w:sz w:val="32"/>
                <w:szCs w:val="32"/>
                <w:rtl/>
                <w:lang w:bidi="ar-DZ"/>
              </w:rPr>
              <w:t>مؤشر الجودة للإنتاج</w:t>
            </w:r>
            <w:r w:rsidR="005C45D3">
              <w:rPr>
                <w:rFonts w:ascii="Traditional Arabic" w:hAnsi="Traditional Arabic" w:cs="Traditional Arabic" w:hint="cs"/>
                <w:b/>
                <w:bCs/>
                <w:sz w:val="32"/>
                <w:szCs w:val="32"/>
                <w:rtl/>
                <w:lang w:bidi="ar-DZ"/>
              </w:rPr>
              <w:t xml:space="preserve"> </w:t>
            </w:r>
            <w:proofErr w:type="gramStart"/>
            <w:r w:rsidR="005C45D3" w:rsidRPr="00B558CF">
              <w:rPr>
                <w:rFonts w:ascii="Traditional Arabic" w:hAnsi="Traditional Arabic" w:cs="Traditional Arabic" w:hint="cs"/>
                <w:b/>
                <w:bCs/>
                <w:sz w:val="32"/>
                <w:szCs w:val="32"/>
                <w:rtl/>
                <w:lang w:bidi="ar-DZ"/>
              </w:rPr>
              <w:t xml:space="preserve">( </w:t>
            </w:r>
            <w:r w:rsidR="005C45D3">
              <w:rPr>
                <w:rFonts w:ascii="Traditional Arabic" w:hAnsi="Traditional Arabic" w:cs="Traditional Arabic"/>
                <w:sz w:val="32"/>
                <w:szCs w:val="32"/>
                <w:rtl/>
                <w:lang w:bidi="ar-DZ"/>
              </w:rPr>
              <w:t>%</w:t>
            </w:r>
            <w:proofErr w:type="gramEnd"/>
            <w:r w:rsidR="005C45D3" w:rsidRPr="00B558CF">
              <w:rPr>
                <w:rFonts w:ascii="Traditional Arabic" w:hAnsi="Traditional Arabic" w:cs="Traditional Arabic" w:hint="cs"/>
                <w:b/>
                <w:bCs/>
                <w:sz w:val="32"/>
                <w:szCs w:val="32"/>
                <w:rtl/>
                <w:lang w:bidi="ar-DZ"/>
              </w:rPr>
              <w:t>)</w:t>
            </w:r>
          </w:p>
        </w:tc>
        <w:tc>
          <w:tcPr>
            <w:tcW w:w="969" w:type="dxa"/>
          </w:tcPr>
          <w:p w14:paraId="49D820B2" w14:textId="085AFFD3"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46.04</w:t>
            </w:r>
          </w:p>
        </w:tc>
        <w:tc>
          <w:tcPr>
            <w:tcW w:w="1146" w:type="dxa"/>
          </w:tcPr>
          <w:p w14:paraId="036B3797" w14:textId="6F1AFCDA"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45.18</w:t>
            </w:r>
          </w:p>
        </w:tc>
        <w:tc>
          <w:tcPr>
            <w:tcW w:w="1146" w:type="dxa"/>
          </w:tcPr>
          <w:p w14:paraId="4340570D" w14:textId="0B75F90E"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34.00</w:t>
            </w:r>
          </w:p>
        </w:tc>
        <w:tc>
          <w:tcPr>
            <w:tcW w:w="1146" w:type="dxa"/>
          </w:tcPr>
          <w:p w14:paraId="1658543C" w14:textId="424E184D"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28.80</w:t>
            </w:r>
          </w:p>
        </w:tc>
      </w:tr>
    </w:tbl>
    <w:p w14:paraId="6FBA0B9F" w14:textId="52498F3A" w:rsidR="00B558CF" w:rsidRDefault="00B558CF" w:rsidP="00B558CF">
      <w:pPr>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br w:type="textWrapping" w:clear="all"/>
      </w:r>
    </w:p>
    <w:sectPr w:rsidR="00B558C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8884E" w14:textId="77777777" w:rsidR="00924854" w:rsidRDefault="00924854" w:rsidP="00812EDD">
      <w:pPr>
        <w:spacing w:after="0" w:line="240" w:lineRule="auto"/>
      </w:pPr>
      <w:r>
        <w:separator/>
      </w:r>
    </w:p>
  </w:endnote>
  <w:endnote w:type="continuationSeparator" w:id="0">
    <w:p w14:paraId="787F622A" w14:textId="77777777" w:rsidR="00924854" w:rsidRDefault="00924854" w:rsidP="0081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824636"/>
      <w:docPartObj>
        <w:docPartGallery w:val="Page Numbers (Bottom of Page)"/>
        <w:docPartUnique/>
      </w:docPartObj>
    </w:sdtPr>
    <w:sdtContent>
      <w:p w14:paraId="0161427B" w14:textId="1744AE60" w:rsidR="009E023F" w:rsidRDefault="009E023F">
        <w:pPr>
          <w:pStyle w:val="Pieddepage"/>
        </w:pPr>
        <w:r>
          <w:rPr>
            <w:noProof/>
          </w:rPr>
          <mc:AlternateContent>
            <mc:Choice Requires="wpg">
              <w:drawing>
                <wp:anchor distT="0" distB="0" distL="114300" distR="114300" simplePos="0" relativeHeight="251659264" behindDoc="0" locked="0" layoutInCell="0" allowOverlap="1" wp14:anchorId="3537907D" wp14:editId="36DB1B69">
                  <wp:simplePos x="0" y="0"/>
                  <wp:positionH relativeFrom="margin">
                    <wp:align>center</wp:align>
                  </wp:positionH>
                  <wp:positionV relativeFrom="bottomMargin">
                    <wp:align>center</wp:align>
                  </wp:positionV>
                  <wp:extent cx="419100" cy="321945"/>
                  <wp:effectExtent l="0" t="19050" r="0" b="1143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4"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E82C" w14:textId="77777777" w:rsidR="009E023F" w:rsidRDefault="009E023F">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7" name="Group 91"/>
                          <wpg:cNvGrpSpPr>
                            <a:grpSpLocks/>
                          </wpg:cNvGrpSpPr>
                          <wpg:grpSpPr bwMode="auto">
                            <a:xfrm>
                              <a:off x="1775" y="14647"/>
                              <a:ext cx="571" cy="314"/>
                              <a:chOff x="1705" y="14935"/>
                              <a:chExt cx="682" cy="375"/>
                            </a:xfrm>
                          </wpg:grpSpPr>
                          <wps:wsp>
                            <wps:cNvPr id="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37907D" id="Groupe 3"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cOxAAAANoAAAAPAAAAZHJzL2Rvd25yZXYueG1sRI9Ba8JA&#10;FITvhf6H5RV6qxuFik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FTYxw7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" filled="f" stroked="f">
                    <v:textbox inset="0,2.16pt,0,0">
                      <w:txbxContent>
                        <w:p w14:paraId="2FAEE82C" w14:textId="77777777" w:rsidR="009E023F" w:rsidRDefault="009E023F">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7DC03" w14:textId="77777777" w:rsidR="00924854" w:rsidRDefault="00924854" w:rsidP="00812EDD">
      <w:pPr>
        <w:spacing w:after="0" w:line="240" w:lineRule="auto"/>
      </w:pPr>
      <w:r>
        <w:separator/>
      </w:r>
    </w:p>
  </w:footnote>
  <w:footnote w:type="continuationSeparator" w:id="0">
    <w:p w14:paraId="21EE157C" w14:textId="77777777" w:rsidR="00924854" w:rsidRDefault="00924854" w:rsidP="00812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BC64" w14:textId="42A0CDBF" w:rsidR="00812EDD" w:rsidRPr="00812EDD" w:rsidRDefault="00812EDD" w:rsidP="00812EDD">
    <w:pPr>
      <w:pStyle w:val="En-tte"/>
      <w:jc w:val="center"/>
      <w:rPr>
        <w:rFonts w:ascii="Traditional Arabic" w:hAnsi="Traditional Arabic" w:cs="Traditional Arabic"/>
        <w:b/>
        <w:bCs/>
        <w:sz w:val="32"/>
        <w:szCs w:val="32"/>
        <w:lang w:bidi="ar-DZ"/>
      </w:rPr>
    </w:pPr>
    <w:r w:rsidRPr="00812EDD">
      <w:rPr>
        <w:rFonts w:ascii="Traditional Arabic" w:hAnsi="Traditional Arabic" w:cs="Traditional Arabic"/>
        <w:b/>
        <w:bCs/>
        <w:sz w:val="32"/>
        <w:szCs w:val="32"/>
        <w:rtl/>
        <w:lang w:bidi="ar-DZ"/>
      </w:rPr>
      <w:t>المحاضرة السادسة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E55323"/>
    <w:multiLevelType w:val="hybridMultilevel"/>
    <w:tmpl w:val="B6AA3A66"/>
    <w:lvl w:ilvl="0" w:tplc="B72498F6">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DD"/>
    <w:rsid w:val="000C1A9A"/>
    <w:rsid w:val="00144723"/>
    <w:rsid w:val="001847DC"/>
    <w:rsid w:val="00214A1B"/>
    <w:rsid w:val="0056355F"/>
    <w:rsid w:val="005C45D3"/>
    <w:rsid w:val="007358DD"/>
    <w:rsid w:val="00812EDD"/>
    <w:rsid w:val="00924854"/>
    <w:rsid w:val="009E023F"/>
    <w:rsid w:val="00B558CF"/>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5B9B"/>
  <w15:chartTrackingRefBased/>
  <w15:docId w15:val="{D3BA42EB-400B-44E5-A4E7-CC7698E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2EDD"/>
    <w:pPr>
      <w:tabs>
        <w:tab w:val="center" w:pos="4153"/>
        <w:tab w:val="right" w:pos="8306"/>
      </w:tabs>
      <w:spacing w:after="0" w:line="240" w:lineRule="auto"/>
    </w:pPr>
  </w:style>
  <w:style w:type="character" w:customStyle="1" w:styleId="En-tteCar">
    <w:name w:val="En-tête Car"/>
    <w:basedOn w:val="Policepardfaut"/>
    <w:link w:val="En-tte"/>
    <w:uiPriority w:val="99"/>
    <w:rsid w:val="00812EDD"/>
  </w:style>
  <w:style w:type="paragraph" w:styleId="Pieddepage">
    <w:name w:val="footer"/>
    <w:basedOn w:val="Normal"/>
    <w:link w:val="PieddepageCar"/>
    <w:uiPriority w:val="99"/>
    <w:unhideWhenUsed/>
    <w:rsid w:val="00812ED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12EDD"/>
  </w:style>
  <w:style w:type="paragraph" w:styleId="Paragraphedeliste">
    <w:name w:val="List Paragraph"/>
    <w:basedOn w:val="Normal"/>
    <w:uiPriority w:val="34"/>
    <w:qFormat/>
    <w:rsid w:val="00812EDD"/>
    <w:pPr>
      <w:ind w:left="720"/>
      <w:contextualSpacing/>
    </w:pPr>
  </w:style>
  <w:style w:type="table" w:styleId="Grilledutableau">
    <w:name w:val="Table Grid"/>
    <w:basedOn w:val="TableauNormal"/>
    <w:uiPriority w:val="39"/>
    <w:rsid w:val="00B5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2020-06-11T17:34:00Z</dcterms:created>
  <dcterms:modified xsi:type="dcterms:W3CDTF">2020-06-11T18:46:00Z</dcterms:modified>
</cp:coreProperties>
</file>