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BC" w:rsidRPr="00244B6F" w:rsidRDefault="00B401BC" w:rsidP="00244B6F">
      <w:pPr>
        <w:pStyle w:val="Paragraphedeliste"/>
        <w:numPr>
          <w:ilvl w:val="0"/>
          <w:numId w:val="1"/>
        </w:numPr>
        <w:bidi/>
        <w:spacing w:before="100" w:beforeAutospacing="1" w:after="100" w:afterAutospacing="1"/>
        <w:jc w:val="center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آثار عقد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 xml:space="preserve">الرهن الرسمي </w:t>
      </w:r>
    </w:p>
    <w:p w:rsidR="0006627C" w:rsidRPr="00244B6F" w:rsidRDefault="00B401BC" w:rsidP="00244B6F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آثار عقد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الرهن الرسمي</w:t>
      </w:r>
    </w:p>
    <w:p w:rsidR="002D568D" w:rsidRPr="00244B6F" w:rsidRDefault="002D568D" w:rsidP="00244B6F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</w:pPr>
    </w:p>
    <w:p w:rsidR="002D568D" w:rsidRPr="00244B6F" w:rsidRDefault="002D568D" w:rsidP="00244B6F">
      <w:pPr>
        <w:bidi/>
        <w:spacing w:line="276" w:lineRule="auto"/>
        <w:jc w:val="left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نتناول في هذا المقام اثار هذا العقد بالنسبة للراهن و المرتهن و حتى بالنسبة للغير و ذلك كالتالي :</w:t>
      </w:r>
    </w:p>
    <w:p w:rsidR="000D1040" w:rsidRPr="00244B6F" w:rsidRDefault="00B401BC" w:rsidP="00244B6F">
      <w:pPr>
        <w:bidi/>
        <w:spacing w:before="100" w:beforeAutospacing="1" w:after="100" w:afterAutospacing="1" w:line="276" w:lineRule="auto"/>
        <w:ind w:firstLine="566"/>
        <w:jc w:val="both"/>
        <w:rPr>
          <w:rFonts w:asciiTheme="majorBidi" w:hAnsiTheme="majorBidi" w:cs="Simplified Arabic"/>
          <w:sz w:val="36"/>
          <w:szCs w:val="36"/>
          <w:highlight w:val="yellow"/>
          <w:rtl/>
          <w:lang w:bidi="ar-DZ"/>
        </w:rPr>
      </w:pPr>
      <w:r w:rsidRPr="00244B6F">
        <w:rPr>
          <w:rFonts w:asciiTheme="majorBidi" w:hAnsiTheme="majorBidi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آثار الرهن الرسمي بالنسبة للراهن</w:t>
      </w:r>
      <w:r w:rsidR="000D1040" w:rsidRPr="00244B6F">
        <w:rPr>
          <w:rFonts w:asciiTheme="majorBidi" w:hAnsiTheme="majorBidi" w:cs="Simplified Arabic" w:hint="cs"/>
          <w:sz w:val="36"/>
          <w:szCs w:val="36"/>
          <w:highlight w:val="yellow"/>
          <w:rtl/>
          <w:lang w:bidi="ar-DZ"/>
        </w:rPr>
        <w:t xml:space="preserve"> </w:t>
      </w:r>
    </w:p>
    <w:p w:rsidR="001A0294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Theme="majorBidi" w:hAnsiTheme="majorBidi" w:cs="Simplified Arabic" w:hint="cs"/>
          <w:b/>
          <w:bCs/>
          <w:sz w:val="36"/>
          <w:szCs w:val="36"/>
          <w:highlight w:val="yellow"/>
          <w:rtl/>
          <w:lang w:bidi="ar-DZ"/>
        </w:rPr>
        <w:t>أولا:</w:t>
      </w:r>
      <w:proofErr w:type="spellEnd"/>
      <w:r w:rsidRPr="00244B6F">
        <w:rPr>
          <w:rFonts w:asciiTheme="majorBidi" w:hAnsiTheme="majorBidi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الالتزام بضمان سلامة الرهن:</w:t>
      </w:r>
    </w:p>
    <w:p w:rsidR="000D1040" w:rsidRPr="00244B6F" w:rsidRDefault="001A0294" w:rsidP="00244B6F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Simplified Arabic"/>
          <w:b/>
          <w:bCs/>
          <w:sz w:val="36"/>
          <w:szCs w:val="36"/>
          <w:rtl/>
          <w:lang w:bidi="ar-DZ"/>
        </w:rPr>
      </w:pPr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 xml:space="preserve">جاء في 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نص المادة 898 ق م ج انه </w:t>
      </w:r>
      <w:r w:rsidR="000D1040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يلتزم الراهن بضمان سلامة </w:t>
      </w:r>
      <w:proofErr w:type="spellStart"/>
      <w:r w:rsidR="000D1040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الرهن،</w:t>
      </w:r>
      <w:proofErr w:type="spellEnd"/>
      <w:r w:rsidR="000D1040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وللدائن المرتهن أن يعترض على كل عمل أو تقصير من شأنه إنقاص الضمان إنقاصا </w:t>
      </w:r>
      <w:proofErr w:type="spellStart"/>
      <w:r w:rsidR="000D1040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كبيرا،</w:t>
      </w:r>
      <w:proofErr w:type="spellEnd"/>
      <w:r w:rsidR="000D1040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وله في حالة الاستعجال أن يتخذ ما يلزم من الوسائل التحفظية اللازمة وأن يرجع على الراهن بما ينفق في ذلك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.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Theme="majorBidi" w:hAnsiTheme="majorBidi" w:cs="Simplified Arabic" w:hint="cs"/>
          <w:b/>
          <w:bCs/>
          <w:sz w:val="36"/>
          <w:szCs w:val="36"/>
          <w:highlight w:val="yellow"/>
          <w:rtl/>
          <w:lang w:bidi="ar-DZ"/>
        </w:rPr>
        <w:t>ثانيا:</w:t>
      </w:r>
      <w:proofErr w:type="spellEnd"/>
      <w:r w:rsidRPr="00244B6F">
        <w:rPr>
          <w:rFonts w:asciiTheme="majorBidi" w:hAnsiTheme="majorBidi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سلطات الراهن على العقار المرهون: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both"/>
        <w:rPr>
          <w:rFonts w:asciiTheme="majorBidi" w:hAnsiTheme="majorBidi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>1-</w:t>
      </w:r>
      <w:proofErr w:type="spellEnd"/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 xml:space="preserve"> حق الراهن في التصرف في العقار </w:t>
      </w:r>
      <w:proofErr w:type="spellStart"/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>المرهون:</w:t>
      </w:r>
      <w:proofErr w:type="spellEnd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يجوز للراهن أن يتصرف في العقار </w:t>
      </w:r>
      <w:proofErr w:type="spellStart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المرهون،</w:t>
      </w:r>
      <w:proofErr w:type="spellEnd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على أن أي تصرف يصدر منه لا يؤثر في حق الدائن المرتهن</w:t>
      </w:r>
      <w:r w:rsidR="001A0294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و عليه 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فإن تصرفات الراهن التي يجريها على العقار المرهون لا تنفذ في حق الدائن المرتهن أي أن الملكية تنتقل مثقلة بالرهن مادام حق الراهن مقيدا قبل التصرف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both"/>
        <w:rPr>
          <w:rFonts w:asciiTheme="majorBidi" w:hAnsiTheme="majorBidi" w:cs="Simplified Arabic"/>
          <w:sz w:val="36"/>
          <w:szCs w:val="36"/>
          <w:rtl/>
          <w:lang w:bidi="ar-DZ"/>
        </w:rPr>
      </w:pPr>
      <w:proofErr w:type="gramStart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lastRenderedPageBreak/>
        <w:t>وتنص</w:t>
      </w:r>
      <w:proofErr w:type="gramEnd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المادة 935 ق م ج على:</w:t>
      </w:r>
      <w:r w:rsidR="001A0294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"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لا يترتب على بيع عقار مرهون انتقال الدين إلى المشتري</w:t>
      </w:r>
      <w:r w:rsidR="001A0294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إلا إذا وجد اتفاق صريح على ذلك"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both"/>
        <w:rPr>
          <w:rFonts w:asciiTheme="majorBidi" w:hAnsiTheme="majorBidi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>2-</w:t>
      </w:r>
      <w:proofErr w:type="spellEnd"/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 xml:space="preserve"> حق الراهن في استغلال واستعمال العقار </w:t>
      </w:r>
      <w:proofErr w:type="spellStart"/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>المرهون:</w:t>
      </w:r>
      <w:proofErr w:type="spellEnd"/>
      <w:r w:rsidR="001A0294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يجوز له استعماله كما كان يستعمله قبل الرهن فإذا كان سكنا كان له الحق في أن </w:t>
      </w:r>
      <w:proofErr w:type="spellStart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يسكنه،</w:t>
      </w:r>
      <w:proofErr w:type="spellEnd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 كما يكون له الحق في استغلال العقار المرهون بإيجاره مثلا وذلك استنادا إلى نص المادة 895 ق م ج: </w:t>
      </w:r>
      <w:r w:rsidR="001A0294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"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 xml:space="preserve">إن للراهن الحق في إدارة العقار المرهون وفي قبض ثماره إلى وقت التحاقها </w:t>
      </w:r>
      <w:proofErr w:type="spellStart"/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بالعقار</w:t>
      </w:r>
      <w:r w:rsidR="001A0294"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"</w:t>
      </w:r>
      <w:r w:rsidRPr="00244B6F">
        <w:rPr>
          <w:rFonts w:asciiTheme="majorBidi" w:hAnsiTheme="majorBidi" w:cs="Simplified Arabic" w:hint="cs"/>
          <w:sz w:val="36"/>
          <w:szCs w:val="36"/>
          <w:rtl/>
          <w:lang w:bidi="ar-DZ"/>
        </w:rPr>
        <w:t>.</w:t>
      </w:r>
      <w:proofErr w:type="spellEnd"/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Theme="majorBidi" w:hAnsiTheme="majorBidi" w:cs="Simplified Arabic"/>
          <w:b/>
          <w:bCs/>
          <w:sz w:val="36"/>
          <w:szCs w:val="36"/>
          <w:rtl/>
          <w:lang w:bidi="ar-DZ"/>
        </w:rPr>
      </w:pPr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Theme="majorBidi" w:hAnsiTheme="majorBidi" w:cs="Simplified Arabic" w:hint="cs"/>
          <w:b/>
          <w:bCs/>
          <w:sz w:val="36"/>
          <w:szCs w:val="36"/>
          <w:highlight w:val="yellow"/>
          <w:rtl/>
          <w:lang w:bidi="ar-DZ"/>
        </w:rPr>
        <w:t>آثار الرهن الرسمي بالنسبة للدائن المرتهن:</w:t>
      </w:r>
      <w:r w:rsidRPr="00244B6F"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أولا: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حقوق</w:t>
      </w:r>
      <w:proofErr w:type="gram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الدائن المرتهن</w:t>
      </w:r>
    </w:p>
    <w:p w:rsidR="000D1040" w:rsidRPr="00244B6F" w:rsidRDefault="001A0294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تنص المادة 902 ق م ج على "</w:t>
      </w:r>
      <w:r w:rsidR="000D104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يمكن للدائن بعد التنبيه على المدين </w:t>
      </w:r>
      <w:proofErr w:type="spellStart"/>
      <w:r w:rsidR="000D104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بالوفاء،</w:t>
      </w:r>
      <w:proofErr w:type="spellEnd"/>
      <w:r w:rsidR="000D104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أن ينفذ بحقه على العقار المرهون ويطلب بيعه في الآجال وفقا للأوضاع المقررة في قانون الإجراءات المدنية.</w:t>
      </w:r>
    </w:p>
    <w:p w:rsidR="001368BD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وإن كان الراهن شخصا آخر غير المدين جاز له تفادي أي إجراء موجه إليه إن تخلى على العقار المرهون وفقا للأوضاع والأحكام الت</w:t>
      </w:r>
      <w:r w:rsidR="001A0294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 يتبعها الحائز في </w:t>
      </w:r>
      <w:proofErr w:type="spellStart"/>
      <w:r w:rsidR="001A0294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تخلية</w:t>
      </w:r>
      <w:proofErr w:type="spellEnd"/>
      <w:r w:rsidR="001A0294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العقار"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ثانيا: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القيود الواردة على حق </w:t>
      </w:r>
      <w:proofErr w:type="gram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الدائن</w:t>
      </w:r>
      <w:proofErr w:type="gram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المرتهن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>إذا حل أجل الدين ولم يقم المدين</w:t>
      </w:r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بالوفاء جاز للدائن اتخاذ إجراء</w:t>
      </w:r>
      <w:r w:rsidR="00D876F9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ات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</w:t>
      </w:r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لتنفيذ على العقار المرهون وذلك</w:t>
      </w: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باتباع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إجراءات بيع العقار بالمزاد العلني واستيفاء حقه من ثمن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فيمنع القانون اشتراط تملك العقار المرهون عند عدم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الوفاء،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</w:t>
      </w: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اشتراط بيعه دون اتباع الإجراءات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القانونية،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وهي تشكل قيودا على الدائن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المرت</w:t>
      </w:r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هن،</w:t>
      </w:r>
      <w:proofErr w:type="spellEnd"/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إ</w:t>
      </w:r>
      <w:r w:rsidR="00D876F9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ذ انها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تقررت لتحقيق الت</w:t>
      </w:r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وازن بين مصالح </w:t>
      </w:r>
      <w:proofErr w:type="spellStart"/>
      <w:r w:rsidR="00D876F9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الطرفين</w:t>
      </w:r>
      <w:r w:rsidR="00D876F9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</w:t>
      </w:r>
      <w:r w:rsidR="00D876F9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حماية للمدين باعتباره الطرف الضعيف من إمكانية استغلال حاجته من الدائن لفرض شروط قاسية عليه</w:t>
      </w:r>
      <w:r w:rsidR="00D876F9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.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</w:pPr>
      <w:proofErr w:type="gram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المطلب</w:t>
      </w:r>
      <w:proofErr w:type="gram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الثاني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:</w:t>
      </w:r>
      <w:proofErr w:type="spellEnd"/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 xml:space="preserve"> </w:t>
      </w:r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آثار الرهن الرسمي في مواجهة الغير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الفرع</w:t>
      </w:r>
      <w:proofErr w:type="gram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الأول: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قيد الرهن الرسمي لتمكين الراهن من مركزه الممتاز</w:t>
      </w: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يخضع الرهن الرسمي للشهر العقاري وباعتباره حقا عينيا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تبعيا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فهو يخضع لإجراء القيد وليس لإجراء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التسجيل،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والقيد يتم بنقل ملخص عقد الرهن الرسمي إلى السجل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العقاري،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بتدوين مبلغ الدين وتعيين العقار المثقل بالرهن واسم الدائن </w:t>
      </w:r>
      <w:r w:rsidR="00AC2442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D64316" w:rsidRPr="00244B6F" w:rsidRDefault="00777848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 </w:t>
      </w:r>
      <w:proofErr w:type="gram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قيد</w:t>
      </w:r>
      <w:proofErr w:type="gram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الرهن الرسمي ليس شرطا لانعقاد الرهن الرسمي وإنما هو شرط </w:t>
      </w:r>
      <w:proofErr w:type="spell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لنفاذه،</w:t>
      </w:r>
      <w:proofErr w:type="spell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وقد أحال القانون المدني الجزائري من خلال نص المادة 905 منه تنظيم إجراء قيد عقد الرهن الرسمي وتجديده وشطبه إلى القانون الذي ينظم الشهر العقاري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حيث نصت المادة 16 من الأمر رقم 75/74 المؤرخ في 12/11/1975 المتضمن إعداد مسح الأراضي العام وتأسيس السجل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العقاري،على: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777848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إن العقود الإرادية والاتفاقات التي ترمي إلى إنشاء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أونقل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تصريح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أوتعديل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انقضاء حق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>عيني،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لا يكون لها أثر حتى بين الأطراف إلا من تاريخ نشرها في مجموعة البطاقات </w:t>
      </w:r>
      <w:proofErr w:type="spellStart"/>
      <w:r w:rsidR="00777848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العقارية</w:t>
      </w:r>
      <w:r w:rsidR="00777848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proofErr w:type="spellEnd"/>
      <w:r w:rsidR="00777848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C742A6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proofErr w:type="gram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الفرع</w:t>
      </w:r>
      <w:proofErr w:type="gram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الثاني: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 xml:space="preserve">حق </w:t>
      </w:r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الدائن في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التقدم (الأفضلية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أولا: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مرتبة</w:t>
      </w:r>
      <w:proofErr w:type="gram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الدائن المرتهن </w:t>
      </w:r>
    </w:p>
    <w:p w:rsidR="00C742A6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تتحدد مرتبة الدائن المرتهن من تاريخ إجراء القيد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بغض</w:t>
      </w:r>
      <w:proofErr w:type="gram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النظر عن تاريخ إبرام العقد حيث تنص المادة 908 </w:t>
      </w: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ق.م.ج</w:t>
      </w:r>
      <w:r w:rsidR="00C742A6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="00C742A6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على:</w:t>
      </w:r>
      <w:proofErr w:type="spellEnd"/>
      <w:r w:rsidR="00C742A6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="00C742A6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proofErr w:type="spellEnd"/>
      <w:r w:rsidR="00C742A6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تحسب مرتبة الرهن من وقت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تقييده،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ولو كان الدين المضمون بالرهن معلقا على</w:t>
      </w:r>
      <w:r w:rsidR="00C742A6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شرط أو كان مستقبلا أو احتماليا</w:t>
      </w:r>
      <w:r w:rsidR="00C742A6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C742A6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حيث أنه بإجراء القيد يتقدم الدائن المرتهن على الدائنين العاديين والدائنين التاليين له ف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ي المرتبة</w:t>
      </w:r>
      <w:proofErr w:type="gramEnd"/>
      <w:r w:rsidR="00C742A6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.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ثانيا: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الحقوق التي يستوفيها الدائن المرتهن بميزة التقدم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تشمل الحقوق التي يستوفيها الدائن المرتهن بطريق الأفضلية والأولوية كلا من أصل الدين المضمون بالرهن وفوائده ومصروفاته التي تتمثل في مصاريف العقد والقيد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والتجديد </w:t>
      </w:r>
      <w:r w:rsidR="0047368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proofErr w:type="gram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الفرع</w:t>
      </w:r>
      <w:proofErr w:type="gram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الثالث: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 xml:space="preserve">حق </w:t>
      </w:r>
      <w:r w:rsidRPr="00244B6F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الدائن في ال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تتبع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أولا: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تعريف</w:t>
      </w:r>
      <w:proofErr w:type="gram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حق التتبع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يقصد بالتتبع حق الدائن المرتهن في التنفيذ على العقار المرهون في أي يد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يكون </w:t>
      </w:r>
      <w:r w:rsidR="0047368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proofErr w:type="gramEnd"/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ثانيا: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شروط</w:t>
      </w:r>
      <w:proofErr w:type="gram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ممارسة حق التتبع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الشروط </w:t>
      </w:r>
      <w:proofErr w:type="gram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المتعلقة</w:t>
      </w:r>
      <w:proofErr w:type="gram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بالدائن: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أ-</w:t>
      </w:r>
      <w:proofErr w:type="spellEnd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حلول أجل الدين</w:t>
      </w:r>
      <w:r w:rsidR="00B703BD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المادة </w:t>
      </w:r>
      <w:proofErr w:type="spellStart"/>
      <w:r w:rsidR="00B703BD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911ق</w:t>
      </w:r>
      <w:proofErr w:type="spellEnd"/>
      <w:r w:rsidR="00B703BD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مج .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ب-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أن</w:t>
      </w:r>
      <w:proofErr w:type="gram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يكون الرهن ساريا في مواجهة الحائز بأن يكون مقيدا بالأسبقية على تسجيل الحائز حقه في السجل العقاري.</w:t>
      </w:r>
    </w:p>
    <w:p w:rsidR="00587D03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الشروط </w:t>
      </w:r>
      <w:proofErr w:type="gram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المتعلقة</w:t>
      </w:r>
      <w:proofErr w:type="gram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بالحائز: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أ-</w:t>
      </w:r>
      <w:proofErr w:type="spellEnd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أن</w:t>
      </w:r>
      <w:proofErr w:type="gram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يكون الحائز قد اكتسب ملكية العقار المرهون أو حقا عينيا عليه قابلا للرهن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ب-</w:t>
      </w:r>
      <w:proofErr w:type="spellEnd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أن يكون الحائز قد اكتسب الملكية أو الحق العيني بعد قيد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الرهن</w:t>
      </w:r>
      <w:r w:rsidR="0047368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.</w:t>
      </w:r>
      <w:proofErr w:type="gramEnd"/>
    </w:p>
    <w:p w:rsidR="0047368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جـ-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ألا يحول سند الحائز دون ممارسة حق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التتبع</w:t>
      </w:r>
      <w:r w:rsidR="0047368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47368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proofErr w:type="spellEnd"/>
      <w:proofErr w:type="gramEnd"/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د-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ألا يكون الحائز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مسؤولا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مسؤولية شخصية عن الدين المضمون بالرهن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ثالثا: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إجراءات ممارسة الدائن لحق التتبع وخيارات الحائز </w:t>
      </w:r>
    </w:p>
    <w:p w:rsidR="000D1040" w:rsidRPr="00244B6F" w:rsidRDefault="00587D03" w:rsidP="00244B6F">
      <w:pPr>
        <w:bidi/>
        <w:spacing w:before="100" w:beforeAutospacing="1" w:after="100" w:afterAutospacing="1" w:line="276" w:lineRule="auto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1/</w:t>
      </w:r>
      <w:proofErr w:type="spellEnd"/>
      <w:r w:rsidR="000D1040"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0D1040"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إجراءات ممارسة حق التتبع:</w:t>
      </w:r>
    </w:p>
    <w:p w:rsidR="00587D03" w:rsidRPr="00244B6F" w:rsidRDefault="000D1040" w:rsidP="00244B6F">
      <w:pPr>
        <w:bidi/>
        <w:spacing w:before="100" w:beforeAutospacing="1" w:after="100" w:afterAutospacing="1" w:line="276" w:lineRule="auto"/>
        <w:ind w:left="114"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التنبيه على المدين 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بالوفاء: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ويسمى التنبيه بنزع الملكية أو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التنبيه</w:t>
      </w:r>
      <w:proofErr w:type="gram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العقاري</w:t>
      </w:r>
      <w:proofErr w:type="spellEnd"/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left="114" w:firstLine="566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ب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إنذار الحائز بالدفع أو 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بالتخلية</w:t>
      </w:r>
      <w:proofErr w:type="spellEnd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ويكون إنذارا رسميا بعد التنبيه بنزع الملكية أو معه ولكن لا يجوز تقديمه على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التنبيه،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ويجب أن يكون الإنذار مرفقا بتنبيه المدين وإلا كان باطلا. </w:t>
      </w:r>
    </w:p>
    <w:p w:rsidR="00587D03" w:rsidRPr="00244B6F" w:rsidRDefault="000D1040" w:rsidP="00244B6F">
      <w:pPr>
        <w:bidi/>
        <w:spacing w:before="100" w:beforeAutospacing="1" w:after="100" w:afterAutospacing="1" w:line="276" w:lineRule="auto"/>
        <w:ind w:left="114"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ج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تسجيل التنبيه بنزع 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الملكية: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</w:t>
      </w:r>
      <w:r w:rsidR="00587D03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87D03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قد </w:t>
      </w:r>
      <w:r w:rsidR="00587D03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اشار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المشرع الجزائري إلى وجوب تسجيل ا</w:t>
      </w:r>
      <w:r w:rsidR="00587D03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لتنبيه بنزع الملكية 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من خلال نص</w:t>
      </w:r>
      <w:r w:rsidR="00587D03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ين قانونيين </w:t>
      </w:r>
    </w:p>
    <w:p w:rsidR="00587D03" w:rsidRPr="00244B6F" w:rsidRDefault="000D1040" w:rsidP="00244B6F">
      <w:pPr>
        <w:bidi/>
        <w:spacing w:before="100" w:beforeAutospacing="1" w:after="100" w:afterAutospacing="1" w:line="276" w:lineRule="auto"/>
        <w:ind w:left="114"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gram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المادة</w:t>
      </w:r>
      <w:proofErr w:type="gram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922 </w:t>
      </w: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ق.م.ج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="00587D03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..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ويجب أن يطلب التأشير بذلك في هامش تسجيل التنبيه بنزع </w:t>
      </w:r>
      <w:r w:rsidR="00587D03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الملكية...</w:t>
      </w:r>
      <w:proofErr w:type="spellStart"/>
      <w:r w:rsidR="00587D03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proofErr w:type="spellEnd"/>
    </w:p>
    <w:p w:rsidR="00587D03" w:rsidRPr="00244B6F" w:rsidRDefault="00587D03" w:rsidP="00244B6F">
      <w:pPr>
        <w:bidi/>
        <w:spacing w:before="100" w:beforeAutospacing="1" w:after="100" w:afterAutospacing="1" w:line="276" w:lineRule="auto"/>
        <w:ind w:left="114"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و</w:t>
      </w:r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المادة 725/2 من قانو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ن الإجراءات المدنية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والإدارية: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proofErr w:type="spellEnd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يودع أمر الحجز على </w:t>
      </w:r>
      <w:proofErr w:type="spell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الفور،</w:t>
      </w:r>
      <w:proofErr w:type="spell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في اليوم الموالي للتبليغ الرسمي كأقصى أجل في مصلحة الشهر العقاري التابع لها </w:t>
      </w:r>
      <w:proofErr w:type="spell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العقار،</w:t>
      </w:r>
      <w:proofErr w:type="spell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لقيد أمر </w:t>
      </w:r>
      <w:proofErr w:type="spell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الحجز،</w:t>
      </w:r>
      <w:proofErr w:type="spell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ويعد العقار و/أو الحق العيني العقاري محجوزا من تاريخ </w:t>
      </w:r>
      <w:proofErr w:type="spell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القيد</w:t>
      </w: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proofErr w:type="spell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</w:p>
    <w:p w:rsidR="000D1040" w:rsidRPr="00244B6F" w:rsidRDefault="000D1040" w:rsidP="00244B6F">
      <w:pPr>
        <w:bidi/>
        <w:spacing w:before="100" w:beforeAutospacing="1" w:after="100" w:afterAutospacing="1" w:line="276" w:lineRule="auto"/>
        <w:ind w:left="114"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</w:t>
      </w:r>
      <w:proofErr w:type="spellStart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  <w:proofErr w:type="spellEnd"/>
      <w:r w:rsidRPr="00244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خيارات الحائز في مواجهة الدائن </w:t>
      </w:r>
      <w:proofErr w:type="spellStart"/>
      <w:r w:rsidRPr="00244B6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المرتهن: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عند اتخاذ الدائن المرتهن إجراءات القانونية اللازمة لممارسة حق التتبع ضد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الحائز،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فإن هذا الأخير تكون له ثلاث خيارات يختار من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بينها،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وإذا لم يختر الحائز إحدى الخيارات الثلاثة يكون من حق الدائن المرتهن اتخاذ إجراءات التنفيذ في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مواجهته،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تطبيقا لنص المادة 923 </w:t>
      </w: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ق م </w:t>
      </w: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ج</w:t>
      </w:r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وتتمثل هذه الخيارات في قضاء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الدين،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تطهير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العقار،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</w:t>
      </w:r>
      <w:proofErr w:type="spellStart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تخلية</w:t>
      </w:r>
      <w:proofErr w:type="spellEnd"/>
      <w:r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العقار:</w:t>
      </w:r>
    </w:p>
    <w:p w:rsidR="000D1040" w:rsidRPr="00244B6F" w:rsidRDefault="00587D03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1/</w:t>
      </w:r>
      <w:proofErr w:type="spellEnd"/>
      <w:r w:rsidR="000D104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قضاء الدين</w:t>
      </w:r>
    </w:p>
    <w:p w:rsidR="00587D03" w:rsidRPr="00244B6F" w:rsidRDefault="00587D03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 xml:space="preserve">2 </w:t>
      </w: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/</w:t>
      </w:r>
      <w:proofErr w:type="spellEnd"/>
      <w:r w:rsidR="000D104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gram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تطهير</w:t>
      </w:r>
      <w:proofErr w:type="gram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العقار </w:t>
      </w:r>
    </w:p>
    <w:p w:rsidR="000D1040" w:rsidRPr="00587D03" w:rsidRDefault="00587D03" w:rsidP="00244B6F">
      <w:pPr>
        <w:bidi/>
        <w:spacing w:before="100" w:beforeAutospacing="1" w:after="100" w:afterAutospacing="1" w:line="276" w:lineRule="auto"/>
        <w:ind w:firstLine="566"/>
        <w:jc w:val="lowKashida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3 </w:t>
      </w:r>
      <w:proofErr w:type="spellStart"/>
      <w:r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/</w:t>
      </w:r>
      <w:proofErr w:type="spellEnd"/>
      <w:r w:rsidR="000D1040" w:rsidRPr="00244B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>تخلية</w:t>
      </w:r>
      <w:proofErr w:type="spellEnd"/>
      <w:r w:rsidR="000D1040" w:rsidRPr="00244B6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العقار المرهون</w:t>
      </w:r>
      <w:r w:rsidR="000D1040" w:rsidRPr="00587D0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</w:p>
    <w:p w:rsidR="00B401BC" w:rsidRPr="00B401BC" w:rsidRDefault="00B401BC" w:rsidP="00B401BC">
      <w:pPr>
        <w:bidi/>
        <w:jc w:val="left"/>
        <w:rPr>
          <w:rFonts w:ascii="Simplified Arabic" w:hAnsi="Simplified Arabic" w:cs="Simplified Arabic"/>
          <w:sz w:val="32"/>
          <w:szCs w:val="32"/>
        </w:rPr>
      </w:pPr>
    </w:p>
    <w:sectPr w:rsidR="00B401BC" w:rsidRPr="00B401BC" w:rsidSect="0006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00" w:rsidRDefault="00E04300" w:rsidP="000D1040">
      <w:pPr>
        <w:spacing w:line="240" w:lineRule="auto"/>
      </w:pPr>
      <w:r>
        <w:separator/>
      </w:r>
    </w:p>
  </w:endnote>
  <w:endnote w:type="continuationSeparator" w:id="0">
    <w:p w:rsidR="00E04300" w:rsidRDefault="00E04300" w:rsidP="000D1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00" w:rsidRDefault="00E04300" w:rsidP="000D1040">
      <w:pPr>
        <w:spacing w:line="240" w:lineRule="auto"/>
      </w:pPr>
      <w:r>
        <w:separator/>
      </w:r>
    </w:p>
  </w:footnote>
  <w:footnote w:type="continuationSeparator" w:id="0">
    <w:p w:rsidR="00E04300" w:rsidRDefault="00E04300" w:rsidP="000D10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21A9C"/>
    <w:multiLevelType w:val="hybridMultilevel"/>
    <w:tmpl w:val="F3B05218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1BC"/>
    <w:rsid w:val="000040A7"/>
    <w:rsid w:val="00006E72"/>
    <w:rsid w:val="0004209F"/>
    <w:rsid w:val="0004385D"/>
    <w:rsid w:val="00044ED7"/>
    <w:rsid w:val="00047133"/>
    <w:rsid w:val="00047C2F"/>
    <w:rsid w:val="00054134"/>
    <w:rsid w:val="00055CE6"/>
    <w:rsid w:val="00056E7A"/>
    <w:rsid w:val="000577A4"/>
    <w:rsid w:val="00065451"/>
    <w:rsid w:val="0006627C"/>
    <w:rsid w:val="00071C2D"/>
    <w:rsid w:val="000756C3"/>
    <w:rsid w:val="000815E8"/>
    <w:rsid w:val="000838AA"/>
    <w:rsid w:val="00084B9C"/>
    <w:rsid w:val="00087CDC"/>
    <w:rsid w:val="000934E5"/>
    <w:rsid w:val="000A26E2"/>
    <w:rsid w:val="000A76A8"/>
    <w:rsid w:val="000B4944"/>
    <w:rsid w:val="000B6939"/>
    <w:rsid w:val="000C3926"/>
    <w:rsid w:val="000C43BC"/>
    <w:rsid w:val="000C4439"/>
    <w:rsid w:val="000D1040"/>
    <w:rsid w:val="000D148F"/>
    <w:rsid w:val="000D39BC"/>
    <w:rsid w:val="000D6458"/>
    <w:rsid w:val="000F09B7"/>
    <w:rsid w:val="000F3094"/>
    <w:rsid w:val="000F42E1"/>
    <w:rsid w:val="000F6514"/>
    <w:rsid w:val="001173FF"/>
    <w:rsid w:val="0012134E"/>
    <w:rsid w:val="00122E6A"/>
    <w:rsid w:val="00123F6E"/>
    <w:rsid w:val="00125CC6"/>
    <w:rsid w:val="00126EE0"/>
    <w:rsid w:val="00131F7A"/>
    <w:rsid w:val="0013325D"/>
    <w:rsid w:val="001350D7"/>
    <w:rsid w:val="00135D1B"/>
    <w:rsid w:val="001368BD"/>
    <w:rsid w:val="00141A2C"/>
    <w:rsid w:val="001459DF"/>
    <w:rsid w:val="00146898"/>
    <w:rsid w:val="0015178A"/>
    <w:rsid w:val="00161052"/>
    <w:rsid w:val="00163E83"/>
    <w:rsid w:val="00166517"/>
    <w:rsid w:val="001727E8"/>
    <w:rsid w:val="00187075"/>
    <w:rsid w:val="00191121"/>
    <w:rsid w:val="001A0294"/>
    <w:rsid w:val="001A7AAB"/>
    <w:rsid w:val="001B1241"/>
    <w:rsid w:val="001B31CD"/>
    <w:rsid w:val="001C0C5D"/>
    <w:rsid w:val="001D1EBA"/>
    <w:rsid w:val="001E2B64"/>
    <w:rsid w:val="001E3CC7"/>
    <w:rsid w:val="001E547B"/>
    <w:rsid w:val="001F004F"/>
    <w:rsid w:val="001F0D65"/>
    <w:rsid w:val="001F23FC"/>
    <w:rsid w:val="00202168"/>
    <w:rsid w:val="00205086"/>
    <w:rsid w:val="002051BD"/>
    <w:rsid w:val="0020744E"/>
    <w:rsid w:val="0022235B"/>
    <w:rsid w:val="00224C4B"/>
    <w:rsid w:val="00244B6F"/>
    <w:rsid w:val="00255775"/>
    <w:rsid w:val="00255CEA"/>
    <w:rsid w:val="0026342C"/>
    <w:rsid w:val="00267359"/>
    <w:rsid w:val="00274ACE"/>
    <w:rsid w:val="00277B55"/>
    <w:rsid w:val="00277EB3"/>
    <w:rsid w:val="0028196D"/>
    <w:rsid w:val="00284093"/>
    <w:rsid w:val="0028570C"/>
    <w:rsid w:val="00293D2D"/>
    <w:rsid w:val="002A490E"/>
    <w:rsid w:val="002B4D9D"/>
    <w:rsid w:val="002B4FB1"/>
    <w:rsid w:val="002B5F65"/>
    <w:rsid w:val="002D075D"/>
    <w:rsid w:val="002D568D"/>
    <w:rsid w:val="002D5C9C"/>
    <w:rsid w:val="002E13B8"/>
    <w:rsid w:val="002F42C1"/>
    <w:rsid w:val="002F432F"/>
    <w:rsid w:val="002F6CEC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366F"/>
    <w:rsid w:val="00365881"/>
    <w:rsid w:val="00373DC3"/>
    <w:rsid w:val="00382890"/>
    <w:rsid w:val="0038425A"/>
    <w:rsid w:val="003931EE"/>
    <w:rsid w:val="00395C81"/>
    <w:rsid w:val="00397EDF"/>
    <w:rsid w:val="003A5160"/>
    <w:rsid w:val="003B208A"/>
    <w:rsid w:val="003B3302"/>
    <w:rsid w:val="003B58EF"/>
    <w:rsid w:val="003C24D3"/>
    <w:rsid w:val="003C333A"/>
    <w:rsid w:val="003C4937"/>
    <w:rsid w:val="003C6FD2"/>
    <w:rsid w:val="003E32C6"/>
    <w:rsid w:val="003F33C0"/>
    <w:rsid w:val="003F4896"/>
    <w:rsid w:val="003F6D8C"/>
    <w:rsid w:val="00404163"/>
    <w:rsid w:val="0041554B"/>
    <w:rsid w:val="00421C33"/>
    <w:rsid w:val="0042698F"/>
    <w:rsid w:val="00426D3D"/>
    <w:rsid w:val="00430E6A"/>
    <w:rsid w:val="00433FA8"/>
    <w:rsid w:val="00434C74"/>
    <w:rsid w:val="00441EAE"/>
    <w:rsid w:val="004600AB"/>
    <w:rsid w:val="00461A3E"/>
    <w:rsid w:val="00464C4D"/>
    <w:rsid w:val="00473680"/>
    <w:rsid w:val="00475E94"/>
    <w:rsid w:val="004808E8"/>
    <w:rsid w:val="0049795D"/>
    <w:rsid w:val="004B3F29"/>
    <w:rsid w:val="004B6895"/>
    <w:rsid w:val="004C0BF5"/>
    <w:rsid w:val="004C0E28"/>
    <w:rsid w:val="004C2428"/>
    <w:rsid w:val="004C327A"/>
    <w:rsid w:val="004C76C1"/>
    <w:rsid w:val="004D0516"/>
    <w:rsid w:val="004D6C5F"/>
    <w:rsid w:val="004E2086"/>
    <w:rsid w:val="004E5D7E"/>
    <w:rsid w:val="004E7464"/>
    <w:rsid w:val="004F4013"/>
    <w:rsid w:val="004F4FA0"/>
    <w:rsid w:val="005009FC"/>
    <w:rsid w:val="00504D4B"/>
    <w:rsid w:val="0051480C"/>
    <w:rsid w:val="00523CC4"/>
    <w:rsid w:val="00525C60"/>
    <w:rsid w:val="00531343"/>
    <w:rsid w:val="00536449"/>
    <w:rsid w:val="005427DC"/>
    <w:rsid w:val="00545020"/>
    <w:rsid w:val="00556720"/>
    <w:rsid w:val="00570765"/>
    <w:rsid w:val="00577E24"/>
    <w:rsid w:val="00580827"/>
    <w:rsid w:val="00581DCD"/>
    <w:rsid w:val="00587D03"/>
    <w:rsid w:val="005978AB"/>
    <w:rsid w:val="005A29AD"/>
    <w:rsid w:val="005A7ADB"/>
    <w:rsid w:val="005B4A83"/>
    <w:rsid w:val="005B7D4F"/>
    <w:rsid w:val="005C75E8"/>
    <w:rsid w:val="005D5AB6"/>
    <w:rsid w:val="005E2E37"/>
    <w:rsid w:val="005F20F6"/>
    <w:rsid w:val="0060441D"/>
    <w:rsid w:val="00605E50"/>
    <w:rsid w:val="0061185A"/>
    <w:rsid w:val="006156D6"/>
    <w:rsid w:val="00621E58"/>
    <w:rsid w:val="00643425"/>
    <w:rsid w:val="00651BF4"/>
    <w:rsid w:val="006531AE"/>
    <w:rsid w:val="00653F01"/>
    <w:rsid w:val="00680D8F"/>
    <w:rsid w:val="006810F9"/>
    <w:rsid w:val="006910FF"/>
    <w:rsid w:val="00691C10"/>
    <w:rsid w:val="006A6F66"/>
    <w:rsid w:val="006B22EC"/>
    <w:rsid w:val="006C035F"/>
    <w:rsid w:val="006E0407"/>
    <w:rsid w:val="006F4137"/>
    <w:rsid w:val="006F7052"/>
    <w:rsid w:val="00705140"/>
    <w:rsid w:val="007074A8"/>
    <w:rsid w:val="00707845"/>
    <w:rsid w:val="0071370C"/>
    <w:rsid w:val="00715B59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7005"/>
    <w:rsid w:val="007722DD"/>
    <w:rsid w:val="00776F52"/>
    <w:rsid w:val="00777848"/>
    <w:rsid w:val="007821DF"/>
    <w:rsid w:val="007825F7"/>
    <w:rsid w:val="0079141A"/>
    <w:rsid w:val="0079567B"/>
    <w:rsid w:val="007A2198"/>
    <w:rsid w:val="007B14A3"/>
    <w:rsid w:val="007B1D5C"/>
    <w:rsid w:val="007C112A"/>
    <w:rsid w:val="007C6934"/>
    <w:rsid w:val="007D4462"/>
    <w:rsid w:val="007D78F2"/>
    <w:rsid w:val="007E42F7"/>
    <w:rsid w:val="007E53AE"/>
    <w:rsid w:val="008002CB"/>
    <w:rsid w:val="008178D8"/>
    <w:rsid w:val="0082117A"/>
    <w:rsid w:val="00834A44"/>
    <w:rsid w:val="00841C1F"/>
    <w:rsid w:val="0084482C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0AF4"/>
    <w:rsid w:val="008F6E77"/>
    <w:rsid w:val="008F6E8B"/>
    <w:rsid w:val="008F7E90"/>
    <w:rsid w:val="00900EDC"/>
    <w:rsid w:val="009019F9"/>
    <w:rsid w:val="00903488"/>
    <w:rsid w:val="0090421C"/>
    <w:rsid w:val="009054E7"/>
    <w:rsid w:val="00911989"/>
    <w:rsid w:val="00920292"/>
    <w:rsid w:val="00921BA7"/>
    <w:rsid w:val="00923579"/>
    <w:rsid w:val="009266AF"/>
    <w:rsid w:val="00927437"/>
    <w:rsid w:val="009376DD"/>
    <w:rsid w:val="0094211D"/>
    <w:rsid w:val="009552F7"/>
    <w:rsid w:val="00956C27"/>
    <w:rsid w:val="00970E12"/>
    <w:rsid w:val="00971E3E"/>
    <w:rsid w:val="00972AE2"/>
    <w:rsid w:val="00975E7C"/>
    <w:rsid w:val="00981749"/>
    <w:rsid w:val="00983F9A"/>
    <w:rsid w:val="00985440"/>
    <w:rsid w:val="00990F61"/>
    <w:rsid w:val="00992DDB"/>
    <w:rsid w:val="00994656"/>
    <w:rsid w:val="00994F2F"/>
    <w:rsid w:val="00995151"/>
    <w:rsid w:val="00995E2E"/>
    <w:rsid w:val="00997D8C"/>
    <w:rsid w:val="009A3B56"/>
    <w:rsid w:val="009A439D"/>
    <w:rsid w:val="009B407D"/>
    <w:rsid w:val="009B4280"/>
    <w:rsid w:val="009B77C2"/>
    <w:rsid w:val="009C0599"/>
    <w:rsid w:val="009E0C1B"/>
    <w:rsid w:val="009E0F93"/>
    <w:rsid w:val="009E1B80"/>
    <w:rsid w:val="009F3ACB"/>
    <w:rsid w:val="00A12385"/>
    <w:rsid w:val="00A127EB"/>
    <w:rsid w:val="00A176BA"/>
    <w:rsid w:val="00A20E90"/>
    <w:rsid w:val="00A33D35"/>
    <w:rsid w:val="00A3499B"/>
    <w:rsid w:val="00A4450A"/>
    <w:rsid w:val="00A45E40"/>
    <w:rsid w:val="00A51B17"/>
    <w:rsid w:val="00A5353C"/>
    <w:rsid w:val="00A56F66"/>
    <w:rsid w:val="00A57866"/>
    <w:rsid w:val="00A73D25"/>
    <w:rsid w:val="00A75300"/>
    <w:rsid w:val="00A75654"/>
    <w:rsid w:val="00A95202"/>
    <w:rsid w:val="00AA49FA"/>
    <w:rsid w:val="00AB13BB"/>
    <w:rsid w:val="00AB2BD7"/>
    <w:rsid w:val="00AC00A5"/>
    <w:rsid w:val="00AC2442"/>
    <w:rsid w:val="00AC5169"/>
    <w:rsid w:val="00AE4C3A"/>
    <w:rsid w:val="00AF4A56"/>
    <w:rsid w:val="00B00B54"/>
    <w:rsid w:val="00B01615"/>
    <w:rsid w:val="00B018CB"/>
    <w:rsid w:val="00B07064"/>
    <w:rsid w:val="00B109DD"/>
    <w:rsid w:val="00B13468"/>
    <w:rsid w:val="00B265CB"/>
    <w:rsid w:val="00B30F42"/>
    <w:rsid w:val="00B336AC"/>
    <w:rsid w:val="00B375FA"/>
    <w:rsid w:val="00B37705"/>
    <w:rsid w:val="00B401BC"/>
    <w:rsid w:val="00B41E99"/>
    <w:rsid w:val="00B46CE6"/>
    <w:rsid w:val="00B60201"/>
    <w:rsid w:val="00B63282"/>
    <w:rsid w:val="00B6573E"/>
    <w:rsid w:val="00B657FF"/>
    <w:rsid w:val="00B703BD"/>
    <w:rsid w:val="00B72B7E"/>
    <w:rsid w:val="00B73D4C"/>
    <w:rsid w:val="00B750E4"/>
    <w:rsid w:val="00B75F7A"/>
    <w:rsid w:val="00B83ECD"/>
    <w:rsid w:val="00B85ECA"/>
    <w:rsid w:val="00B975AC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F30C5"/>
    <w:rsid w:val="00C05967"/>
    <w:rsid w:val="00C05B68"/>
    <w:rsid w:val="00C110E6"/>
    <w:rsid w:val="00C14614"/>
    <w:rsid w:val="00C22DF9"/>
    <w:rsid w:val="00C442A9"/>
    <w:rsid w:val="00C44D58"/>
    <w:rsid w:val="00C46431"/>
    <w:rsid w:val="00C522F0"/>
    <w:rsid w:val="00C57B91"/>
    <w:rsid w:val="00C65720"/>
    <w:rsid w:val="00C72BB9"/>
    <w:rsid w:val="00C742A6"/>
    <w:rsid w:val="00C75CCC"/>
    <w:rsid w:val="00C762F4"/>
    <w:rsid w:val="00C9615E"/>
    <w:rsid w:val="00CA0B90"/>
    <w:rsid w:val="00CA1A10"/>
    <w:rsid w:val="00CA7560"/>
    <w:rsid w:val="00CC1D36"/>
    <w:rsid w:val="00CC30BB"/>
    <w:rsid w:val="00CC562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CF6D41"/>
    <w:rsid w:val="00D00E6E"/>
    <w:rsid w:val="00D04C56"/>
    <w:rsid w:val="00D06583"/>
    <w:rsid w:val="00D10388"/>
    <w:rsid w:val="00D13967"/>
    <w:rsid w:val="00D1414A"/>
    <w:rsid w:val="00D20545"/>
    <w:rsid w:val="00D21042"/>
    <w:rsid w:val="00D24127"/>
    <w:rsid w:val="00D241DE"/>
    <w:rsid w:val="00D26F01"/>
    <w:rsid w:val="00D30800"/>
    <w:rsid w:val="00D34792"/>
    <w:rsid w:val="00D40C78"/>
    <w:rsid w:val="00D46C25"/>
    <w:rsid w:val="00D57618"/>
    <w:rsid w:val="00D60824"/>
    <w:rsid w:val="00D625FD"/>
    <w:rsid w:val="00D64316"/>
    <w:rsid w:val="00D66757"/>
    <w:rsid w:val="00D67E9F"/>
    <w:rsid w:val="00D67FBE"/>
    <w:rsid w:val="00D70029"/>
    <w:rsid w:val="00D70D70"/>
    <w:rsid w:val="00D72064"/>
    <w:rsid w:val="00D82B11"/>
    <w:rsid w:val="00D876F9"/>
    <w:rsid w:val="00D92A34"/>
    <w:rsid w:val="00D961D5"/>
    <w:rsid w:val="00DA5FE7"/>
    <w:rsid w:val="00DA688F"/>
    <w:rsid w:val="00DA6892"/>
    <w:rsid w:val="00DA7326"/>
    <w:rsid w:val="00DB2543"/>
    <w:rsid w:val="00DB4D04"/>
    <w:rsid w:val="00DB56C2"/>
    <w:rsid w:val="00DC34C2"/>
    <w:rsid w:val="00DF2275"/>
    <w:rsid w:val="00DF4CFE"/>
    <w:rsid w:val="00E04300"/>
    <w:rsid w:val="00E05FF2"/>
    <w:rsid w:val="00E06706"/>
    <w:rsid w:val="00E10E90"/>
    <w:rsid w:val="00E134DB"/>
    <w:rsid w:val="00E1514B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76CC"/>
    <w:rsid w:val="00EC09B9"/>
    <w:rsid w:val="00EC24D5"/>
    <w:rsid w:val="00EC5C1B"/>
    <w:rsid w:val="00EC7818"/>
    <w:rsid w:val="00ED06FF"/>
    <w:rsid w:val="00EE13DB"/>
    <w:rsid w:val="00EE1520"/>
    <w:rsid w:val="00EE1F3F"/>
    <w:rsid w:val="00EF43C9"/>
    <w:rsid w:val="00EF5FDB"/>
    <w:rsid w:val="00EF7C42"/>
    <w:rsid w:val="00F17F5B"/>
    <w:rsid w:val="00F2055C"/>
    <w:rsid w:val="00F2557C"/>
    <w:rsid w:val="00F30CA7"/>
    <w:rsid w:val="00F373F7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2B79"/>
    <w:rsid w:val="00F94318"/>
    <w:rsid w:val="00FA34F1"/>
    <w:rsid w:val="00FB1635"/>
    <w:rsid w:val="00FC13C4"/>
    <w:rsid w:val="00FC3C09"/>
    <w:rsid w:val="00FD144D"/>
    <w:rsid w:val="00FE0C08"/>
    <w:rsid w:val="00F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01BC"/>
    <w:pPr>
      <w:spacing w:after="200" w:line="276" w:lineRule="auto"/>
      <w:ind w:left="720" w:right="0"/>
      <w:contextualSpacing/>
      <w:jc w:val="left"/>
    </w:pPr>
  </w:style>
  <w:style w:type="paragraph" w:styleId="Notedebasdepage">
    <w:name w:val="footnote text"/>
    <w:basedOn w:val="Normal"/>
    <w:link w:val="NotedebasdepageCar"/>
    <w:unhideWhenUsed/>
    <w:rsid w:val="000D1040"/>
    <w:pPr>
      <w:spacing w:line="240" w:lineRule="auto"/>
      <w:ind w:right="0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D1040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0D10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911</Words>
  <Characters>4457</Characters>
  <Application>Microsoft Office Word</Application>
  <DocSecurity>0</DocSecurity>
  <Lines>73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personelle</dc:creator>
  <cp:lastModifiedBy>personelle</cp:lastModifiedBy>
  <cp:revision>11</cp:revision>
  <dcterms:created xsi:type="dcterms:W3CDTF">2020-06-24T16:34:00Z</dcterms:created>
  <dcterms:modified xsi:type="dcterms:W3CDTF">2020-06-24T19:59:00Z</dcterms:modified>
</cp:coreProperties>
</file>