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31" w:rsidRDefault="00CA34D4">
      <w:pPr>
        <w:bidi/>
        <w:spacing w:line="240" w:lineRule="auto"/>
        <w:jc w:val="center"/>
        <w:rPr>
          <w:rFonts w:ascii="Sakkal Majalla" w:eastAsia="Sakkal Majalla" w:hAnsi="Sakkal Majalla" w:cs="Sakkal Majalla"/>
          <w:b/>
          <w:color w:val="FFFFFF"/>
          <w:sz w:val="44"/>
          <w:szCs w:val="44"/>
        </w:rPr>
      </w:pPr>
      <w:proofErr w:type="gramStart"/>
      <w:r>
        <w:rPr>
          <w:rFonts w:ascii="Sakkal Majalla" w:eastAsia="Sakkal Majalla" w:hAnsi="Sakkal Majalla" w:cs="Sakkal Majalla"/>
          <w:b/>
          <w:color w:val="FFFFFF"/>
          <w:sz w:val="44"/>
          <w:szCs w:val="44"/>
          <w:rtl/>
        </w:rPr>
        <w:t>كلية</w:t>
      </w:r>
      <w:proofErr w:type="gramEnd"/>
      <w:r>
        <w:rPr>
          <w:rFonts w:ascii="Sakkal Majalla" w:eastAsia="Sakkal Majalla" w:hAnsi="Sakkal Majalla" w:cs="Sakkal Majalla"/>
          <w:b/>
          <w:color w:val="FFFFFF"/>
          <w:sz w:val="44"/>
          <w:szCs w:val="44"/>
          <w:rtl/>
        </w:rPr>
        <w:t xml:space="preserve"> العلوم الاقتصادية و التجارية وعلوم التسيير</w:t>
      </w:r>
      <w:r w:rsidR="00B43C49">
        <w:pict w14:anchorId="0D38E746">
          <v:roundrect id="AutoShape 2" o:spid="_x0000_s1026" style="position:absolute;left:0;text-align:left;margin-left:6.85pt;margin-top:-10.1pt;width:496.5pt;height:130.5pt;z-index:-251658752;visibility:visible;mso-position-horizontal:absolute;mso-position-horizontal-relative:margin;mso-position-vertical:absolute;mso-position-vertical-relative:text" arcsize="10923f" fillcolor="#243f60 [1604]" stroked="f" strokeweight="1pt">
            <v:shadow on="t" color="#4e6128 [1606]" opacity=".5" offset="1pt"/>
            <w10:wrap anchorx="margin"/>
          </v:roundrect>
        </w:pict>
      </w:r>
    </w:p>
    <w:p w:rsidR="003E4D31" w:rsidRDefault="00CA34D4">
      <w:pPr>
        <w:bidi/>
        <w:spacing w:line="240" w:lineRule="auto"/>
        <w:jc w:val="center"/>
        <w:rPr>
          <w:rFonts w:ascii="Sakkal Majalla" w:eastAsia="Sakkal Majalla" w:hAnsi="Sakkal Majalla" w:cs="Sakkal Majalla"/>
          <w:b/>
          <w:color w:val="FFFFFF"/>
          <w:sz w:val="44"/>
          <w:szCs w:val="44"/>
        </w:rPr>
      </w:pPr>
      <w:r>
        <w:rPr>
          <w:rFonts w:ascii="Sakkal Majalla" w:eastAsia="Sakkal Majalla" w:hAnsi="Sakkal Majalla" w:cs="Sakkal Majalla"/>
          <w:b/>
          <w:color w:val="FFFFFF"/>
          <w:sz w:val="44"/>
          <w:szCs w:val="44"/>
          <w:rtl/>
        </w:rPr>
        <w:t xml:space="preserve">فريق ميدان التكوين </w:t>
      </w:r>
    </w:p>
    <w:p w:rsidR="003E4D31" w:rsidRDefault="000C20AC" w:rsidP="000C20AC">
      <w:pPr>
        <w:bidi/>
        <w:spacing w:line="360" w:lineRule="auto"/>
        <w:jc w:val="center"/>
        <w:rPr>
          <w:rFonts w:ascii="Sakkal Majalla" w:eastAsia="Sakkal Majalla" w:hAnsi="Sakkal Majalla" w:cs="Sakkal Majalla"/>
          <w:color w:val="FFFFFF"/>
          <w:sz w:val="44"/>
          <w:szCs w:val="44"/>
        </w:rPr>
      </w:pPr>
      <w:r>
        <w:rPr>
          <w:rFonts w:ascii="Sakkal Majalla" w:eastAsia="Sakkal Majalla" w:hAnsi="Sakkal Majalla" w:cs="Sakkal Majalla"/>
          <w:b/>
          <w:color w:val="FFFFFF"/>
          <w:sz w:val="44"/>
          <w:szCs w:val="44"/>
          <w:rtl/>
        </w:rPr>
        <w:t>الش</w:t>
      </w:r>
      <w:r>
        <w:rPr>
          <w:rFonts w:ascii="Sakkal Majalla" w:eastAsia="Sakkal Majalla" w:hAnsi="Sakkal Majalla" w:cs="Sakkal Majalla" w:hint="cs"/>
          <w:b/>
          <w:color w:val="FFFFFF"/>
          <w:sz w:val="44"/>
          <w:szCs w:val="44"/>
          <w:rtl/>
        </w:rPr>
        <w:t>عبة: علوم اقتصادية</w:t>
      </w:r>
      <w:r w:rsidR="00CA34D4">
        <w:rPr>
          <w:rFonts w:ascii="Sakkal Majalla" w:eastAsia="Sakkal Majalla" w:hAnsi="Sakkal Majalla" w:cs="Sakkal Majalla"/>
          <w:color w:val="FFFFFF"/>
          <w:sz w:val="44"/>
          <w:szCs w:val="44"/>
        </w:rPr>
        <w:t>.</w:t>
      </w:r>
      <w:r w:rsidR="00CA34D4">
        <w:rPr>
          <w:rFonts w:ascii="Sakkal Majalla" w:eastAsia="Sakkal Majalla" w:hAnsi="Sakkal Majalla" w:cs="Sakkal Majalla"/>
          <w:color w:val="FFFFFF"/>
          <w:sz w:val="44"/>
          <w:szCs w:val="44"/>
        </w:rPr>
        <w:tab/>
      </w:r>
      <w:r w:rsidR="00CA34D4">
        <w:rPr>
          <w:rFonts w:ascii="Sakkal Majalla" w:eastAsia="Sakkal Majalla" w:hAnsi="Sakkal Majalla" w:cs="Sakkal Majalla"/>
          <w:b/>
          <w:color w:val="FFFFFF"/>
          <w:sz w:val="44"/>
          <w:szCs w:val="44"/>
          <w:rtl/>
        </w:rPr>
        <w:tab/>
        <w:t xml:space="preserve">التخصص: </w:t>
      </w:r>
      <w:r>
        <w:rPr>
          <w:rFonts w:ascii="Sakkal Majalla" w:eastAsia="Sakkal Majalla" w:hAnsi="Sakkal Majalla" w:cs="Sakkal Majalla" w:hint="cs"/>
          <w:color w:val="FFFFFF"/>
          <w:sz w:val="44"/>
          <w:szCs w:val="44"/>
          <w:rtl/>
        </w:rPr>
        <w:t>اقتصاد وتسيير المؤسسة</w:t>
      </w:r>
    </w:p>
    <w:p w:rsidR="003E4D31" w:rsidRDefault="000C20AC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الأستاذ: </w:t>
      </w:r>
      <w:proofErr w:type="spellStart"/>
      <w:r>
        <w:rPr>
          <w:rFonts w:ascii="Sakkal Majalla" w:eastAsia="Sakkal Majalla" w:hAnsi="Sakkal Majalla" w:cs="Sakkal Majalla" w:hint="cs"/>
          <w:b/>
          <w:sz w:val="36"/>
          <w:szCs w:val="36"/>
          <w:rtl/>
        </w:rPr>
        <w:t>حمريــط</w:t>
      </w:r>
      <w:proofErr w:type="spellEnd"/>
      <w:r>
        <w:rPr>
          <w:rFonts w:ascii="Sakkal Majalla" w:eastAsia="Sakkal Majalla" w:hAnsi="Sakkal Majalla" w:cs="Sakkal Majalla" w:hint="cs"/>
          <w:b/>
          <w:sz w:val="36"/>
          <w:szCs w:val="36"/>
          <w:rtl/>
        </w:rPr>
        <w:t xml:space="preserve"> رشيـــــد</w:t>
      </w:r>
      <w:r w:rsidR="00CA34D4"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                           </w:t>
      </w:r>
      <w:r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        </w:t>
      </w:r>
      <w:r w:rsidR="00CA34D4"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              المقياس</w:t>
      </w:r>
      <w:r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: </w:t>
      </w:r>
      <w:r>
        <w:rPr>
          <w:rFonts w:ascii="Sakkal Majalla" w:eastAsia="Sakkal Majalla" w:hAnsi="Sakkal Majalla" w:cs="Sakkal Majalla" w:hint="cs"/>
          <w:b/>
          <w:sz w:val="36"/>
          <w:szCs w:val="36"/>
          <w:rtl/>
        </w:rPr>
        <w:t>تسيير التدقيق الجبائي</w:t>
      </w:r>
    </w:p>
    <w:p w:rsidR="003E4D31" w:rsidRDefault="000C20AC" w:rsidP="000C20AC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/>
          <w:b/>
          <w:sz w:val="36"/>
          <w:szCs w:val="36"/>
          <w:rtl/>
        </w:rPr>
        <w:t>السنة</w:t>
      </w:r>
      <w:r>
        <w:rPr>
          <w:rFonts w:ascii="Sakkal Majalla" w:eastAsia="Sakkal Majalla" w:hAnsi="Sakkal Majalla" w:cs="Sakkal Majalla" w:hint="cs"/>
          <w:b/>
          <w:sz w:val="36"/>
          <w:szCs w:val="36"/>
          <w:rtl/>
        </w:rPr>
        <w:t>: أولى ماستر</w:t>
      </w:r>
      <w:r w:rsidR="00CA34D4"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                                                              السداسي</w:t>
      </w:r>
      <w:r>
        <w:rPr>
          <w:rFonts w:ascii="Sakkal Majalla" w:eastAsia="Sakkal Majalla" w:hAnsi="Sakkal Majalla" w:cs="Sakkal Majalla" w:hint="cs"/>
          <w:b/>
          <w:sz w:val="36"/>
          <w:szCs w:val="36"/>
          <w:rtl/>
        </w:rPr>
        <w:t>: الثانـــي</w:t>
      </w:r>
    </w:p>
    <w:tbl>
      <w:tblPr>
        <w:tblStyle w:val="a"/>
        <w:bidiVisual/>
        <w:tblW w:w="1010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3544"/>
        <w:gridCol w:w="5254"/>
      </w:tblGrid>
      <w:tr w:rsidR="003E4D31">
        <w:trPr>
          <w:jc w:val="center"/>
        </w:trPr>
        <w:tc>
          <w:tcPr>
            <w:tcW w:w="10103" w:type="dxa"/>
            <w:gridSpan w:val="3"/>
            <w:shd w:val="clear" w:color="auto" w:fill="244061"/>
            <w:vAlign w:val="center"/>
          </w:tcPr>
          <w:p w:rsidR="003E4D31" w:rsidRDefault="00CA34D4">
            <w:pPr>
              <w:bidi/>
              <w:spacing w:line="276" w:lineRule="auto"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40"/>
                <w:szCs w:val="40"/>
                <w:rtl/>
              </w:rPr>
              <w:t>البرنامج السداسي التفصيلي للمقياس</w:t>
            </w:r>
          </w:p>
        </w:tc>
      </w:tr>
      <w:tr w:rsidR="003E4D31">
        <w:trPr>
          <w:trHeight w:val="654"/>
          <w:jc w:val="center"/>
        </w:trPr>
        <w:tc>
          <w:tcPr>
            <w:tcW w:w="1305" w:type="dxa"/>
            <w:shd w:val="clear" w:color="auto" w:fill="F2F2F2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>الأسابيع*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>محاور البرنامج</w:t>
            </w:r>
          </w:p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>(الفصول)</w:t>
            </w:r>
          </w:p>
        </w:tc>
        <w:tc>
          <w:tcPr>
            <w:tcW w:w="5254" w:type="dxa"/>
            <w:shd w:val="clear" w:color="auto" w:fill="F2F2F2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>المحاور الفرعية للبرنامج</w:t>
            </w:r>
          </w:p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>(عناصر المحاضرة)</w:t>
            </w: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3E4D31" w:rsidRPr="00D85928" w:rsidRDefault="004E319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مفاهيم أساسية حول المراجعة والجباية</w:t>
            </w:r>
          </w:p>
        </w:tc>
        <w:tc>
          <w:tcPr>
            <w:tcW w:w="5254" w:type="dxa"/>
          </w:tcPr>
          <w:p w:rsidR="003E4D31" w:rsidRPr="00D85928" w:rsidRDefault="004E3196" w:rsidP="004E3196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ماهية الضريبة وأهم الضرائب المطبقة في الجزائر</w:t>
            </w:r>
            <w:r w:rsidRPr="00D85928">
              <w:rPr>
                <w:rFonts w:ascii="Sakkal Majalla" w:hAnsi="Sakkal Majalla" w:cs="Sakkal Majalla"/>
                <w:sz w:val="28"/>
                <w:szCs w:val="28"/>
              </w:rPr>
              <w:t xml:space="preserve"> . </w:t>
            </w: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02</w:t>
            </w:r>
          </w:p>
        </w:tc>
        <w:tc>
          <w:tcPr>
            <w:tcW w:w="3544" w:type="dxa"/>
            <w:vAlign w:val="center"/>
          </w:tcPr>
          <w:p w:rsidR="003E4D31" w:rsidRPr="00D85928" w:rsidRDefault="004E319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مفاهيم أساسية حول المراجعة والجباية</w:t>
            </w:r>
          </w:p>
        </w:tc>
        <w:tc>
          <w:tcPr>
            <w:tcW w:w="5254" w:type="dxa"/>
          </w:tcPr>
          <w:p w:rsidR="003E4D31" w:rsidRPr="00D85928" w:rsidRDefault="004E3196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ماهية المراجعة ومعاييرها</w:t>
            </w: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03</w:t>
            </w:r>
          </w:p>
        </w:tc>
        <w:tc>
          <w:tcPr>
            <w:tcW w:w="3544" w:type="dxa"/>
            <w:vAlign w:val="center"/>
          </w:tcPr>
          <w:p w:rsidR="003E4D31" w:rsidRPr="00D85928" w:rsidRDefault="004E319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ماهية المراجعة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وعلاقتها بالمراجعات الأخرى</w:t>
            </w:r>
          </w:p>
        </w:tc>
        <w:tc>
          <w:tcPr>
            <w:tcW w:w="5254" w:type="dxa"/>
          </w:tcPr>
          <w:p w:rsidR="003E4D31" w:rsidRPr="00D85928" w:rsidRDefault="004E3196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ماهية المراجعة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للمؤسسة الاقتصادية والانتقادات الموجهة إليها</w:t>
            </w:r>
            <w:r w:rsidRPr="00D85928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04</w:t>
            </w:r>
          </w:p>
        </w:tc>
        <w:tc>
          <w:tcPr>
            <w:tcW w:w="3544" w:type="dxa"/>
            <w:vAlign w:val="center"/>
          </w:tcPr>
          <w:p w:rsidR="003E4D31" w:rsidRPr="00D85928" w:rsidRDefault="004E319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ماهية المراجعة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وعلاقتها بالمراجعات الأخرى</w:t>
            </w:r>
          </w:p>
        </w:tc>
        <w:tc>
          <w:tcPr>
            <w:tcW w:w="5254" w:type="dxa"/>
          </w:tcPr>
          <w:p w:rsidR="003E4D31" w:rsidRPr="00D85928" w:rsidRDefault="00CA34D4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4E3196"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علاقتها بالمراجعات الأخرى والمفاهيم </w:t>
            </w:r>
            <w:proofErr w:type="spellStart"/>
            <w:r w:rsidR="004E3196"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المشا</w:t>
            </w:r>
            <w:proofErr w:type="spellEnd"/>
            <w:r w:rsidR="004E3196" w:rsidRPr="00D85928">
              <w:rPr>
                <w:rFonts w:ascii="Sakkal Majalla" w:hAnsi="Sakkal Majalla" w:cs="Sakkal Majalla"/>
                <w:sz w:val="28"/>
                <w:szCs w:val="28"/>
              </w:rPr>
              <w:t></w:t>
            </w:r>
            <w:r w:rsidR="004E3196"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ة لها</w:t>
            </w: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05</w:t>
            </w:r>
          </w:p>
        </w:tc>
        <w:tc>
          <w:tcPr>
            <w:tcW w:w="3544" w:type="dxa"/>
            <w:vAlign w:val="center"/>
          </w:tcPr>
          <w:p w:rsidR="003E4D31" w:rsidRPr="00D85928" w:rsidRDefault="004E3196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الكفاءات الواجب توافرها في المراجع الجبائي وحدود مهمة المراجعة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</w:p>
        </w:tc>
        <w:tc>
          <w:tcPr>
            <w:tcW w:w="5254" w:type="dxa"/>
          </w:tcPr>
          <w:p w:rsidR="003E4D31" w:rsidRPr="00D85928" w:rsidRDefault="00CA34D4" w:rsidP="004E3196">
            <w:pPr>
              <w:bidi/>
              <w:ind w:left="36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4E3196"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الكفاءات الواجب توافرها في المراجع الجبائي</w:t>
            </w: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06</w:t>
            </w:r>
          </w:p>
        </w:tc>
        <w:tc>
          <w:tcPr>
            <w:tcW w:w="3544" w:type="dxa"/>
            <w:vAlign w:val="center"/>
          </w:tcPr>
          <w:p w:rsidR="003E4D31" w:rsidRPr="00D85928" w:rsidRDefault="00F4607A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الكفاءات الواجب توافرها في المراجع الجبائي وحدود مهمة المراجعة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</w:p>
        </w:tc>
        <w:tc>
          <w:tcPr>
            <w:tcW w:w="5254" w:type="dxa"/>
          </w:tcPr>
          <w:p w:rsidR="00F4607A" w:rsidRPr="00D85928" w:rsidRDefault="00F4607A" w:rsidP="00F4607A">
            <w:pPr>
              <w:bidi/>
              <w:ind w:left="36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أهداف مهمة المراجعة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وخصائصها</w:t>
            </w:r>
            <w:r w:rsidRPr="00D85928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</w:p>
          <w:p w:rsidR="003E4D31" w:rsidRPr="00D85928" w:rsidRDefault="003E4D31">
            <w:pPr>
              <w:bidi/>
              <w:ind w:left="36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07</w:t>
            </w:r>
          </w:p>
        </w:tc>
        <w:tc>
          <w:tcPr>
            <w:tcW w:w="3544" w:type="dxa"/>
            <w:vAlign w:val="center"/>
          </w:tcPr>
          <w:p w:rsidR="003E4D31" w:rsidRPr="00D85928" w:rsidRDefault="00F4607A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الكفاءات الواجب توافرها في المراجع الجبائي وحدود مهمة المراجعة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</w:p>
        </w:tc>
        <w:tc>
          <w:tcPr>
            <w:tcW w:w="5254" w:type="dxa"/>
          </w:tcPr>
          <w:p w:rsidR="003E4D31" w:rsidRPr="00D85928" w:rsidRDefault="00F4607A" w:rsidP="00F4607A">
            <w:pPr>
              <w:bidi/>
              <w:ind w:left="36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مراحل سير مهمة المراجعة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08</w:t>
            </w:r>
          </w:p>
        </w:tc>
        <w:tc>
          <w:tcPr>
            <w:tcW w:w="3544" w:type="dxa"/>
            <w:vAlign w:val="center"/>
          </w:tcPr>
          <w:p w:rsidR="003E4D31" w:rsidRPr="00D85928" w:rsidRDefault="00F4607A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التسيير الجبائي باعتباره يهتم بجباية المؤسسة وكيفية تسييرها والتحكم فيها</w:t>
            </w:r>
          </w:p>
        </w:tc>
        <w:tc>
          <w:tcPr>
            <w:tcW w:w="5254" w:type="dxa"/>
          </w:tcPr>
          <w:p w:rsidR="003E4D31" w:rsidRPr="00D85928" w:rsidRDefault="00F4607A" w:rsidP="00F4607A">
            <w:pPr>
              <w:bidi/>
              <w:ind w:left="36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التسيير الجبائي للمؤسسة الاقتصادية</w:t>
            </w: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09</w:t>
            </w:r>
          </w:p>
        </w:tc>
        <w:tc>
          <w:tcPr>
            <w:tcW w:w="3544" w:type="dxa"/>
            <w:vAlign w:val="center"/>
          </w:tcPr>
          <w:p w:rsidR="003E4D31" w:rsidRPr="00D85928" w:rsidRDefault="00F4607A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التسيير الجبائي باعتباره يهتم بجباية المؤسسة وكيفية تسييرها والتحكم فيها</w:t>
            </w:r>
          </w:p>
        </w:tc>
        <w:tc>
          <w:tcPr>
            <w:tcW w:w="5254" w:type="dxa"/>
          </w:tcPr>
          <w:p w:rsidR="003E4D31" w:rsidRPr="00D85928" w:rsidRDefault="00F4607A" w:rsidP="00F4607A">
            <w:pPr>
              <w:bidi/>
              <w:ind w:left="36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المخاطر </w:t>
            </w:r>
            <w:proofErr w:type="spellStart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الجبائية</w:t>
            </w:r>
            <w:proofErr w:type="spellEnd"/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للمؤسسة الاقتصادية</w:t>
            </w:r>
          </w:p>
        </w:tc>
      </w:tr>
      <w:tr w:rsidR="003E4D31">
        <w:trPr>
          <w:jc w:val="center"/>
        </w:trPr>
        <w:tc>
          <w:tcPr>
            <w:tcW w:w="1305" w:type="dxa"/>
            <w:vAlign w:val="center"/>
          </w:tcPr>
          <w:p w:rsidR="003E4D31" w:rsidRDefault="00CA34D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الأسبوع 10</w:t>
            </w:r>
          </w:p>
        </w:tc>
        <w:tc>
          <w:tcPr>
            <w:tcW w:w="3544" w:type="dxa"/>
            <w:vAlign w:val="center"/>
          </w:tcPr>
          <w:p w:rsidR="003E4D31" w:rsidRPr="00D85928" w:rsidRDefault="00F4607A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التسيير الجبائي باعتباره يهتم بجباية المؤسسة وكيفية تسييرها والتحكم فيها</w:t>
            </w:r>
          </w:p>
        </w:tc>
        <w:tc>
          <w:tcPr>
            <w:tcW w:w="5254" w:type="dxa"/>
          </w:tcPr>
          <w:p w:rsidR="003E4D31" w:rsidRPr="00D85928" w:rsidRDefault="00F4607A">
            <w:pPr>
              <w:bidi/>
              <w:ind w:left="36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85928">
              <w:rPr>
                <w:rFonts w:ascii="Sakkal Majalla" w:hAnsi="Sakkal Majalla" w:cs="Sakkal Majalla"/>
                <w:sz w:val="28"/>
                <w:szCs w:val="28"/>
                <w:rtl/>
              </w:rPr>
              <w:t>تقييم الخطر الجبائي وعلاقته بالدور الاقتصادية للمؤسسة</w:t>
            </w:r>
          </w:p>
        </w:tc>
      </w:tr>
    </w:tbl>
    <w:p w:rsidR="00B43C49" w:rsidRDefault="00B43C49">
      <w:pPr>
        <w:bidi/>
        <w:spacing w:after="0"/>
        <w:rPr>
          <w:rFonts w:ascii="Sakkal Majalla" w:eastAsia="Sakkal Majalla" w:hAnsi="Sakkal Majalla" w:cs="Sakkal Majalla"/>
          <w:b/>
          <w:sz w:val="36"/>
          <w:szCs w:val="36"/>
          <w:u w:val="single"/>
        </w:rPr>
      </w:pPr>
    </w:p>
    <w:p w:rsidR="00B43C49" w:rsidRDefault="00B43C49" w:rsidP="00B43C49">
      <w:pPr>
        <w:bidi/>
        <w:spacing w:after="0"/>
        <w:rPr>
          <w:rFonts w:ascii="Sakkal Majalla" w:eastAsia="Sakkal Majalla" w:hAnsi="Sakkal Majalla" w:cs="Sakkal Majalla"/>
          <w:b/>
          <w:sz w:val="36"/>
          <w:szCs w:val="36"/>
          <w:u w:val="single"/>
        </w:rPr>
      </w:pPr>
    </w:p>
    <w:p w:rsidR="00B43C49" w:rsidRDefault="00B43C49" w:rsidP="00B43C49">
      <w:pPr>
        <w:bidi/>
        <w:spacing w:after="0"/>
        <w:rPr>
          <w:rFonts w:ascii="Sakkal Majalla" w:eastAsia="Sakkal Majalla" w:hAnsi="Sakkal Majalla" w:cs="Sakkal Majalla"/>
          <w:b/>
          <w:sz w:val="36"/>
          <w:szCs w:val="36"/>
          <w:u w:val="single"/>
        </w:rPr>
      </w:pPr>
      <w:bookmarkStart w:id="0" w:name="_GoBack"/>
      <w:bookmarkEnd w:id="0"/>
    </w:p>
    <w:p w:rsidR="00B43C49" w:rsidRDefault="00B43C49" w:rsidP="00B43C49">
      <w:pPr>
        <w:bidi/>
        <w:spacing w:after="0"/>
        <w:rPr>
          <w:rFonts w:ascii="Sakkal Majalla" w:eastAsia="Sakkal Majalla" w:hAnsi="Sakkal Majalla" w:cs="Sakkal Majalla"/>
          <w:b/>
          <w:sz w:val="36"/>
          <w:szCs w:val="36"/>
          <w:u w:val="single"/>
        </w:rPr>
      </w:pPr>
    </w:p>
    <w:p w:rsidR="003E4D31" w:rsidRDefault="00CA34D4" w:rsidP="00B43C49">
      <w:pPr>
        <w:bidi/>
        <w:spacing w:after="0"/>
        <w:rPr>
          <w:rFonts w:ascii="Sakkal Majalla" w:eastAsia="Sakkal Majalla" w:hAnsi="Sakkal Majalla" w:cs="Sakkal Majalla"/>
          <w:b/>
          <w:sz w:val="36"/>
          <w:szCs w:val="36"/>
          <w:u w:val="single"/>
        </w:rPr>
      </w:pPr>
      <w:r>
        <w:rPr>
          <w:rFonts w:ascii="Sakkal Majalla" w:eastAsia="Sakkal Majalla" w:hAnsi="Sakkal Majalla" w:cs="Sakkal Majalla"/>
          <w:b/>
          <w:sz w:val="36"/>
          <w:szCs w:val="36"/>
          <w:u w:val="single"/>
          <w:rtl/>
        </w:rPr>
        <w:lastRenderedPageBreak/>
        <w:t>المراجع المعتمدة في المقياس:</w:t>
      </w:r>
    </w:p>
    <w:p w:rsidR="003E4D31" w:rsidRDefault="00FF478C" w:rsidP="00FF478C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</w:rPr>
        <w:t xml:space="preserve">أحمد حجاج، كمال الدين </w:t>
      </w:r>
      <w:proofErr w:type="gramStart"/>
      <w:r>
        <w:rPr>
          <w:rFonts w:ascii="Sakkal Majalla" w:eastAsia="Sakkal Majalla" w:hAnsi="Sakkal Majalla" w:cs="Sakkal Majalla" w:hint="cs"/>
          <w:b/>
          <w:sz w:val="36"/>
          <w:szCs w:val="36"/>
          <w:rtl/>
        </w:rPr>
        <w:t>سعيد ،</w:t>
      </w:r>
      <w:proofErr w:type="gramEnd"/>
      <w:r>
        <w:rPr>
          <w:rFonts w:ascii="Sakkal Majalla" w:eastAsia="Sakkal Majalla" w:hAnsi="Sakkal Majalla" w:cs="Sakkal Majalla" w:hint="cs"/>
          <w:b/>
          <w:sz w:val="36"/>
          <w:szCs w:val="36"/>
          <w:rtl/>
        </w:rPr>
        <w:t>المراجعة بين تنظيم وتطبيق، سنة 2007.</w:t>
      </w:r>
    </w:p>
    <w:p w:rsidR="001D4536" w:rsidRDefault="001D4536" w:rsidP="001D4536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حامد عبد المجيد دراز، المالية العامة، مؤسسة الشباب الجامعية، 2000.</w:t>
      </w:r>
    </w:p>
    <w:p w:rsidR="001D4536" w:rsidRDefault="001D4536" w:rsidP="001D4536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 xml:space="preserve">حميد </w:t>
      </w:r>
      <w:proofErr w:type="spellStart"/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بوزيدة</w:t>
      </w:r>
      <w:proofErr w:type="spellEnd"/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، جباية المؤسسات، الطبعة الثانية، ديوان المطبوعات الجامعية، الجزائر،2007.</w:t>
      </w:r>
    </w:p>
    <w:p w:rsidR="001D4536" w:rsidRDefault="001D4536" w:rsidP="001D4536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خاطر راغب الخطيب الأصول العلمية والعملية لتدقيق الحسابات، عمان، دار النشر، 2008.</w:t>
      </w:r>
    </w:p>
    <w:p w:rsidR="001D4536" w:rsidRDefault="001D4536" w:rsidP="001D4536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عبد الفتاح الصحن ومحمد سمير الصحن، أسس المراجعة، الإسكندرية، الدار الجامعية،2007.</w:t>
      </w:r>
    </w:p>
    <w:p w:rsidR="0045720B" w:rsidRDefault="0045720B" w:rsidP="0045720B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محمد عباس محرزي، اقتصاديات الجباية والضرائب، دار هومة، الجزائر، 2007.</w:t>
      </w:r>
    </w:p>
    <w:p w:rsidR="0045720B" w:rsidRDefault="0045720B" w:rsidP="0045720B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محمد محمود، التدقيق لأعراض، مذكرة ماجيستير، جامعة  النجاح الوطنية كلية الدراسات العليا، فلسطين،2005.</w:t>
      </w:r>
    </w:p>
    <w:p w:rsidR="0045720B" w:rsidRDefault="0045720B" w:rsidP="0045720B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 xml:space="preserve">اولهي بوعلام آثار مردودية المراجعة </w:t>
      </w:r>
      <w:proofErr w:type="spellStart"/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الجبائية</w:t>
      </w:r>
      <w:proofErr w:type="spellEnd"/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 xml:space="preserve"> في مكافحة التهرب الجبائي، مذكرة مقدمة لنيل شهادة الماجيستر جامعة الجزائر، ص08، 2004.</w:t>
      </w:r>
    </w:p>
    <w:p w:rsidR="0045720B" w:rsidRDefault="0045720B" w:rsidP="0045720B">
      <w:pPr>
        <w:pStyle w:val="Paragraphedeliste"/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  <w:b/>
          <w:sz w:val="36"/>
          <w:szCs w:val="36"/>
        </w:rPr>
      </w:pPr>
      <w:proofErr w:type="spellStart"/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دستر</w:t>
      </w:r>
      <w:proofErr w:type="spellEnd"/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 xml:space="preserve"> سعد عبدلي عبد الحق، المراجعة والتسيير الجبائي للمؤسسات الاقتصادية، مذكرة نهاية الدراسات العليا في الجباية، المدرسة الوطنية للضرائب، القليعة، الجزائر، 2006.</w:t>
      </w:r>
    </w:p>
    <w:p w:rsidR="00FB184F" w:rsidRDefault="00FB184F" w:rsidP="00FB184F">
      <w:pPr>
        <w:pStyle w:val="Paragraphedeliste"/>
        <w:numPr>
          <w:ilvl w:val="0"/>
          <w:numId w:val="1"/>
        </w:numPr>
        <w:bidi/>
        <w:spacing w:after="0"/>
        <w:ind w:left="565" w:hanging="284"/>
        <w:rPr>
          <w:rFonts w:ascii="Sakkal Majalla" w:eastAsia="Sakkal Majalla" w:hAnsi="Sakkal Majalla" w:cs="Sakkal Majalla"/>
          <w:b/>
          <w:sz w:val="36"/>
          <w:szCs w:val="36"/>
        </w:rPr>
      </w:pPr>
      <w:proofErr w:type="spellStart"/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ز</w:t>
      </w:r>
      <w:r w:rsidR="0045720B" w:rsidRPr="00FB184F"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رواق</w:t>
      </w:r>
      <w:proofErr w:type="spellEnd"/>
      <w:r w:rsidR="0045720B" w:rsidRPr="00FB184F"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 xml:space="preserve"> حواس، فعالية التسيير الجبائي في ترشيد صناعة القرار، مداخلة للإجابة على التساؤل، كيف يمكن ادراج العامل الجبائي</w:t>
      </w:r>
      <w:r w:rsidRPr="00FB184F"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 xml:space="preserve"> في الوظيفة </w:t>
      </w:r>
      <w:proofErr w:type="spellStart"/>
      <w:r w:rsidRPr="00FB184F"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التسييرية</w:t>
      </w:r>
      <w:proofErr w:type="spellEnd"/>
      <w:r w:rsidRPr="00FB184F"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 xml:space="preserve"> لصناعة القرارات التمويلية السليمة والرشيدة من قبل المسير، جامعة قاصدي مرياح، ورقلة، 2010.</w:t>
      </w:r>
    </w:p>
    <w:p w:rsidR="00FB184F" w:rsidRDefault="00FB184F" w:rsidP="00FB184F">
      <w:pPr>
        <w:pStyle w:val="Paragraphedeliste"/>
        <w:numPr>
          <w:ilvl w:val="0"/>
          <w:numId w:val="1"/>
        </w:numPr>
        <w:bidi/>
        <w:spacing w:after="0"/>
        <w:ind w:left="565" w:hanging="284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قانون الضرائب المباشرة والرسوم المماثلة للجمهورية الجزائرية، 2013.</w:t>
      </w:r>
    </w:p>
    <w:p w:rsidR="00FB184F" w:rsidRDefault="00FB184F" w:rsidP="00FB184F">
      <w:pPr>
        <w:pStyle w:val="Paragraphedeliste"/>
        <w:numPr>
          <w:ilvl w:val="0"/>
          <w:numId w:val="1"/>
        </w:numPr>
        <w:bidi/>
        <w:spacing w:after="0"/>
        <w:ind w:left="565" w:hanging="284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 w:hint="cs"/>
          <w:b/>
          <w:sz w:val="36"/>
          <w:szCs w:val="36"/>
          <w:rtl/>
          <w:lang w:bidi="ar-DZ"/>
        </w:rPr>
        <w:t>قانون الرسوم على رقم الأعمال للجمهورية الجزائرية، 2013.</w:t>
      </w:r>
    </w:p>
    <w:p w:rsidR="00FB184F" w:rsidRDefault="00FB184F" w:rsidP="00FB184F">
      <w:pPr>
        <w:pStyle w:val="Paragraphedeliste"/>
        <w:numPr>
          <w:ilvl w:val="0"/>
          <w:numId w:val="1"/>
        </w:numPr>
        <w:spacing w:after="0"/>
        <w:ind w:left="565" w:hanging="284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 xml:space="preserve">MLLE. </w:t>
      </w:r>
      <w:proofErr w:type="spellStart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>Adjo</w:t>
      </w:r>
      <w:proofErr w:type="spellEnd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 xml:space="preserve"> </w:t>
      </w:r>
      <w:proofErr w:type="spellStart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>Amevor</w:t>
      </w:r>
      <w:proofErr w:type="spellEnd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 xml:space="preserve">, audit Fiscal de </w:t>
      </w:r>
      <w:proofErr w:type="spellStart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>Parks</w:t>
      </w:r>
      <w:proofErr w:type="spellEnd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 xml:space="preserve"> Sarl Togo, </w:t>
      </w:r>
      <w:proofErr w:type="spellStart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>Mémpore</w:t>
      </w:r>
      <w:proofErr w:type="spellEnd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 xml:space="preserve"> de Fin d’Etude, Centre africain d’étude </w:t>
      </w:r>
      <w:proofErr w:type="spellStart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>superieur</w:t>
      </w:r>
      <w:proofErr w:type="spellEnd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 xml:space="preserve"> en gestion, promotion 21, 2010.</w:t>
      </w:r>
    </w:p>
    <w:p w:rsidR="00FB184F" w:rsidRDefault="00FB184F" w:rsidP="00FB184F">
      <w:pPr>
        <w:pStyle w:val="Paragraphedeliste"/>
        <w:numPr>
          <w:ilvl w:val="0"/>
          <w:numId w:val="1"/>
        </w:numPr>
        <w:spacing w:after="0"/>
        <w:ind w:left="565" w:hanging="284"/>
        <w:rPr>
          <w:rFonts w:ascii="Sakkal Majalla" w:eastAsia="Sakkal Majalla" w:hAnsi="Sakkal Majalla" w:cs="Sakkal Majalla"/>
          <w:b/>
          <w:sz w:val="36"/>
          <w:szCs w:val="36"/>
        </w:rPr>
      </w:pPr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 xml:space="preserve">BAYO. </w:t>
      </w:r>
      <w:proofErr w:type="spellStart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>Soulvermane</w:t>
      </w:r>
      <w:proofErr w:type="spellEnd"/>
      <w:r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>, audit de la TVA des entreprises de télécommunication cas de la société ALPHACOM promotion 98, 2000.</w:t>
      </w:r>
      <w:r w:rsidRPr="00FB184F">
        <w:rPr>
          <w:rFonts w:ascii="Sakkal Majalla" w:eastAsia="Sakkal Majalla" w:hAnsi="Sakkal Majalla" w:cs="Sakkal Majalla"/>
          <w:b/>
          <w:sz w:val="36"/>
          <w:szCs w:val="36"/>
          <w:lang w:bidi="ar-DZ"/>
        </w:rPr>
        <w:t xml:space="preserve">  </w:t>
      </w:r>
    </w:p>
    <w:p w:rsidR="00556552" w:rsidRPr="00FB184F" w:rsidRDefault="00B43C49" w:rsidP="00FB184F">
      <w:pPr>
        <w:pStyle w:val="Paragraphedeliste"/>
        <w:numPr>
          <w:ilvl w:val="0"/>
          <w:numId w:val="1"/>
        </w:numPr>
        <w:spacing w:after="0"/>
        <w:ind w:left="565" w:hanging="284"/>
        <w:rPr>
          <w:rFonts w:ascii="Sakkal Majalla" w:eastAsia="Sakkal Majalla" w:hAnsi="Sakkal Majalla" w:cs="Sakkal Majalla"/>
          <w:b/>
          <w:sz w:val="36"/>
          <w:szCs w:val="36"/>
        </w:rPr>
      </w:pPr>
      <w:hyperlink r:id="rId6" w:history="1">
        <w:r w:rsidR="00556552" w:rsidRPr="00FB184F">
          <w:rPr>
            <w:rStyle w:val="Lienhypertexte"/>
            <w:rFonts w:ascii="Sakkal Majalla" w:eastAsia="Sakkal Majalla" w:hAnsi="Sakkal Majalla" w:cs="Sakkal Majalla"/>
            <w:b/>
            <w:sz w:val="36"/>
            <w:szCs w:val="36"/>
          </w:rPr>
          <w:t>www.impots-Dz.Org.consulté</w:t>
        </w:r>
      </w:hyperlink>
      <w:r w:rsidR="00556552" w:rsidRPr="00FB184F">
        <w:rPr>
          <w:rFonts w:ascii="Sakkal Majalla" w:eastAsia="Sakkal Majalla" w:hAnsi="Sakkal Majalla" w:cs="Sakkal Majalla"/>
          <w:b/>
          <w:sz w:val="36"/>
          <w:szCs w:val="36"/>
        </w:rPr>
        <w:t xml:space="preserve"> le 03/04/2013.</w:t>
      </w:r>
    </w:p>
    <w:sectPr w:rsidR="00556552" w:rsidRPr="00FB184F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148"/>
    <w:multiLevelType w:val="hybridMultilevel"/>
    <w:tmpl w:val="2AC05B80"/>
    <w:lvl w:ilvl="0" w:tplc="692E7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31"/>
    <w:rsid w:val="000C20AC"/>
    <w:rsid w:val="001D4536"/>
    <w:rsid w:val="003E4D31"/>
    <w:rsid w:val="0045720B"/>
    <w:rsid w:val="004E3196"/>
    <w:rsid w:val="00556552"/>
    <w:rsid w:val="00AA6006"/>
    <w:rsid w:val="00B43C49"/>
    <w:rsid w:val="00CA34D4"/>
    <w:rsid w:val="00D85928"/>
    <w:rsid w:val="00F4607A"/>
    <w:rsid w:val="00FB184F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47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6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47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6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pots-Dz.Org.consult&#23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Meriyam</dc:creator>
  <cp:lastModifiedBy>farid</cp:lastModifiedBy>
  <cp:revision>2</cp:revision>
  <dcterms:created xsi:type="dcterms:W3CDTF">2020-06-27T10:14:00Z</dcterms:created>
  <dcterms:modified xsi:type="dcterms:W3CDTF">2020-06-27T10:14:00Z</dcterms:modified>
</cp:coreProperties>
</file>