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D9" w:rsidRPr="000438F7" w:rsidRDefault="000F29D9" w:rsidP="00121EF4">
      <w:pPr>
        <w:bidi/>
        <w:outlineLvl w:val="0"/>
        <w:rPr>
          <w:rFonts w:ascii="Traditional Arabic" w:hAnsi="Traditional Arabic" w:cs="Traditional Arabic"/>
          <w:b/>
          <w:bCs/>
          <w:sz w:val="36"/>
          <w:szCs w:val="36"/>
          <w:u w:val="single"/>
        </w:rPr>
      </w:pPr>
      <w:proofErr w:type="gramStart"/>
      <w:r w:rsidRPr="000438F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المراجــــــــــــــــــع</w:t>
      </w:r>
      <w:proofErr w:type="gramEnd"/>
    </w:p>
    <w:p w:rsidR="000438F7" w:rsidRDefault="000438F7" w:rsidP="000438F7">
      <w:pPr>
        <w:bidi/>
      </w:pPr>
    </w:p>
    <w:p w:rsidR="000438F7" w:rsidRPr="00AF19E6" w:rsidRDefault="000438F7" w:rsidP="000438F7">
      <w:pPr>
        <w:bidi/>
        <w:rPr>
          <w:rFonts w:asciiTheme="majorBidi" w:hAnsiTheme="majorBidi" w:cstheme="majorBidi"/>
          <w:sz w:val="28"/>
          <w:szCs w:val="28"/>
        </w:rPr>
      </w:pPr>
    </w:p>
    <w:p w:rsidR="000438F7" w:rsidRPr="000438F7" w:rsidRDefault="000438F7" w:rsidP="00121EF4">
      <w:pPr>
        <w:bidi/>
        <w:outlineLvl w:val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0438F7">
        <w:rPr>
          <w:rFonts w:ascii="Traditional Arabic" w:hAnsi="Traditional Arabic" w:cs="Traditional Arabic"/>
          <w:b/>
          <w:bCs/>
          <w:sz w:val="36"/>
          <w:szCs w:val="36"/>
          <w:rtl/>
        </w:rPr>
        <w:t>أولا: قائمة</w:t>
      </w:r>
      <w:r w:rsidRPr="000438F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0438F7">
        <w:rPr>
          <w:rFonts w:ascii="Traditional Arabic" w:hAnsi="Traditional Arabic" w:cs="Traditional Arabic"/>
          <w:b/>
          <w:bCs/>
          <w:sz w:val="36"/>
          <w:szCs w:val="36"/>
          <w:rtl/>
        </w:rPr>
        <w:t>المراجع</w:t>
      </w:r>
      <w:r w:rsidRPr="000438F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0438F7">
        <w:rPr>
          <w:rFonts w:ascii="Traditional Arabic" w:hAnsi="Traditional Arabic" w:cs="Traditional Arabic"/>
          <w:b/>
          <w:bCs/>
          <w:sz w:val="36"/>
          <w:szCs w:val="36"/>
          <w:rtl/>
        </w:rPr>
        <w:t>باللغة</w:t>
      </w:r>
      <w:r w:rsidRPr="000438F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0438F7">
        <w:rPr>
          <w:rFonts w:ascii="Traditional Arabic" w:hAnsi="Traditional Arabic" w:cs="Traditional Arabic"/>
          <w:b/>
          <w:bCs/>
          <w:sz w:val="36"/>
          <w:szCs w:val="36"/>
          <w:rtl/>
        </w:rPr>
        <w:t>العربية</w:t>
      </w:r>
      <w:r w:rsidRPr="000438F7">
        <w:rPr>
          <w:rFonts w:ascii="Traditional Arabic" w:hAnsi="Traditional Arabic" w:cs="Traditional Arabic"/>
          <w:b/>
          <w:bCs/>
          <w:sz w:val="36"/>
          <w:szCs w:val="36"/>
        </w:rPr>
        <w:t>:</w:t>
      </w:r>
    </w:p>
    <w:p w:rsidR="000438F7" w:rsidRDefault="000F29D9" w:rsidP="00121EF4">
      <w:pPr>
        <w:bidi/>
        <w:rPr>
          <w:rFonts w:ascii="Traditional Arabic" w:hAnsi="Traditional Arabic" w:cs="Traditional Arabic" w:hint="cs"/>
          <w:b/>
          <w:bCs/>
          <w:rtl/>
        </w:rPr>
      </w:pPr>
      <w:r>
        <w:br/>
      </w:r>
      <w:proofErr w:type="gramStart"/>
      <w:r w:rsidR="000438F7">
        <w:rPr>
          <w:rFonts w:cs="Arabic Transparent" w:hint="cs"/>
          <w:b/>
          <w:bCs/>
          <w:rtl/>
        </w:rPr>
        <w:t xml:space="preserve">-  </w:t>
      </w:r>
      <w:r w:rsidRPr="000438F7">
        <w:rPr>
          <w:rFonts w:ascii="Traditional Arabic" w:hAnsi="Traditional Arabic" w:cs="Traditional Arabic"/>
          <w:b/>
          <w:bCs/>
          <w:rtl/>
        </w:rPr>
        <w:t>مذكرات</w:t>
      </w:r>
      <w:proofErr w:type="gramEnd"/>
      <w:r w:rsidRPr="000438F7">
        <w:rPr>
          <w:rFonts w:ascii="Traditional Arabic" w:hAnsi="Traditional Arabic" w:cs="Traditional Arabic"/>
          <w:b/>
          <w:bCs/>
          <w:rtl/>
        </w:rPr>
        <w:t xml:space="preserve"> ودروس في</w:t>
      </w:r>
      <w:r w:rsidRPr="000438F7">
        <w:rPr>
          <w:rFonts w:ascii="Traditional Arabic" w:hAnsi="Traditional Arabic" w:cs="Traditional Arabic"/>
          <w:b/>
          <w:bCs/>
        </w:rPr>
        <w:t xml:space="preserve"> </w:t>
      </w:r>
      <w:r w:rsidRPr="000438F7">
        <w:rPr>
          <w:rFonts w:ascii="Traditional Arabic" w:hAnsi="Traditional Arabic" w:cs="Traditional Arabic"/>
          <w:b/>
          <w:bCs/>
          <w:rtl/>
        </w:rPr>
        <w:t>التحرير الإداري</w:t>
      </w:r>
      <w:r w:rsidR="000438F7"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Pr="000438F7">
        <w:rPr>
          <w:rFonts w:ascii="Traditional Arabic" w:hAnsi="Traditional Arabic" w:cs="Traditional Arabic"/>
          <w:b/>
          <w:bCs/>
          <w:rtl/>
        </w:rPr>
        <w:t>المعهد</w:t>
      </w:r>
      <w:r w:rsidRPr="000438F7">
        <w:rPr>
          <w:rFonts w:ascii="Traditional Arabic" w:hAnsi="Traditional Arabic" w:cs="Traditional Arabic"/>
          <w:b/>
          <w:bCs/>
        </w:rPr>
        <w:t xml:space="preserve"> </w:t>
      </w:r>
      <w:r w:rsidRPr="000438F7">
        <w:rPr>
          <w:rFonts w:ascii="Traditional Arabic" w:hAnsi="Traditional Arabic" w:cs="Traditional Arabic"/>
          <w:b/>
          <w:bCs/>
          <w:rtl/>
        </w:rPr>
        <w:t>الوطني المتخصص في التسيير بشار 1992 – 1995</w:t>
      </w:r>
      <w:r w:rsidRPr="000438F7">
        <w:rPr>
          <w:rFonts w:ascii="Traditional Arabic" w:hAnsi="Traditional Arabic" w:cs="Traditional Arabic"/>
          <w:b/>
          <w:bCs/>
        </w:rPr>
        <w:t>.</w:t>
      </w:r>
      <w:r w:rsidRPr="000438F7">
        <w:rPr>
          <w:rFonts w:ascii="Traditional Arabic" w:hAnsi="Traditional Arabic" w:cs="Traditional Arabic"/>
          <w:b/>
          <w:bCs/>
        </w:rPr>
        <w:br/>
      </w:r>
      <w:r w:rsidR="000438F7">
        <w:rPr>
          <w:rFonts w:ascii="Traditional Arabic" w:hAnsi="Traditional Arabic" w:cs="Traditional Arabic" w:hint="cs"/>
          <w:b/>
          <w:bCs/>
          <w:rtl/>
        </w:rPr>
        <w:t xml:space="preserve">- </w:t>
      </w:r>
      <w:r w:rsidRPr="000438F7">
        <w:rPr>
          <w:rFonts w:ascii="Traditional Arabic" w:hAnsi="Traditional Arabic" w:cs="Traditional Arabic"/>
          <w:b/>
          <w:bCs/>
          <w:rtl/>
        </w:rPr>
        <w:t>المراسلة العامة</w:t>
      </w:r>
      <w:r w:rsidR="000438F7"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Pr="000438F7">
        <w:rPr>
          <w:rFonts w:ascii="Traditional Arabic" w:hAnsi="Traditional Arabic" w:cs="Traditional Arabic"/>
          <w:b/>
          <w:bCs/>
          <w:rtl/>
        </w:rPr>
        <w:t>للأستاذ: بدر الدين بن تريدي – دار المعرفة</w:t>
      </w:r>
      <w:r w:rsidRPr="000438F7">
        <w:rPr>
          <w:rFonts w:ascii="Traditional Arabic" w:hAnsi="Traditional Arabic" w:cs="Traditional Arabic"/>
          <w:b/>
          <w:bCs/>
        </w:rPr>
        <w:t xml:space="preserve"> 1998 -</w:t>
      </w:r>
      <w:r w:rsidRPr="000438F7">
        <w:rPr>
          <w:rFonts w:ascii="Traditional Arabic" w:hAnsi="Traditional Arabic" w:cs="Traditional Arabic"/>
          <w:b/>
          <w:bCs/>
        </w:rPr>
        <w:br/>
      </w:r>
      <w:r w:rsidR="000438F7">
        <w:rPr>
          <w:rFonts w:ascii="Traditional Arabic" w:hAnsi="Traditional Arabic" w:cs="Traditional Arabic" w:hint="cs"/>
          <w:b/>
          <w:bCs/>
          <w:rtl/>
        </w:rPr>
        <w:t>-</w:t>
      </w:r>
      <w:r w:rsidRPr="000438F7">
        <w:rPr>
          <w:rFonts w:ascii="Traditional Arabic" w:hAnsi="Traditional Arabic" w:cs="Traditional Arabic"/>
          <w:b/>
          <w:bCs/>
        </w:rPr>
        <w:t xml:space="preserve"> </w:t>
      </w:r>
      <w:r w:rsidRPr="000438F7">
        <w:rPr>
          <w:rFonts w:ascii="Traditional Arabic" w:hAnsi="Traditional Arabic" w:cs="Traditional Arabic"/>
          <w:b/>
          <w:bCs/>
          <w:rtl/>
        </w:rPr>
        <w:t>المراسلة التجارية</w:t>
      </w:r>
      <w:r w:rsidR="000438F7"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Pr="000438F7">
        <w:rPr>
          <w:rFonts w:ascii="Traditional Arabic" w:hAnsi="Traditional Arabic" w:cs="Traditional Arabic"/>
          <w:b/>
          <w:bCs/>
          <w:rtl/>
        </w:rPr>
        <w:t>الاتصال الداخلي والخارجي للمؤسسات</w:t>
      </w:r>
      <w:r w:rsidR="000438F7"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Pr="000438F7">
        <w:rPr>
          <w:rFonts w:ascii="Traditional Arabic" w:hAnsi="Traditional Arabic" w:cs="Traditional Arabic"/>
          <w:b/>
          <w:bCs/>
          <w:rtl/>
        </w:rPr>
        <w:t xml:space="preserve">للأستاذة سميرة </w:t>
      </w:r>
      <w:proofErr w:type="spellStart"/>
      <w:r w:rsidRPr="000438F7">
        <w:rPr>
          <w:rFonts w:ascii="Traditional Arabic" w:hAnsi="Traditional Arabic" w:cs="Traditional Arabic"/>
          <w:b/>
          <w:bCs/>
          <w:rtl/>
        </w:rPr>
        <w:t>حازورلي</w:t>
      </w:r>
      <w:proofErr w:type="spellEnd"/>
      <w:r w:rsidRPr="000438F7">
        <w:rPr>
          <w:rFonts w:ascii="Traditional Arabic" w:hAnsi="Traditional Arabic" w:cs="Traditional Arabic"/>
          <w:b/>
          <w:bCs/>
          <w:rtl/>
        </w:rPr>
        <w:t xml:space="preserve"> – دار الهدى 1993</w:t>
      </w:r>
      <w:r w:rsidRPr="000438F7">
        <w:rPr>
          <w:rFonts w:ascii="Traditional Arabic" w:hAnsi="Traditional Arabic" w:cs="Traditional Arabic"/>
          <w:b/>
          <w:bCs/>
        </w:rPr>
        <w:t xml:space="preserve"> </w:t>
      </w:r>
      <w:r w:rsidR="000438F7">
        <w:rPr>
          <w:rFonts w:ascii="Traditional Arabic" w:hAnsi="Traditional Arabic" w:cs="Traditional Arabic"/>
          <w:b/>
          <w:bCs/>
        </w:rPr>
        <w:t>–</w:t>
      </w:r>
    </w:p>
    <w:p w:rsidR="000438F7" w:rsidRDefault="000438F7" w:rsidP="00121EF4">
      <w:pPr>
        <w:bidi/>
        <w:rPr>
          <w:rFonts w:ascii="Traditional Arabic" w:hAnsi="Traditional Arabic" w:cs="Traditional Arabic" w:hint="cs"/>
          <w:b/>
          <w:bCs/>
          <w:rtl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- 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الدليل العلمي لح</w:t>
      </w:r>
      <w:proofErr w:type="gramStart"/>
      <w:r w:rsidR="000F29D9" w:rsidRPr="000438F7">
        <w:rPr>
          <w:rFonts w:ascii="Traditional Arabic" w:hAnsi="Traditional Arabic" w:cs="Traditional Arabic"/>
          <w:b/>
          <w:bCs/>
          <w:rtl/>
        </w:rPr>
        <w:t>قوق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ال</w:t>
      </w:r>
      <w:proofErr w:type="gramEnd"/>
      <w:r w:rsidR="000F29D9" w:rsidRPr="000438F7">
        <w:rPr>
          <w:rFonts w:ascii="Traditional Arabic" w:hAnsi="Traditional Arabic" w:cs="Traditional Arabic"/>
          <w:b/>
          <w:bCs/>
          <w:rtl/>
        </w:rPr>
        <w:t>مواطن</w:t>
      </w:r>
      <w:r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اتجاه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الإدارة</w:t>
      </w:r>
      <w:r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للأستاذ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proofErr w:type="spellStart"/>
      <w:r w:rsidR="000F29D9" w:rsidRPr="000438F7">
        <w:rPr>
          <w:rFonts w:ascii="Traditional Arabic" w:hAnsi="Traditional Arabic" w:cs="Traditional Arabic"/>
          <w:b/>
          <w:bCs/>
          <w:rtl/>
        </w:rPr>
        <w:t>بوكحيل</w:t>
      </w:r>
      <w:proofErr w:type="spellEnd"/>
      <w:r w:rsidR="000F29D9" w:rsidRPr="000438F7">
        <w:rPr>
          <w:rFonts w:ascii="Traditional Arabic" w:hAnsi="Traditional Arabic" w:cs="Traditional Arabic"/>
          <w:b/>
          <w:bCs/>
          <w:rtl/>
        </w:rPr>
        <w:t xml:space="preserve"> </w:t>
      </w:r>
      <w:proofErr w:type="spellStart"/>
      <w:r w:rsidR="000F29D9" w:rsidRPr="000438F7">
        <w:rPr>
          <w:rFonts w:ascii="Traditional Arabic" w:hAnsi="Traditional Arabic" w:cs="Traditional Arabic"/>
          <w:b/>
          <w:bCs/>
          <w:rtl/>
        </w:rPr>
        <w:t>بوجمعة</w:t>
      </w:r>
      <w:proofErr w:type="spellEnd"/>
      <w:r w:rsidR="000F29D9" w:rsidRPr="000438F7">
        <w:rPr>
          <w:rFonts w:ascii="Traditional Arabic" w:hAnsi="Traditional Arabic" w:cs="Traditional Arabic"/>
          <w:b/>
          <w:bCs/>
          <w:rtl/>
        </w:rPr>
        <w:t xml:space="preserve"> – دار الهدى 2001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–</w:t>
      </w:r>
      <w:r w:rsidR="000F29D9" w:rsidRPr="000438F7">
        <w:rPr>
          <w:rFonts w:ascii="Traditional Arabic" w:hAnsi="Traditional Arabic" w:cs="Traditional Arabic"/>
          <w:b/>
          <w:bCs/>
        </w:rPr>
        <w:br/>
      </w:r>
      <w:r>
        <w:rPr>
          <w:rFonts w:ascii="Traditional Arabic" w:hAnsi="Traditional Arabic" w:cs="Traditional Arabic" w:hint="cs"/>
          <w:b/>
          <w:bCs/>
          <w:rtl/>
        </w:rPr>
        <w:t xml:space="preserve">- 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مرسوم رقم 81-157 المؤرخ في 18/07/1981</w:t>
      </w:r>
      <w:r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المحدد لعلاقة الإدارة بالمواطن</w:t>
      </w:r>
      <w:r w:rsidR="000F29D9" w:rsidRPr="000438F7">
        <w:rPr>
          <w:rFonts w:ascii="Traditional Arabic" w:hAnsi="Traditional Arabic" w:cs="Traditional Arabic"/>
          <w:b/>
          <w:bCs/>
        </w:rPr>
        <w:t>.</w:t>
      </w:r>
      <w:r w:rsidR="000F29D9" w:rsidRPr="000438F7">
        <w:rPr>
          <w:rFonts w:ascii="Traditional Arabic" w:hAnsi="Traditional Arabic" w:cs="Traditional Arabic"/>
          <w:b/>
          <w:bCs/>
        </w:rPr>
        <w:br/>
      </w:r>
      <w:r>
        <w:rPr>
          <w:rFonts w:ascii="Traditional Arabic" w:hAnsi="Traditional Arabic" w:cs="Traditional Arabic" w:hint="cs"/>
          <w:b/>
          <w:bCs/>
          <w:rtl/>
        </w:rPr>
        <w:t>-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 xml:space="preserve">دستور 28 نوفمبر </w:t>
      </w:r>
      <w:proofErr w:type="gramStart"/>
      <w:r w:rsidR="000F29D9" w:rsidRPr="000438F7">
        <w:rPr>
          <w:rFonts w:ascii="Traditional Arabic" w:hAnsi="Traditional Arabic" w:cs="Traditional Arabic"/>
          <w:b/>
          <w:bCs/>
          <w:rtl/>
        </w:rPr>
        <w:t>1996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>
        <w:rPr>
          <w:rFonts w:ascii="Traditional Arabic" w:hAnsi="Traditional Arabic" w:cs="Traditional Arabic" w:hint="cs"/>
          <w:b/>
          <w:bCs/>
          <w:rtl/>
        </w:rPr>
        <w:t>،</w:t>
      </w:r>
      <w:proofErr w:type="gramEnd"/>
      <w:r>
        <w:rPr>
          <w:rFonts w:ascii="Traditional Arabic" w:hAnsi="Traditional Arabic" w:cs="Traditional Arabic" w:hint="cs"/>
          <w:b/>
          <w:bCs/>
          <w:rtl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دار النجاح للكتاب – الجزائر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–</w:t>
      </w:r>
      <w:r w:rsidR="000F29D9" w:rsidRPr="000438F7">
        <w:rPr>
          <w:rFonts w:ascii="Traditional Arabic" w:hAnsi="Traditional Arabic" w:cs="Traditional Arabic"/>
          <w:b/>
          <w:bCs/>
        </w:rPr>
        <w:br/>
      </w:r>
      <w:r>
        <w:rPr>
          <w:rFonts w:ascii="Traditional Arabic" w:hAnsi="Traditional Arabic" w:cs="Traditional Arabic" w:hint="cs"/>
          <w:b/>
          <w:bCs/>
          <w:rtl/>
        </w:rPr>
        <w:t xml:space="preserve">- 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قاموس قانوني " فرنسي عربي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"</w:t>
      </w:r>
      <w:r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للأستاذ عبد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القادر الحاج – 1975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SNED </w:t>
      </w:r>
      <w:r>
        <w:rPr>
          <w:rFonts w:ascii="Traditional Arabic" w:hAnsi="Traditional Arabic" w:cs="Traditional Arabic"/>
          <w:b/>
          <w:bCs/>
        </w:rPr>
        <w:t>–</w:t>
      </w:r>
    </w:p>
    <w:p w:rsidR="00AF19E6" w:rsidRPr="000438F7" w:rsidRDefault="000438F7" w:rsidP="00121EF4">
      <w:pPr>
        <w:bidi/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</w:pPr>
      <w:r>
        <w:rPr>
          <w:rFonts w:ascii="Traditional Arabic" w:hAnsi="Traditional Arabic" w:cs="Traditional Arabic" w:hint="cs"/>
          <w:b/>
          <w:bCs/>
          <w:rtl/>
        </w:rPr>
        <w:t xml:space="preserve">- 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معجم الجيب</w:t>
      </w:r>
      <w:r>
        <w:rPr>
          <w:rFonts w:ascii="Traditional Arabic" w:hAnsi="Traditional Arabic" w:cs="Traditional Arabic" w:hint="cs"/>
          <w:b/>
          <w:bCs/>
          <w:rtl/>
        </w:rPr>
        <w:t xml:space="preserve">، ،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للأستاذ داري ناصر</w:t>
      </w:r>
      <w:r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مصطلحات المالية والتسيير " فرنسي عربي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"</w:t>
      </w:r>
      <w:r>
        <w:rPr>
          <w:rFonts w:ascii="Traditional Arabic" w:hAnsi="Traditional Arabic" w:cs="Traditional Arabic" w:hint="cs"/>
          <w:b/>
          <w:bCs/>
          <w:rtl/>
        </w:rPr>
        <w:t xml:space="preserve">، 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- </w:t>
      </w:r>
      <w:r w:rsidR="000F29D9" w:rsidRPr="000438F7">
        <w:rPr>
          <w:rFonts w:ascii="Traditional Arabic" w:hAnsi="Traditional Arabic" w:cs="Traditional Arabic"/>
          <w:b/>
          <w:bCs/>
          <w:rtl/>
        </w:rPr>
        <w:t>دار الهدى 1990</w:t>
      </w:r>
      <w:r w:rsidR="000F29D9" w:rsidRPr="000438F7">
        <w:rPr>
          <w:rFonts w:ascii="Traditional Arabic" w:hAnsi="Traditional Arabic" w:cs="Traditional Arabic"/>
          <w:b/>
          <w:bCs/>
        </w:rPr>
        <w:t xml:space="preserve"> –</w:t>
      </w:r>
      <w:r w:rsidR="000F29D9" w:rsidRPr="00121EF4">
        <w:rPr>
          <w:rFonts w:ascii="Traditional Arabic" w:hAnsi="Traditional Arabic" w:cs="Traditional Arabic"/>
          <w:b/>
          <w:bCs/>
        </w:rPr>
        <w:br/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121EF4">
        <w:rPr>
          <w:rFonts w:ascii="Traditional Arabic" w:eastAsiaTheme="minorHAnsi" w:hAnsi="Traditional Arabic" w:cs="Traditional Arabic" w:hint="cs"/>
          <w:b/>
          <w:bCs/>
          <w:color w:val="3E3E3E"/>
          <w:rtl/>
          <w:lang w:eastAsia="en-US"/>
        </w:rPr>
        <w:t xml:space="preserve">-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ابتسام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proofErr w:type="spellStart"/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القرام</w:t>
      </w:r>
      <w:proofErr w:type="spellEnd"/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،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المصطلحات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القانونية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في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التشريع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الجزائري،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قاموس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باللغتين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العربية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و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="00AF19E6" w:rsidRPr="00121EF4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الفرنسية،</w:t>
      </w:r>
      <w:r w:rsidR="00121EF4">
        <w:rPr>
          <w:rFonts w:ascii="Traditional Arabic" w:eastAsiaTheme="minorHAnsi" w:hAnsi="Traditional Arabic" w:cs="Traditional Arabic" w:hint="cs"/>
          <w:b/>
          <w:bCs/>
          <w:color w:val="3E3E3E"/>
          <w:rtl/>
          <w:lang w:eastAsia="en-US"/>
        </w:rPr>
        <w:t xml:space="preserve"> </w:t>
      </w:r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. </w:t>
      </w:r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قصر</w:t>
      </w:r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proofErr w:type="gramStart"/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الكتاب</w:t>
      </w:r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 </w:t>
      </w:r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البليدة</w:t>
      </w:r>
      <w:proofErr w:type="gramEnd"/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،</w:t>
      </w:r>
      <w:r w:rsidR="00AF19E6"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1998</w:t>
      </w:r>
    </w:p>
    <w:p w:rsidR="00AF19E6" w:rsidRPr="000438F7" w:rsidRDefault="00AF19E6" w:rsidP="00121EF4">
      <w:pPr>
        <w:autoSpaceDE w:val="0"/>
        <w:autoSpaceDN w:val="0"/>
        <w:bidi/>
        <w:adjustRightInd w:val="0"/>
        <w:outlineLvl w:val="0"/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. -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بدر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الدين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بن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تريدي،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المراسلة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العامة،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دار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المعرفة،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1998</w:t>
      </w:r>
    </w:p>
    <w:p w:rsidR="00AF19E6" w:rsidRPr="000438F7" w:rsidRDefault="00AF19E6" w:rsidP="00121EF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- </w:t>
      </w:r>
      <w:proofErr w:type="spellStart"/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بوحميده</w:t>
      </w:r>
      <w:proofErr w:type="spellEnd"/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عطاء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الله،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دروس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في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المراسلات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الإدارية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مع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نماذج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تطبيقية،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ديوان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المطبوعات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proofErr w:type="spellStart"/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الجامعيه</w:t>
      </w:r>
      <w:proofErr w:type="spellEnd"/>
      <w:proofErr w:type="gramStart"/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،</w:t>
      </w:r>
      <w:r w:rsidR="00121EF4">
        <w:rPr>
          <w:rFonts w:ascii="Traditional Arabic" w:eastAsiaTheme="minorHAnsi" w:hAnsi="Traditional Arabic" w:cs="Traditional Arabic" w:hint="cs"/>
          <w:b/>
          <w:bCs/>
          <w:color w:val="000000"/>
          <w:rtl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>.</w:t>
      </w:r>
      <w:proofErr w:type="gramEnd"/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proofErr w:type="gramStart"/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الجزائر</w:t>
      </w:r>
      <w:proofErr w:type="gramEnd"/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،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1999</w:t>
      </w:r>
    </w:p>
    <w:p w:rsidR="00AF19E6" w:rsidRPr="000438F7" w:rsidRDefault="00AF19E6" w:rsidP="00121EF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-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خديجة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proofErr w:type="spellStart"/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الحناوي</w:t>
      </w:r>
      <w:proofErr w:type="spellEnd"/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،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المراسلات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الإدارية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: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الدروس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التمهيدية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لدراسة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الوثائق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الإدارية،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منشورات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مكتب</w:t>
      </w:r>
      <w:r w:rsidR="00121EF4">
        <w:rPr>
          <w:rFonts w:ascii="Traditional Arabic" w:eastAsiaTheme="minorHAnsi" w:hAnsi="Traditional Arabic" w:cs="Traditional Arabic" w:hint="cs"/>
          <w:b/>
          <w:bCs/>
          <w:color w:val="000000"/>
          <w:rtl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التكوين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المهني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و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إنعاش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الشغل،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المملكة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rtl/>
          <w:lang w:eastAsia="en-US"/>
        </w:rPr>
        <w:t>المغربية</w:t>
      </w:r>
      <w:r w:rsidRPr="000438F7">
        <w:rPr>
          <w:rFonts w:ascii="Traditional Arabic" w:eastAsiaTheme="minorHAnsi" w:hAnsi="Traditional Arabic" w:cs="Traditional Arabic"/>
          <w:b/>
          <w:bCs/>
          <w:color w:val="000000"/>
          <w:lang w:eastAsia="en-US"/>
        </w:rPr>
        <w:t>.</w:t>
      </w:r>
    </w:p>
    <w:p w:rsidR="00AF19E6" w:rsidRPr="000438F7" w:rsidRDefault="00AF19E6" w:rsidP="00121EF4">
      <w:pPr>
        <w:autoSpaceDE w:val="0"/>
        <w:autoSpaceDN w:val="0"/>
        <w:bidi/>
        <w:adjustRightInd w:val="0"/>
        <w:outlineLvl w:val="0"/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. -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رائد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ناجي،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البشير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في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المراسلات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العامة،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دار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الشيخ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البشير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الإبراهيمي،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2008</w:t>
      </w:r>
    </w:p>
    <w:p w:rsidR="00AF19E6" w:rsidRPr="000438F7" w:rsidRDefault="00AF19E6" w:rsidP="00121EF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-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عبد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الغني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بن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منصور،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المرشد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العلمي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في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الإنشاء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الإداري،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الشركة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الوطنية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للنشر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و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التوزيع</w:t>
      </w:r>
      <w:r w:rsidR="00121EF4">
        <w:rPr>
          <w:rFonts w:ascii="Traditional Arabic" w:eastAsiaTheme="minorHAnsi" w:hAnsi="Traditional Arabic" w:cs="Traditional Arabic" w:hint="cs"/>
          <w:b/>
          <w:bCs/>
          <w:color w:val="3E3E3E"/>
          <w:rtl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.1982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>SNED</w:t>
      </w:r>
    </w:p>
    <w:p w:rsidR="00AF19E6" w:rsidRPr="000438F7" w:rsidRDefault="00AF19E6" w:rsidP="00121EF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-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المجلس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الأعلى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للغة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العربية،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دليل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وظيفي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في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إدارة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الموارد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البشرية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"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مصطلحات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و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نماذج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>"</w:t>
      </w:r>
      <w:proofErr w:type="gramStart"/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،</w:t>
      </w:r>
      <w:r w:rsidR="00121EF4">
        <w:rPr>
          <w:rFonts w:ascii="Traditional Arabic" w:eastAsiaTheme="minorHAnsi" w:hAnsi="Traditional Arabic" w:cs="Traditional Arabic" w:hint="cs"/>
          <w:b/>
          <w:bCs/>
          <w:color w:val="3E3E3E"/>
          <w:rtl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>.</w:t>
      </w:r>
      <w:proofErr w:type="gramEnd"/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منشورات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المجلس،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2006</w:t>
      </w:r>
    </w:p>
    <w:p w:rsidR="00AF19E6" w:rsidRPr="000438F7" w:rsidRDefault="00AF19E6" w:rsidP="00AF19E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-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محمد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باهي،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المبادئ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و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الأسس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العلمية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للتحرير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الإداري،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مطبعة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النجاح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الجديدة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>.</w:t>
      </w:r>
    </w:p>
    <w:p w:rsidR="00AF19E6" w:rsidRDefault="00AF19E6" w:rsidP="00AF19E6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 w:hint="cs"/>
          <w:b/>
          <w:bCs/>
          <w:color w:val="3E3E3E"/>
          <w:rtl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– -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المعهد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الوطني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المتخصص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في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التسيير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بشار،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مذكرات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ودروس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في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التحرير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rtl/>
          <w:lang w:eastAsia="en-US"/>
        </w:rPr>
        <w:t>الإداري،</w:t>
      </w: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 xml:space="preserve"> 1992</w:t>
      </w:r>
    </w:p>
    <w:p w:rsidR="00121EF4" w:rsidRPr="00121EF4" w:rsidRDefault="00121EF4" w:rsidP="00121EF4">
      <w:pPr>
        <w:autoSpaceDE w:val="0"/>
        <w:autoSpaceDN w:val="0"/>
        <w:bidi/>
        <w:adjustRightInd w:val="0"/>
        <w:outlineLvl w:val="0"/>
        <w:rPr>
          <w:rFonts w:ascii="Traditional Arabic" w:hAnsi="Traditional Arabic" w:cs="Traditional Arabic"/>
          <w:b/>
          <w:bCs/>
          <w:sz w:val="36"/>
          <w:szCs w:val="36"/>
        </w:rPr>
      </w:pPr>
      <w:r w:rsidRPr="00121EF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ثانيا:</w:t>
      </w:r>
      <w:r w:rsidRPr="00121EF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Pr="000438F7">
        <w:rPr>
          <w:rFonts w:ascii="Traditional Arabic" w:hAnsi="Traditional Arabic" w:cs="Traditional Arabic"/>
          <w:b/>
          <w:bCs/>
          <w:sz w:val="36"/>
          <w:szCs w:val="36"/>
          <w:rtl/>
        </w:rPr>
        <w:t>قائمة</w:t>
      </w:r>
      <w:r w:rsidRPr="000438F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0438F7">
        <w:rPr>
          <w:rFonts w:ascii="Traditional Arabic" w:hAnsi="Traditional Arabic" w:cs="Traditional Arabic"/>
          <w:b/>
          <w:bCs/>
          <w:sz w:val="36"/>
          <w:szCs w:val="36"/>
          <w:rtl/>
        </w:rPr>
        <w:t>المراجع</w:t>
      </w:r>
      <w:r w:rsidRPr="000438F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Pr="000438F7">
        <w:rPr>
          <w:rFonts w:ascii="Traditional Arabic" w:hAnsi="Traditional Arabic" w:cs="Traditional Arabic"/>
          <w:b/>
          <w:bCs/>
          <w:sz w:val="36"/>
          <w:szCs w:val="36"/>
          <w:rtl/>
        </w:rPr>
        <w:t>باللغة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الاجنبية</w:t>
      </w:r>
      <w:proofErr w:type="spellEnd"/>
    </w:p>
    <w:p w:rsidR="00AF19E6" w:rsidRPr="000438F7" w:rsidRDefault="00AF19E6" w:rsidP="00121EF4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</w:pPr>
      <w:r w:rsidRPr="000438F7">
        <w:rPr>
          <w:rFonts w:ascii="Traditional Arabic" w:eastAsiaTheme="minorHAnsi" w:hAnsi="Traditional Arabic" w:cs="Traditional Arabic"/>
          <w:b/>
          <w:bCs/>
          <w:color w:val="3E3E3E"/>
          <w:lang w:eastAsia="en-US"/>
        </w:rPr>
        <w:t>.</w:t>
      </w:r>
    </w:p>
    <w:p w:rsidR="00AF19E6" w:rsidRPr="00AF19E6" w:rsidRDefault="00AF19E6" w:rsidP="00121EF4">
      <w:pPr>
        <w:autoSpaceDE w:val="0"/>
        <w:autoSpaceDN w:val="0"/>
        <w:adjustRightInd w:val="0"/>
        <w:outlineLvl w:val="0"/>
        <w:rPr>
          <w:rFonts w:asciiTheme="majorBidi" w:eastAsiaTheme="minorHAnsi" w:hAnsiTheme="majorBidi" w:cstheme="majorBidi"/>
          <w:b/>
          <w:bCs/>
          <w:color w:val="3E3E3E"/>
          <w:sz w:val="28"/>
          <w:szCs w:val="28"/>
          <w:lang w:eastAsia="en-US"/>
        </w:rPr>
      </w:pPr>
      <w:r w:rsidRPr="00AF19E6">
        <w:rPr>
          <w:rFonts w:asciiTheme="majorBidi" w:eastAsiaTheme="minorHAnsi" w:hAnsiTheme="majorBidi" w:cstheme="majorBidi"/>
          <w:b/>
          <w:bCs/>
          <w:color w:val="3E3E3E"/>
          <w:sz w:val="28"/>
          <w:szCs w:val="28"/>
          <w:lang w:eastAsia="en-US"/>
        </w:rPr>
        <w:t>Bibliographie en langue française</w:t>
      </w:r>
    </w:p>
    <w:p w:rsidR="00AF19E6" w:rsidRDefault="00AF19E6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proofErr w:type="spellStart"/>
      <w:r w:rsidRPr="00121EF4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Arbonnier</w:t>
      </w:r>
      <w:proofErr w:type="spellEnd"/>
      <w:r w:rsidRPr="00121EF4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Alain ; De </w:t>
      </w:r>
      <w:proofErr w:type="spellStart"/>
      <w:r w:rsidRPr="00121EF4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Meulemeester</w:t>
      </w:r>
      <w:proofErr w:type="spellEnd"/>
      <w:r w:rsidRPr="00121EF4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Bernard ; Ronchin, Josiane.- </w:t>
      </w:r>
      <w:r w:rsidRPr="00121EF4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lettre administrative </w:t>
      </w:r>
      <w:r w:rsidR="00121EF4" w:rsidRPr="00121EF4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>–</w:t>
      </w:r>
      <w:r w:rsidRPr="00121EF4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 Formation</w:t>
      </w:r>
      <w:r w:rsidR="00121EF4" w:rsidRPr="00121EF4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 </w:t>
      </w:r>
      <w:r w:rsidRPr="00121EF4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continue.- </w:t>
      </w:r>
      <w:r w:rsidRPr="00121EF4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La Documentation Française, 2000.- 99 p.-</w:t>
      </w:r>
    </w:p>
    <w:p w:rsidR="00AF19E6" w:rsidRDefault="00D57865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Block, </w:t>
      </w:r>
      <w:proofErr w:type="gramStart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Maurice ,</w:t>
      </w:r>
      <w:proofErr w:type="gramEnd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>Dictionnaire de l'administration française</w:t>
      </w:r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. Ed. Berger </w:t>
      </w:r>
      <w:proofErr w:type="spellStart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Levrault</w:t>
      </w:r>
      <w:proofErr w:type="spellEnd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et Cie, T1 et 2, 1877.</w:t>
      </w:r>
    </w:p>
    <w:p w:rsidR="00AF19E6" w:rsidRDefault="00D57865" w:rsidP="00D5786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Bonnery</w:t>
      </w:r>
      <w:proofErr w:type="spellEnd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R. ; Le </w:t>
      </w:r>
      <w:proofErr w:type="spellStart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Guérinel</w:t>
      </w:r>
      <w:proofErr w:type="spellEnd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Pierre.- </w:t>
      </w:r>
      <w:r w:rsidR="00AF19E6"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note administrative - </w:t>
      </w:r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La Documentation Française, 1995.- 134 p.-</w:t>
      </w:r>
    </w:p>
    <w:p w:rsidR="00AF19E6" w:rsidRPr="00D57865" w:rsidRDefault="00D57865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Catherine, Robert.- </w:t>
      </w:r>
      <w:r w:rsidR="00AF19E6"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Le style administratif.- </w:t>
      </w:r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Albin Michel, 1996.- 235 p.-</w:t>
      </w:r>
    </w:p>
    <w:p w:rsidR="00AF19E6" w:rsidRDefault="00AF19E6" w:rsidP="00AF19E6">
      <w:pPr>
        <w:autoSpaceDE w:val="0"/>
        <w:autoSpaceDN w:val="0"/>
        <w:adjustRightInd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121EF4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Crochu, Xavier ; Gillet, Didier ; Laine, Jean-Yves.- </w:t>
      </w:r>
      <w:r w:rsidRPr="00121EF4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note administrative.- </w:t>
      </w:r>
      <w:r w:rsidRPr="00121EF4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CDFA, 1996.- 23 p.</w:t>
      </w:r>
    </w:p>
    <w:p w:rsidR="00AF19E6" w:rsidRDefault="00D57865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Delafaye</w:t>
      </w:r>
      <w:proofErr w:type="spellEnd"/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François.- </w:t>
      </w:r>
      <w:r w:rsidR="00AF19E6"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>Préparation à l'épreuve de rédaction d'une note administrative : conseils de méthode,</w:t>
      </w:r>
      <w:r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 </w:t>
      </w:r>
      <w:r w:rsidR="00AF19E6"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>exercices et corrigés</w:t>
      </w:r>
      <w:proofErr w:type="gramStart"/>
      <w:r w:rsidR="00AF19E6"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>..</w:t>
      </w:r>
      <w:proofErr w:type="gramEnd"/>
      <w:r w:rsidR="00AF19E6" w:rsidRPr="00D57865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- </w:t>
      </w:r>
      <w:r w:rsidR="00AF19E6" w:rsidRPr="00D57865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Dijon : CAFA de Dijon, 1993.- 143 p.</w:t>
      </w:r>
    </w:p>
    <w:p w:rsidR="00AF19E6" w:rsidRDefault="00BB6452" w:rsidP="00121EF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Delval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Francine.-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lettre administrative - Formation continue.-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La Documentation Française, 1996.-75 p.-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Département des affaires économiques et sociales,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>Problème de l’élaboration administrative des actes</w:t>
      </w:r>
      <w:r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normatifs principalement dans les pays de droit administratif,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Nations Unies, New York, 1971.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Epinette, Françoise.-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Concours administratifs : la lettre administrative.-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Vuibert, 2005.- 125 p.-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Ferrandis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Yolande.-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rédaction administrative en pratique.-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Editions d'organisation, 2000.- 208 p.-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Gandouin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Jacques.-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Correspondance et rédaction administratives.-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Armand Colin, 1998.- 375 p.-</w:t>
      </w:r>
    </w:p>
    <w:p w:rsidR="00AF19E6" w:rsidRDefault="00BB6452" w:rsidP="00121EF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Le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Guérinel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Pierre.-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note administrative - Catégories A et B.-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La Documentation Française, 2003.-174 p.-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lastRenderedPageBreak/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Lejeune, Françoise.-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Réussir la note administrative.-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Levallois-Perret :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Studyrama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- Jeunes éditions, 2005.- 189p.-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Leroux, Martine ;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Stanek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Danielle ; CDFA.-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lettre administrative.-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CDFA, 1996.- 60 p.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Lescop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Jean-Yves ; Traiteur, Annie.-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La rédaction administrative.-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CDFA, 1996.- 34 p</w:t>
      </w:r>
    </w:p>
    <w:p w:rsidR="00AF19E6" w:rsidRDefault="00BB6452" w:rsidP="00121EF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Leurion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Rémi ; Terrien, Gérard.-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Réussir les épreuves de note de synthèse : catégories A et B.-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Paris </w:t>
      </w:r>
      <w:proofErr w:type="gram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:Foucher</w:t>
      </w:r>
      <w:proofErr w:type="gram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, 2000.- 319 p.-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Ministère de la Fonction publique et de la réforme de l'Etat ; COSLA - Comité d'Orientation pour la Simplification</w:t>
      </w: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du Langage Administratif.-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Guide pratique de la rédaction administrative.-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Ministère de la Fonction</w:t>
      </w: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publique et de la réforme de l'Etat, 2002.- 111 p.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Quillien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Philippe-Jean.-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L'épreuve de note ou de rapport (catégories A et B).-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Ellipses, 2005.- 334 p.-</w:t>
      </w:r>
    </w:p>
    <w:p w:rsidR="00AF19E6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Renaudineau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, Isabelle.-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Concours administratifs : note administrative.-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Vuibert, 2003.- 156 p.-</w:t>
      </w:r>
    </w:p>
    <w:p w:rsidR="00AF19E6" w:rsidRPr="00BB6452" w:rsidRDefault="00BB6452" w:rsidP="00AF19E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ind w:left="0"/>
        <w:outlineLvl w:val="0"/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</w:pPr>
      <w:r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 xml:space="preserve">Verdier, Pierre.- </w:t>
      </w:r>
      <w:r w:rsidR="00AF19E6" w:rsidRPr="00BB6452">
        <w:rPr>
          <w:rFonts w:asciiTheme="majorBidi" w:eastAsiaTheme="minorHAnsi" w:hAnsiTheme="majorBidi" w:cstheme="majorBidi"/>
          <w:b/>
          <w:bCs/>
          <w:color w:val="000000"/>
          <w:sz w:val="22"/>
          <w:szCs w:val="22"/>
          <w:lang w:eastAsia="en-US"/>
        </w:rPr>
        <w:t xml:space="preserve">Guide pratique de la correspondance administrative.- </w:t>
      </w:r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Paris : Berger-</w:t>
      </w:r>
      <w:proofErr w:type="spellStart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Levrault</w:t>
      </w:r>
      <w:proofErr w:type="spellEnd"/>
      <w:r w:rsidR="00AF19E6" w:rsidRPr="00BB6452">
        <w:rPr>
          <w:rFonts w:asciiTheme="majorBidi" w:eastAsiaTheme="minorHAnsi" w:hAnsiTheme="majorBidi" w:cstheme="majorBidi"/>
          <w:color w:val="000000"/>
          <w:sz w:val="22"/>
          <w:szCs w:val="22"/>
          <w:lang w:eastAsia="en-US"/>
        </w:rPr>
        <w:t>, 2001.- 95 p.-</w:t>
      </w:r>
    </w:p>
    <w:p w:rsidR="00AF19E6" w:rsidRPr="00AF19E6" w:rsidRDefault="00AF19E6" w:rsidP="00AF19E6">
      <w:pPr>
        <w:rPr>
          <w:rFonts w:asciiTheme="majorBidi" w:hAnsiTheme="majorBidi" w:cstheme="majorBidi"/>
          <w:sz w:val="28"/>
          <w:szCs w:val="28"/>
        </w:rPr>
      </w:pPr>
    </w:p>
    <w:sectPr w:rsidR="00AF19E6" w:rsidRPr="00AF19E6" w:rsidSect="00070AB1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F2CBF"/>
    <w:multiLevelType w:val="hybridMultilevel"/>
    <w:tmpl w:val="E1A8A496"/>
    <w:lvl w:ilvl="0" w:tplc="57920944">
      <w:start w:val="8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47776"/>
    <w:multiLevelType w:val="hybridMultilevel"/>
    <w:tmpl w:val="B6C09AFA"/>
    <w:lvl w:ilvl="0" w:tplc="54B4DAAC">
      <w:start w:val="8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29D9"/>
    <w:rsid w:val="000438F7"/>
    <w:rsid w:val="00070AB1"/>
    <w:rsid w:val="000F29D9"/>
    <w:rsid w:val="00121EF4"/>
    <w:rsid w:val="001C1D81"/>
    <w:rsid w:val="00660C31"/>
    <w:rsid w:val="00AF19E6"/>
    <w:rsid w:val="00BB6452"/>
    <w:rsid w:val="00CA2153"/>
    <w:rsid w:val="00D57865"/>
    <w:rsid w:val="00F9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38F7"/>
    <w:pPr>
      <w:ind w:left="720"/>
      <w:contextualSpacing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121EF4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121EF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DB97D-E0F4-4E4C-88B6-BF31B5F5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</dc:creator>
  <cp:lastModifiedBy>oussama</cp:lastModifiedBy>
  <cp:revision>2</cp:revision>
  <dcterms:created xsi:type="dcterms:W3CDTF">2020-06-07T21:46:00Z</dcterms:created>
  <dcterms:modified xsi:type="dcterms:W3CDTF">2020-06-07T21:46:00Z</dcterms:modified>
</cp:coreProperties>
</file>