
<file path=[Content_Types].xml><?xml version="1.0" encoding="utf-8"?>
<Types xmlns="http://schemas.openxmlformats.org/package/2006/content-types">
  <Default Extension="png" ContentType="image/png"/>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4B38" w:rsidRPr="00E64239" w:rsidRDefault="00BD64E0"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 xml:space="preserve">Chapitre 1 Introduction </w:t>
      </w:r>
    </w:p>
    <w:p w:rsidR="00BD64E0" w:rsidRPr="00E64239" w:rsidRDefault="00BD64E0" w:rsidP="003727B9">
      <w:pPr>
        <w:pStyle w:val="Paragraphedeliste"/>
        <w:numPr>
          <w:ilvl w:val="1"/>
          <w:numId w:val="1"/>
        </w:numPr>
        <w:jc w:val="both"/>
        <w:rPr>
          <w:rFonts w:asciiTheme="majorBidi" w:hAnsiTheme="majorBidi" w:cstheme="majorBidi"/>
          <w:b/>
          <w:bCs/>
          <w:sz w:val="24"/>
          <w:szCs w:val="24"/>
        </w:rPr>
      </w:pPr>
      <w:r w:rsidRPr="00E64239">
        <w:rPr>
          <w:rFonts w:asciiTheme="majorBidi" w:hAnsiTheme="majorBidi" w:cstheme="majorBidi"/>
          <w:b/>
          <w:bCs/>
          <w:sz w:val="24"/>
          <w:szCs w:val="24"/>
        </w:rPr>
        <w:t xml:space="preserve"> La réglementation et les textes réglementaires</w:t>
      </w:r>
    </w:p>
    <w:p w:rsidR="00BD64E0" w:rsidRPr="00E64239" w:rsidRDefault="00BD64E0" w:rsidP="003727B9">
      <w:pPr>
        <w:pStyle w:val="Paragraphedeliste"/>
        <w:ind w:left="360"/>
        <w:jc w:val="both"/>
        <w:rPr>
          <w:rFonts w:asciiTheme="majorBidi" w:hAnsiTheme="majorBidi" w:cstheme="majorBidi"/>
          <w:b/>
          <w:bCs/>
          <w:sz w:val="24"/>
          <w:szCs w:val="24"/>
        </w:rPr>
      </w:pPr>
    </w:p>
    <w:p w:rsidR="00920EC2" w:rsidRDefault="00BD64E0" w:rsidP="003727B9">
      <w:pPr>
        <w:pStyle w:val="Paragraphedeliste"/>
        <w:numPr>
          <w:ilvl w:val="2"/>
          <w:numId w:val="2"/>
        </w:numPr>
        <w:ind w:left="0" w:firstLine="0"/>
        <w:jc w:val="both"/>
        <w:rPr>
          <w:rFonts w:asciiTheme="majorBidi" w:hAnsiTheme="majorBidi" w:cstheme="majorBidi"/>
          <w:b/>
          <w:bCs/>
          <w:sz w:val="24"/>
          <w:szCs w:val="24"/>
        </w:rPr>
      </w:pPr>
      <w:r w:rsidRPr="00E64239">
        <w:rPr>
          <w:rFonts w:asciiTheme="majorBidi" w:hAnsiTheme="majorBidi" w:cstheme="majorBidi"/>
          <w:b/>
          <w:bCs/>
          <w:sz w:val="24"/>
          <w:szCs w:val="24"/>
        </w:rPr>
        <w:t xml:space="preserve">La réglementation : </w:t>
      </w:r>
    </w:p>
    <w:p w:rsidR="00BD64E0" w:rsidRPr="00920EC2" w:rsidRDefault="00920EC2" w:rsidP="003727B9">
      <w:pPr>
        <w:pStyle w:val="Paragraphedeliste"/>
        <w:ind w:left="0" w:firstLine="708"/>
        <w:jc w:val="both"/>
        <w:rPr>
          <w:rFonts w:asciiTheme="majorBidi" w:hAnsiTheme="majorBidi" w:cstheme="majorBidi"/>
          <w:b/>
          <w:bCs/>
          <w:sz w:val="24"/>
          <w:szCs w:val="24"/>
        </w:rPr>
      </w:pPr>
      <w:r w:rsidRPr="00920EC2">
        <w:rPr>
          <w:rFonts w:asciiTheme="majorBidi" w:hAnsiTheme="majorBidi" w:cstheme="majorBidi"/>
          <w:sz w:val="24"/>
          <w:szCs w:val="24"/>
        </w:rPr>
        <w:t xml:space="preserve"> La réglementation est le fait de réglementer, d'assujettir quelque chose ou quelqu'un à un règlement. </w:t>
      </w:r>
      <w:r w:rsidRPr="00920EC2">
        <w:rPr>
          <w:rFonts w:asciiTheme="majorBidi" w:hAnsiTheme="majorBidi" w:cstheme="majorBidi"/>
        </w:rPr>
        <w:t xml:space="preserve"> </w:t>
      </w:r>
      <w:r w:rsidRPr="00920EC2">
        <w:rPr>
          <w:rFonts w:asciiTheme="majorBidi" w:hAnsiTheme="majorBidi" w:cstheme="majorBidi"/>
          <w:sz w:val="24"/>
          <w:szCs w:val="24"/>
        </w:rPr>
        <w:t>Par extension au sens large, un ensemble d'indications, de lois, de prescriptions, de règles, et autres textes juridiques régissant une activité sociale.</w:t>
      </w:r>
      <w:r>
        <w:rPr>
          <w:rFonts w:asciiTheme="majorBidi" w:hAnsiTheme="majorBidi" w:cstheme="majorBidi"/>
          <w:sz w:val="24"/>
          <w:szCs w:val="24"/>
        </w:rPr>
        <w:t xml:space="preserve"> </w:t>
      </w:r>
      <w:r w:rsidR="00BD64E0" w:rsidRPr="00E64239">
        <w:rPr>
          <w:rFonts w:asciiTheme="majorBidi" w:hAnsiTheme="majorBidi" w:cstheme="majorBidi"/>
          <w:sz w:val="24"/>
          <w:szCs w:val="24"/>
        </w:rPr>
        <w:t>La réglementation est rédigée par les administrations compétentes ou les personnes mandatées.</w:t>
      </w:r>
    </w:p>
    <w:p w:rsidR="008676E3" w:rsidRPr="00E64239" w:rsidRDefault="008676E3" w:rsidP="003727B9">
      <w:pPr>
        <w:pStyle w:val="Default"/>
        <w:jc w:val="both"/>
        <w:rPr>
          <w:rFonts w:asciiTheme="majorBidi" w:hAnsiTheme="majorBidi" w:cstheme="majorBidi"/>
          <w:color w:val="auto"/>
        </w:rPr>
      </w:pPr>
    </w:p>
    <w:p w:rsidR="002B128C" w:rsidRPr="00E64239" w:rsidRDefault="009A204F"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1-1-2- T</w:t>
      </w:r>
      <w:r w:rsidR="002B128C" w:rsidRPr="00E64239">
        <w:rPr>
          <w:rFonts w:asciiTheme="majorBidi" w:hAnsiTheme="majorBidi" w:cstheme="majorBidi"/>
          <w:b/>
          <w:bCs/>
          <w:sz w:val="24"/>
          <w:szCs w:val="24"/>
        </w:rPr>
        <w:t>exte réglementaire :</w:t>
      </w:r>
    </w:p>
    <w:p w:rsidR="008676E3" w:rsidRPr="00E64239" w:rsidRDefault="008676E3" w:rsidP="003727B9">
      <w:pPr>
        <w:jc w:val="both"/>
        <w:rPr>
          <w:rFonts w:asciiTheme="majorBidi" w:hAnsiTheme="majorBidi" w:cstheme="majorBidi"/>
          <w:sz w:val="24"/>
          <w:szCs w:val="24"/>
        </w:rPr>
      </w:pPr>
      <w:r w:rsidRPr="00E64239">
        <w:rPr>
          <w:rFonts w:asciiTheme="majorBidi" w:hAnsiTheme="majorBidi" w:cstheme="majorBidi"/>
          <w:sz w:val="24"/>
          <w:szCs w:val="24"/>
        </w:rPr>
        <w:t xml:space="preserve"> Un texte réglementaire est un document officiel établi par les pouvoirs publics, qui fixe des règles et des exigences, généralement dans l’objectif de préserver la santé et la sécurité des utilisateurs, et de protéger l’environnement. Il est courant de désigner les textes de droit sous le terme de « normes », sachant que la norme est une règle qui du fait de son origine (Constitution, Lois, règlements administratifs, Traités ou Accords internationaux) et de son caractère général et impersonnel, constitue une source de droits et d'obligations juridiques. Dans le système juridique, on parlera alors de « normes juridi</w:t>
      </w:r>
      <w:r w:rsidR="007E10AF">
        <w:rPr>
          <w:rFonts w:asciiTheme="majorBidi" w:hAnsiTheme="majorBidi" w:cstheme="majorBidi"/>
          <w:sz w:val="24"/>
          <w:szCs w:val="24"/>
        </w:rPr>
        <w:t xml:space="preserve">ques », ou « normes de droit », </w:t>
      </w:r>
      <w:r w:rsidRPr="00E64239">
        <w:rPr>
          <w:rFonts w:asciiTheme="majorBidi" w:hAnsiTheme="majorBidi" w:cstheme="majorBidi"/>
          <w:sz w:val="24"/>
          <w:szCs w:val="24"/>
        </w:rPr>
        <w:t>pour les distinguer des « normes techniques »</w:t>
      </w:r>
      <w:r w:rsidR="002B128C" w:rsidRPr="00E64239">
        <w:rPr>
          <w:rFonts w:asciiTheme="majorBidi" w:hAnsiTheme="majorBidi" w:cstheme="majorBidi"/>
          <w:sz w:val="24"/>
          <w:szCs w:val="24"/>
        </w:rPr>
        <w:t>.</w:t>
      </w:r>
    </w:p>
    <w:p w:rsidR="00D72B94" w:rsidRPr="00E64239" w:rsidRDefault="007A7214" w:rsidP="003727B9">
      <w:pPr>
        <w:pStyle w:val="Paragraphedeliste"/>
        <w:spacing w:after="0" w:line="360" w:lineRule="auto"/>
        <w:ind w:left="0"/>
        <w:jc w:val="both"/>
        <w:rPr>
          <w:rFonts w:asciiTheme="majorBidi" w:hAnsiTheme="majorBidi" w:cstheme="majorBidi"/>
          <w:b/>
          <w:bCs/>
          <w:sz w:val="24"/>
          <w:szCs w:val="24"/>
        </w:rPr>
      </w:pPr>
      <w:r w:rsidRPr="00E64239">
        <w:rPr>
          <w:rFonts w:asciiTheme="majorBidi" w:hAnsiTheme="majorBidi" w:cstheme="majorBidi"/>
          <w:b/>
          <w:bCs/>
          <w:sz w:val="24"/>
          <w:szCs w:val="24"/>
        </w:rPr>
        <w:t xml:space="preserve">I-2- </w:t>
      </w:r>
      <w:r w:rsidR="009A204F" w:rsidRPr="00E64239">
        <w:rPr>
          <w:rFonts w:asciiTheme="majorBidi" w:hAnsiTheme="majorBidi" w:cstheme="majorBidi"/>
          <w:b/>
          <w:bCs/>
          <w:sz w:val="24"/>
          <w:szCs w:val="24"/>
        </w:rPr>
        <w:t>D</w:t>
      </w:r>
      <w:r w:rsidR="002B128C" w:rsidRPr="00E64239">
        <w:rPr>
          <w:rFonts w:asciiTheme="majorBidi" w:hAnsiTheme="majorBidi" w:cstheme="majorBidi"/>
          <w:b/>
          <w:bCs/>
          <w:sz w:val="24"/>
          <w:szCs w:val="24"/>
        </w:rPr>
        <w:t>éveloppement économique et normalisation</w:t>
      </w:r>
      <w:r w:rsidR="00D72B94" w:rsidRPr="00E64239">
        <w:rPr>
          <w:rFonts w:asciiTheme="majorBidi" w:hAnsiTheme="majorBidi" w:cstheme="majorBidi"/>
          <w:b/>
          <w:bCs/>
          <w:sz w:val="24"/>
          <w:szCs w:val="24"/>
        </w:rPr>
        <w:t> :</w:t>
      </w:r>
    </w:p>
    <w:p w:rsidR="00FA113A" w:rsidRPr="00E64239" w:rsidRDefault="00D72B94" w:rsidP="003727B9">
      <w:pPr>
        <w:spacing w:after="0" w:line="360" w:lineRule="auto"/>
        <w:jc w:val="both"/>
        <w:rPr>
          <w:rFonts w:asciiTheme="majorBidi" w:hAnsiTheme="majorBidi" w:cstheme="majorBidi"/>
          <w:b/>
          <w:bCs/>
          <w:sz w:val="24"/>
          <w:szCs w:val="24"/>
        </w:rPr>
      </w:pPr>
      <w:r w:rsidRPr="00E64239">
        <w:rPr>
          <w:rFonts w:asciiTheme="majorBidi" w:hAnsiTheme="majorBidi" w:cstheme="majorBidi"/>
          <w:sz w:val="24"/>
          <w:szCs w:val="24"/>
        </w:rPr>
        <w:t> La normalisation est une activité d’intérêt général  qui a pour objet de fournir des documents de référence élaborés de manière consensuelle par toutes les parties intéressées, portant sur des règles, des caractéristiques, des recommandations ou des exemples de bonnes pratiques, relatives à des produits, à des services, à des méthodes, à des processus ou à des organisations.</w:t>
      </w:r>
    </w:p>
    <w:p w:rsidR="002B128C" w:rsidRPr="00E64239" w:rsidRDefault="002B128C" w:rsidP="003727B9">
      <w:pPr>
        <w:jc w:val="both"/>
        <w:rPr>
          <w:rFonts w:asciiTheme="majorBidi" w:hAnsiTheme="majorBidi" w:cstheme="majorBidi"/>
          <w:sz w:val="24"/>
          <w:szCs w:val="24"/>
        </w:rPr>
      </w:pPr>
      <w:r w:rsidRPr="00E64239">
        <w:rPr>
          <w:rFonts w:asciiTheme="majorBidi" w:hAnsiTheme="majorBidi" w:cstheme="majorBidi"/>
          <w:sz w:val="24"/>
          <w:szCs w:val="24"/>
        </w:rPr>
        <w:t>Elle vise à encourager le développement économique et l’innovation tout en prenant en compte des objectifs de développement durable »</w:t>
      </w:r>
    </w:p>
    <w:p w:rsidR="00B25D40" w:rsidRPr="00E64239" w:rsidRDefault="00D72B94" w:rsidP="003727B9">
      <w:pPr>
        <w:jc w:val="both"/>
        <w:rPr>
          <w:rFonts w:asciiTheme="majorBidi" w:hAnsiTheme="majorBidi" w:cstheme="majorBidi"/>
          <w:sz w:val="24"/>
          <w:szCs w:val="24"/>
        </w:rPr>
      </w:pPr>
      <w:r w:rsidRPr="00E64239">
        <w:rPr>
          <w:rFonts w:asciiTheme="majorBidi" w:hAnsiTheme="majorBidi" w:cstheme="majorBidi"/>
          <w:sz w:val="24"/>
          <w:szCs w:val="24"/>
        </w:rPr>
        <w:t>Une norme est d’application obligatoire lorsqu’elle est citée dans un texte réglementaire (arrêté) comme moyen unique de satisfa</w:t>
      </w:r>
      <w:r w:rsidR="0090430C">
        <w:rPr>
          <w:rFonts w:asciiTheme="majorBidi" w:hAnsiTheme="majorBidi" w:cstheme="majorBidi"/>
          <w:sz w:val="24"/>
          <w:szCs w:val="24"/>
        </w:rPr>
        <w:t>ire aux exigences de ce texte.</w:t>
      </w: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B25D40" w:rsidRPr="00E64239" w:rsidRDefault="00B25D40" w:rsidP="003727B9">
      <w:pPr>
        <w:jc w:val="both"/>
        <w:rPr>
          <w:rFonts w:asciiTheme="majorBidi" w:hAnsiTheme="majorBidi" w:cstheme="majorBidi"/>
          <w:sz w:val="24"/>
          <w:szCs w:val="24"/>
        </w:rPr>
      </w:pPr>
    </w:p>
    <w:p w:rsidR="008C25A0" w:rsidRPr="00E64239" w:rsidRDefault="008C25A0"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Chapitre II</w:t>
      </w:r>
      <w:r w:rsidR="00B25D40" w:rsidRPr="00E64239">
        <w:rPr>
          <w:rFonts w:asciiTheme="majorBidi" w:hAnsiTheme="majorBidi" w:cstheme="majorBidi"/>
          <w:b/>
          <w:bCs/>
          <w:sz w:val="24"/>
          <w:szCs w:val="24"/>
        </w:rPr>
        <w:t xml:space="preserve"> :   </w:t>
      </w:r>
      <w:r w:rsidRPr="00E64239">
        <w:rPr>
          <w:rFonts w:asciiTheme="majorBidi" w:hAnsiTheme="majorBidi" w:cstheme="majorBidi"/>
          <w:b/>
          <w:bCs/>
          <w:sz w:val="24"/>
          <w:szCs w:val="24"/>
        </w:rPr>
        <w:t>Normalisation</w:t>
      </w:r>
    </w:p>
    <w:p w:rsidR="00AE206B" w:rsidRPr="00E64239" w:rsidRDefault="003727B9" w:rsidP="003727B9">
      <w:pPr>
        <w:spacing w:before="100" w:beforeAutospacing="1" w:after="100" w:afterAutospacing="1" w:line="240" w:lineRule="auto"/>
        <w:ind w:firstLine="708"/>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 xml:space="preserve">II-1- Objet et développement </w:t>
      </w:r>
    </w:p>
    <w:p w:rsidR="00A55C4A" w:rsidRPr="00E64239" w:rsidRDefault="008C25A0" w:rsidP="003727B9">
      <w:pPr>
        <w:spacing w:before="100" w:beforeAutospacing="1" w:after="100" w:afterAutospacing="1" w:line="240" w:lineRule="auto"/>
        <w:ind w:firstLine="708"/>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w:t>
      </w:r>
      <w:r w:rsidR="00A55C4A" w:rsidRPr="00E64239">
        <w:rPr>
          <w:rFonts w:asciiTheme="majorBidi" w:eastAsia="Times New Roman" w:hAnsiTheme="majorBidi" w:cstheme="majorBidi"/>
          <w:sz w:val="24"/>
          <w:szCs w:val="24"/>
          <w:lang w:eastAsia="fr-FR"/>
        </w:rPr>
        <w:t>a</w:t>
      </w:r>
      <w:r w:rsidRPr="00E64239">
        <w:rPr>
          <w:rFonts w:asciiTheme="majorBidi" w:eastAsia="Times New Roman" w:hAnsiTheme="majorBidi" w:cstheme="majorBidi"/>
          <w:sz w:val="24"/>
          <w:szCs w:val="24"/>
          <w:lang w:eastAsia="fr-FR"/>
        </w:rPr>
        <w:t xml:space="preserve"> </w:t>
      </w:r>
      <w:r w:rsidR="00A55C4A" w:rsidRPr="00E64239">
        <w:rPr>
          <w:rFonts w:asciiTheme="majorBidi" w:eastAsia="Times New Roman" w:hAnsiTheme="majorBidi" w:cstheme="majorBidi"/>
          <w:sz w:val="24"/>
          <w:szCs w:val="24"/>
          <w:lang w:eastAsia="fr-FR"/>
        </w:rPr>
        <w:t xml:space="preserve"> nor</w:t>
      </w:r>
      <w:r w:rsidRPr="00E64239">
        <w:rPr>
          <w:rFonts w:asciiTheme="majorBidi" w:eastAsia="Times New Roman" w:hAnsiTheme="majorBidi" w:cstheme="majorBidi"/>
          <w:sz w:val="24"/>
          <w:szCs w:val="24"/>
          <w:lang w:eastAsia="fr-FR"/>
        </w:rPr>
        <w:t>m</w:t>
      </w:r>
      <w:r w:rsidR="00A55C4A" w:rsidRPr="00E64239">
        <w:rPr>
          <w:rFonts w:asciiTheme="majorBidi" w:eastAsia="Times New Roman" w:hAnsiTheme="majorBidi" w:cstheme="majorBidi"/>
          <w:sz w:val="24"/>
          <w:szCs w:val="24"/>
          <w:lang w:eastAsia="fr-FR"/>
        </w:rPr>
        <w:t>alisation est l’activité volontaire qui consiste en l’élaboration et l'adoption de normes. Cette activité est réalisée par les parties intéressées sous l'égide d'un organisme reconnu.</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Une norme est un ensemble de spécifications techniques formalisées en vue d’un usage commun et répété. Elle reflète les règles de bonne pratique en rapport avec un produit, un service ou un processus de production.</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Les normes ont pour objectifs :</w:t>
      </w:r>
    </w:p>
    <w:p w:rsidR="00A55C4A" w:rsidRPr="00E64239" w:rsidRDefault="00A55C4A" w:rsidP="003727B9">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développement d’un cadre défini permettant d’optimaliser les relations entre le client et son fournisseur ;</w:t>
      </w:r>
    </w:p>
    <w:p w:rsidR="00A55C4A" w:rsidRPr="00E64239" w:rsidRDefault="00A55C4A" w:rsidP="003727B9">
      <w:pPr>
        <w:numPr>
          <w:ilvl w:val="0"/>
          <w:numId w:val="6"/>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la garantie d’un équilibre entre les intérêts sociétaux et économiques ainsi que le progrès technologique.</w:t>
      </w:r>
    </w:p>
    <w:p w:rsidR="00A55C4A"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Les normes constituent un système de référence adapté pour la valorisation des biens et des services.</w:t>
      </w:r>
    </w:p>
    <w:p w:rsidR="0090430C" w:rsidRPr="00E64239" w:rsidRDefault="0090430C"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Raisons pour rendre une norme obligatoire:</w:t>
      </w:r>
    </w:p>
    <w:p w:rsidR="0090430C" w:rsidRPr="00E64239" w:rsidRDefault="0090430C" w:rsidP="003727B9">
      <w:pPr>
        <w:numPr>
          <w:ilvl w:val="0"/>
          <w:numId w:val="3"/>
        </w:numPr>
        <w:jc w:val="both"/>
        <w:rPr>
          <w:rFonts w:asciiTheme="majorBidi" w:hAnsiTheme="majorBidi" w:cstheme="majorBidi"/>
          <w:sz w:val="24"/>
          <w:szCs w:val="24"/>
        </w:rPr>
      </w:pPr>
      <w:r w:rsidRPr="00E64239">
        <w:rPr>
          <w:rFonts w:asciiTheme="majorBidi" w:hAnsiTheme="majorBidi" w:cstheme="majorBidi"/>
          <w:sz w:val="24"/>
          <w:szCs w:val="24"/>
        </w:rPr>
        <w:t>Sécurité (protection de la santé et de la v</w:t>
      </w:r>
      <w:r>
        <w:rPr>
          <w:rFonts w:asciiTheme="majorBidi" w:hAnsiTheme="majorBidi" w:cstheme="majorBidi"/>
          <w:sz w:val="24"/>
          <w:szCs w:val="24"/>
        </w:rPr>
        <w:t>ie des personnes et des animaux</w:t>
      </w:r>
      <w:r w:rsidRPr="00E64239">
        <w:rPr>
          <w:rFonts w:asciiTheme="majorBidi" w:hAnsiTheme="majorBidi" w:cstheme="majorBidi"/>
          <w:sz w:val="24"/>
          <w:szCs w:val="24"/>
        </w:rPr>
        <w:t>)</w:t>
      </w:r>
    </w:p>
    <w:p w:rsidR="0090430C" w:rsidRPr="00E64239" w:rsidRDefault="0090430C" w:rsidP="003727B9">
      <w:pPr>
        <w:numPr>
          <w:ilvl w:val="0"/>
          <w:numId w:val="3"/>
        </w:numPr>
        <w:jc w:val="both"/>
        <w:rPr>
          <w:rFonts w:asciiTheme="majorBidi" w:hAnsiTheme="majorBidi" w:cstheme="majorBidi"/>
          <w:sz w:val="24"/>
          <w:szCs w:val="24"/>
        </w:rPr>
      </w:pPr>
      <w:r w:rsidRPr="00E64239">
        <w:rPr>
          <w:rFonts w:asciiTheme="majorBidi" w:hAnsiTheme="majorBidi" w:cstheme="majorBidi"/>
          <w:sz w:val="24"/>
          <w:szCs w:val="24"/>
        </w:rPr>
        <w:t>Ordre public</w:t>
      </w:r>
    </w:p>
    <w:p w:rsidR="0090430C" w:rsidRPr="00E64239" w:rsidRDefault="0090430C" w:rsidP="003727B9">
      <w:pPr>
        <w:numPr>
          <w:ilvl w:val="0"/>
          <w:numId w:val="3"/>
        </w:numPr>
        <w:jc w:val="both"/>
        <w:rPr>
          <w:rFonts w:asciiTheme="majorBidi" w:hAnsiTheme="majorBidi" w:cstheme="majorBidi"/>
          <w:sz w:val="24"/>
          <w:szCs w:val="24"/>
        </w:rPr>
      </w:pPr>
      <w:r w:rsidRPr="00E64239">
        <w:rPr>
          <w:rFonts w:asciiTheme="majorBidi" w:hAnsiTheme="majorBidi" w:cstheme="majorBidi"/>
          <w:sz w:val="24"/>
          <w:szCs w:val="24"/>
        </w:rPr>
        <w:t xml:space="preserve">Protection des trésors nationaux </w:t>
      </w:r>
    </w:p>
    <w:p w:rsidR="0090430C" w:rsidRPr="00E64239" w:rsidRDefault="0090430C" w:rsidP="003727B9">
      <w:pPr>
        <w:numPr>
          <w:ilvl w:val="0"/>
          <w:numId w:val="3"/>
        </w:numPr>
        <w:jc w:val="both"/>
        <w:rPr>
          <w:rFonts w:asciiTheme="majorBidi" w:hAnsiTheme="majorBidi" w:cstheme="majorBidi"/>
          <w:sz w:val="24"/>
          <w:szCs w:val="24"/>
        </w:rPr>
      </w:pPr>
      <w:r w:rsidRPr="00E64239">
        <w:rPr>
          <w:rFonts w:asciiTheme="majorBidi" w:hAnsiTheme="majorBidi" w:cstheme="majorBidi"/>
          <w:sz w:val="24"/>
          <w:szCs w:val="24"/>
        </w:rPr>
        <w:t xml:space="preserve">Efficacité des contrôles fiscaux, à la loyauté des transactions commerciales </w:t>
      </w:r>
    </w:p>
    <w:p w:rsidR="0090430C" w:rsidRPr="0090430C" w:rsidRDefault="0090430C" w:rsidP="003727B9">
      <w:pPr>
        <w:numPr>
          <w:ilvl w:val="0"/>
          <w:numId w:val="3"/>
        </w:numPr>
        <w:jc w:val="both"/>
        <w:rPr>
          <w:rFonts w:asciiTheme="majorBidi" w:hAnsiTheme="majorBidi" w:cstheme="majorBidi"/>
          <w:sz w:val="24"/>
          <w:szCs w:val="24"/>
        </w:rPr>
      </w:pPr>
      <w:r w:rsidRPr="00E64239">
        <w:rPr>
          <w:rFonts w:asciiTheme="majorBidi" w:hAnsiTheme="majorBidi" w:cstheme="majorBidi"/>
          <w:sz w:val="24"/>
          <w:szCs w:val="24"/>
        </w:rPr>
        <w:t>et à la défense du consommateur</w:t>
      </w:r>
    </w:p>
    <w:p w:rsidR="00A55C4A" w:rsidRPr="00E64239" w:rsidRDefault="004655DE"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w:t>
      </w:r>
      <w:r w:rsidR="007E10AF">
        <w:rPr>
          <w:rFonts w:asciiTheme="majorBidi" w:eastAsia="Times New Roman" w:hAnsiTheme="majorBidi" w:cstheme="majorBidi"/>
          <w:b/>
          <w:bCs/>
          <w:sz w:val="24"/>
          <w:szCs w:val="24"/>
          <w:lang w:eastAsia="fr-FR"/>
        </w:rPr>
        <w:t>1-</w:t>
      </w:r>
      <w:r w:rsidRPr="00E64239">
        <w:rPr>
          <w:rFonts w:asciiTheme="majorBidi" w:eastAsia="Times New Roman" w:hAnsiTheme="majorBidi" w:cstheme="majorBidi"/>
          <w:b/>
          <w:bCs/>
          <w:sz w:val="24"/>
          <w:szCs w:val="24"/>
          <w:lang w:eastAsia="fr-FR"/>
        </w:rPr>
        <w:t>2-</w:t>
      </w:r>
      <w:r w:rsidR="00A55C4A" w:rsidRPr="00E64239">
        <w:rPr>
          <w:rFonts w:asciiTheme="majorBidi" w:eastAsia="Times New Roman" w:hAnsiTheme="majorBidi" w:cstheme="majorBidi"/>
          <w:b/>
          <w:bCs/>
          <w:sz w:val="24"/>
          <w:szCs w:val="24"/>
          <w:lang w:eastAsia="fr-FR"/>
        </w:rPr>
        <w:t>Les différents types de normes</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Les normes peuvent être de différents types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descriptives qui déterminent les caractéristiques d’un produit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 performance qui définissent les performances que les produits doivent atteindre sur base d’essais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d’essais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 méthodes de calcul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 classification ;</w:t>
      </w:r>
    </w:p>
    <w:p w:rsidR="00A55C4A" w:rsidRPr="00E64239" w:rsidRDefault="00A55C4A" w:rsidP="003727B9">
      <w:pPr>
        <w:numPr>
          <w:ilvl w:val="0"/>
          <w:numId w:val="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organisationnelles…</w:t>
      </w:r>
    </w:p>
    <w:p w:rsidR="00A55C4A" w:rsidRPr="00E64239" w:rsidRDefault="004655DE"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w:t>
      </w:r>
      <w:r w:rsidR="007E10AF">
        <w:rPr>
          <w:rFonts w:asciiTheme="majorBidi" w:eastAsia="Times New Roman" w:hAnsiTheme="majorBidi" w:cstheme="majorBidi"/>
          <w:b/>
          <w:bCs/>
          <w:sz w:val="24"/>
          <w:szCs w:val="24"/>
          <w:lang w:eastAsia="fr-FR"/>
        </w:rPr>
        <w:t>1-</w:t>
      </w:r>
      <w:r w:rsidRPr="00E64239">
        <w:rPr>
          <w:rFonts w:asciiTheme="majorBidi" w:eastAsia="Times New Roman" w:hAnsiTheme="majorBidi" w:cstheme="majorBidi"/>
          <w:b/>
          <w:bCs/>
          <w:sz w:val="24"/>
          <w:szCs w:val="24"/>
          <w:lang w:eastAsia="fr-FR"/>
        </w:rPr>
        <w:t>3-</w:t>
      </w:r>
      <w:r w:rsidR="00A55C4A" w:rsidRPr="00E64239">
        <w:rPr>
          <w:rFonts w:asciiTheme="majorBidi" w:eastAsia="Times New Roman" w:hAnsiTheme="majorBidi" w:cstheme="majorBidi"/>
          <w:b/>
          <w:bCs/>
          <w:sz w:val="24"/>
          <w:szCs w:val="24"/>
          <w:lang w:eastAsia="fr-FR"/>
        </w:rPr>
        <w:t>Les avantages de l’utilisation des normes</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L’utilisation des normes présente les avantages suivants :</w:t>
      </w:r>
    </w:p>
    <w:p w:rsidR="00A55C4A" w:rsidRPr="00E64239" w:rsidRDefault="00A55C4A" w:rsidP="003727B9">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lastRenderedPageBreak/>
        <w:t>optimaliser les relations entre le client et son fournisseur ;</w:t>
      </w:r>
    </w:p>
    <w:p w:rsidR="00A55C4A" w:rsidRPr="00E64239" w:rsidRDefault="00A55C4A" w:rsidP="003727B9">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économiser sur les coûts et le temps ;</w:t>
      </w:r>
    </w:p>
    <w:p w:rsidR="00A55C4A" w:rsidRPr="00E64239" w:rsidRDefault="00A55C4A" w:rsidP="003727B9">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faciliter l'accès au marché (simplification des échanges) ;</w:t>
      </w:r>
    </w:p>
    <w:p w:rsidR="00A55C4A" w:rsidRPr="00E64239" w:rsidRDefault="00A55C4A" w:rsidP="003727B9">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optimaliser la transparence en matière de qualité, de sécurité, d'impact sur l'environnement ;</w:t>
      </w:r>
    </w:p>
    <w:p w:rsidR="00A55C4A" w:rsidRPr="00E64239" w:rsidRDefault="00A55C4A" w:rsidP="003727B9">
      <w:pPr>
        <w:numPr>
          <w:ilvl w:val="0"/>
          <w:numId w:val="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faciliter l'innovation.</w:t>
      </w:r>
    </w:p>
    <w:p w:rsidR="00A55C4A" w:rsidRPr="00E64239" w:rsidRDefault="004655DE"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w:t>
      </w:r>
      <w:r w:rsidR="007E10AF">
        <w:rPr>
          <w:rFonts w:asciiTheme="majorBidi" w:eastAsia="Times New Roman" w:hAnsiTheme="majorBidi" w:cstheme="majorBidi"/>
          <w:b/>
          <w:bCs/>
          <w:sz w:val="24"/>
          <w:szCs w:val="24"/>
          <w:lang w:eastAsia="fr-FR"/>
        </w:rPr>
        <w:t>-1</w:t>
      </w:r>
      <w:r w:rsidRPr="00E64239">
        <w:rPr>
          <w:rFonts w:asciiTheme="majorBidi" w:eastAsia="Times New Roman" w:hAnsiTheme="majorBidi" w:cstheme="majorBidi"/>
          <w:b/>
          <w:bCs/>
          <w:sz w:val="24"/>
          <w:szCs w:val="24"/>
          <w:lang w:eastAsia="fr-FR"/>
        </w:rPr>
        <w:t>-4-</w:t>
      </w:r>
      <w:r w:rsidR="00A55C4A" w:rsidRPr="00E64239">
        <w:rPr>
          <w:rFonts w:asciiTheme="majorBidi" w:eastAsia="Times New Roman" w:hAnsiTheme="majorBidi" w:cstheme="majorBidi"/>
          <w:b/>
          <w:bCs/>
          <w:sz w:val="24"/>
          <w:szCs w:val="24"/>
          <w:lang w:eastAsia="fr-FR"/>
        </w:rPr>
        <w:t>L’application volontaire des normes</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Les normes sont d’application volontaire. Elles n’ont donc par nature aucun caractère contraignant.</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Elles peuvent cependant être rendues obligatoires par une réglementation, par contrat ou par cahier de charges.</w:t>
      </w:r>
    </w:p>
    <w:p w:rsidR="00A55C4A" w:rsidRPr="00E64239" w:rsidRDefault="005E29BA"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w:t>
      </w:r>
      <w:r w:rsidR="007E10AF">
        <w:rPr>
          <w:rFonts w:asciiTheme="majorBidi" w:eastAsia="Times New Roman" w:hAnsiTheme="majorBidi" w:cstheme="majorBidi"/>
          <w:b/>
          <w:bCs/>
          <w:sz w:val="24"/>
          <w:szCs w:val="24"/>
          <w:lang w:eastAsia="fr-FR"/>
        </w:rPr>
        <w:t>1-</w:t>
      </w:r>
      <w:r w:rsidRPr="00E64239">
        <w:rPr>
          <w:rFonts w:asciiTheme="majorBidi" w:eastAsia="Times New Roman" w:hAnsiTheme="majorBidi" w:cstheme="majorBidi"/>
          <w:b/>
          <w:bCs/>
          <w:sz w:val="24"/>
          <w:szCs w:val="24"/>
          <w:lang w:eastAsia="fr-FR"/>
        </w:rPr>
        <w:t>5</w:t>
      </w:r>
      <w:r w:rsidR="004655DE" w:rsidRPr="00E64239">
        <w:rPr>
          <w:rFonts w:asciiTheme="majorBidi" w:eastAsia="Times New Roman" w:hAnsiTheme="majorBidi" w:cstheme="majorBidi"/>
          <w:b/>
          <w:bCs/>
          <w:sz w:val="24"/>
          <w:szCs w:val="24"/>
          <w:lang w:eastAsia="fr-FR"/>
        </w:rPr>
        <w:t>-</w:t>
      </w:r>
      <w:r w:rsidR="00A55C4A" w:rsidRPr="00E64239">
        <w:rPr>
          <w:rFonts w:asciiTheme="majorBidi" w:eastAsia="Times New Roman" w:hAnsiTheme="majorBidi" w:cstheme="majorBidi"/>
          <w:b/>
          <w:bCs/>
          <w:sz w:val="24"/>
          <w:szCs w:val="24"/>
          <w:lang w:eastAsia="fr-FR"/>
        </w:rPr>
        <w:t>L’élaboration des normes</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Les normes sont élaborées par des organes de normalisation indépendants, reconnus à ce sujet.</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Toutes les parties concernées peuvent participer à l’élaboration des normes, à savoir les représentants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entreprises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pouvoirs publics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organismes d’évaluation de la conformité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du monde scientifique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organisations de consommateurs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associations de travailleurs ;</w:t>
      </w:r>
    </w:p>
    <w:p w:rsidR="00A55C4A" w:rsidRPr="00E64239" w:rsidRDefault="00A55C4A" w:rsidP="003727B9">
      <w:pPr>
        <w:numPr>
          <w:ilvl w:val="0"/>
          <w:numId w:val="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des organisations non gouvernementales…</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travail d’élaboration des normes est réparti entre différents comités techniques spécifiques gérés par des opérateurs sectoriels de normalisation. </w:t>
      </w:r>
    </w:p>
    <w:p w:rsidR="00223F61" w:rsidRPr="00E64239" w:rsidRDefault="00A55C4A" w:rsidP="007E10AF">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Afin de permettre l’élaboration de normes sur des bases scientifiques et techniques pertinentes, le SPF Economie soutient des programmes </w:t>
      </w:r>
      <w:hyperlink r:id="rId7" w:history="1">
        <w:r w:rsidRPr="00E64239">
          <w:rPr>
            <w:rFonts w:asciiTheme="majorBidi" w:eastAsia="Times New Roman" w:hAnsiTheme="majorBidi" w:cstheme="majorBidi"/>
            <w:sz w:val="24"/>
            <w:szCs w:val="24"/>
            <w:lang w:eastAsia="fr-FR"/>
          </w:rPr>
          <w:t>d'études de prénormalisation</w:t>
        </w:r>
      </w:hyperlink>
      <w:r w:rsidRPr="00E64239">
        <w:rPr>
          <w:rFonts w:asciiTheme="majorBidi" w:eastAsia="Times New Roman" w:hAnsiTheme="majorBidi" w:cstheme="majorBidi"/>
          <w:sz w:val="24"/>
          <w:szCs w:val="24"/>
          <w:lang w:eastAsia="fr-FR"/>
        </w:rPr>
        <w:t> dans les </w:t>
      </w:r>
      <w:hyperlink r:id="rId8" w:history="1">
        <w:r w:rsidRPr="00E64239">
          <w:rPr>
            <w:rFonts w:asciiTheme="majorBidi" w:eastAsia="Times New Roman" w:hAnsiTheme="majorBidi" w:cstheme="majorBidi"/>
            <w:sz w:val="24"/>
            <w:szCs w:val="24"/>
            <w:lang w:eastAsia="fr-FR"/>
          </w:rPr>
          <w:t>Centres collectifs</w:t>
        </w:r>
      </w:hyperlink>
      <w:r w:rsidRPr="00E64239">
        <w:rPr>
          <w:rFonts w:asciiTheme="majorBidi" w:eastAsia="Times New Roman" w:hAnsiTheme="majorBidi" w:cstheme="majorBidi"/>
          <w:sz w:val="24"/>
          <w:szCs w:val="24"/>
          <w:lang w:eastAsia="fr-FR"/>
        </w:rPr>
        <w:t>.</w:t>
      </w:r>
    </w:p>
    <w:p w:rsidR="00A55C4A" w:rsidRPr="00E64239" w:rsidRDefault="005E29BA"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II-6-</w:t>
      </w:r>
      <w:r w:rsidR="00A55C4A" w:rsidRPr="00E64239">
        <w:rPr>
          <w:rFonts w:asciiTheme="majorBidi" w:eastAsia="Times New Roman" w:hAnsiTheme="majorBidi" w:cstheme="majorBidi"/>
          <w:b/>
          <w:bCs/>
          <w:sz w:val="24"/>
          <w:szCs w:val="24"/>
          <w:lang w:eastAsia="fr-FR"/>
        </w:rPr>
        <w:t>Les organes de normalisation</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travail de normalisation se fait à plusieurs niveaux :</w:t>
      </w:r>
    </w:p>
    <w:p w:rsidR="00A55C4A" w:rsidRPr="00E64239" w:rsidRDefault="00A55C4A" w:rsidP="003727B9">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national ;</w:t>
      </w:r>
    </w:p>
    <w:p w:rsidR="00A55C4A" w:rsidRPr="00E64239" w:rsidRDefault="00A55C4A" w:rsidP="003727B9">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européen ;</w:t>
      </w:r>
    </w:p>
    <w:p w:rsidR="00A55C4A" w:rsidRPr="00E64239" w:rsidRDefault="00A55C4A" w:rsidP="003727B9">
      <w:pPr>
        <w:numPr>
          <w:ilvl w:val="0"/>
          <w:numId w:val="10"/>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international.</w:t>
      </w:r>
    </w:p>
    <w:p w:rsidR="00A55C4A" w:rsidRPr="00E64239" w:rsidRDefault="00EF460C" w:rsidP="003727B9">
      <w:pPr>
        <w:spacing w:before="100" w:beforeAutospacing="1" w:after="100" w:afterAutospacing="1" w:line="240" w:lineRule="auto"/>
        <w:jc w:val="both"/>
        <w:rPr>
          <w:rFonts w:asciiTheme="majorBidi" w:eastAsia="Times New Roman" w:hAnsiTheme="majorBidi" w:cstheme="majorBidi"/>
          <w:sz w:val="24"/>
          <w:szCs w:val="24"/>
          <w:lang w:eastAsia="fr-FR"/>
        </w:rPr>
      </w:pPr>
      <w:hyperlink r:id="rId9" w:tgtFrame="_blank" w:history="1">
        <w:r w:rsidR="00A55C4A" w:rsidRPr="00E64239">
          <w:rPr>
            <w:rFonts w:asciiTheme="majorBidi" w:eastAsia="Times New Roman" w:hAnsiTheme="majorBidi" w:cstheme="majorBidi"/>
            <w:sz w:val="24"/>
            <w:szCs w:val="24"/>
            <w:lang w:eastAsia="fr-FR"/>
          </w:rPr>
          <w:t>Le Bureau de Normalisation – NBN</w:t>
        </w:r>
      </w:hyperlink>
      <w:r w:rsidR="00A55C4A" w:rsidRPr="00E64239">
        <w:rPr>
          <w:rFonts w:asciiTheme="majorBidi" w:eastAsia="Times New Roman" w:hAnsiTheme="majorBidi" w:cstheme="majorBidi"/>
          <w:sz w:val="24"/>
          <w:szCs w:val="24"/>
          <w:lang w:eastAsia="fr-FR"/>
        </w:rPr>
        <w:t> – est l’organe de normalisation belge.</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Au niveau européen, trois organes de normalisation coexistent :</w:t>
      </w:r>
    </w:p>
    <w:p w:rsidR="00A55C4A" w:rsidRPr="00E64239" w:rsidRDefault="00A55C4A" w:rsidP="003727B9">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lastRenderedPageBreak/>
        <w:t>le </w:t>
      </w:r>
      <w:hyperlink r:id="rId10" w:tgtFrame="_blank" w:history="1">
        <w:r w:rsidRPr="00E64239">
          <w:rPr>
            <w:rFonts w:asciiTheme="majorBidi" w:eastAsia="Times New Roman" w:hAnsiTheme="majorBidi" w:cstheme="majorBidi"/>
            <w:sz w:val="24"/>
            <w:szCs w:val="24"/>
            <w:lang w:eastAsia="fr-FR"/>
          </w:rPr>
          <w:t>Comité européen de Normalisation – CEN </w:t>
        </w:r>
      </w:hyperlink>
      <w:r w:rsidRPr="00E64239">
        <w:rPr>
          <w:rFonts w:asciiTheme="majorBidi" w:eastAsia="Times New Roman" w:hAnsiTheme="majorBidi" w:cstheme="majorBidi"/>
          <w:sz w:val="24"/>
          <w:szCs w:val="24"/>
          <w:lang w:eastAsia="fr-FR"/>
        </w:rPr>
        <w:t>;</w:t>
      </w:r>
    </w:p>
    <w:p w:rsidR="00A55C4A" w:rsidRPr="00E64239" w:rsidRDefault="00A55C4A" w:rsidP="003727B9">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w:t>
      </w:r>
      <w:hyperlink r:id="rId11" w:tgtFrame="_blank" w:history="1">
        <w:r w:rsidRPr="00E64239">
          <w:rPr>
            <w:rFonts w:asciiTheme="majorBidi" w:eastAsia="Times New Roman" w:hAnsiTheme="majorBidi" w:cstheme="majorBidi"/>
            <w:sz w:val="24"/>
            <w:szCs w:val="24"/>
            <w:lang w:eastAsia="fr-FR"/>
          </w:rPr>
          <w:t>Comité européen de Normalisation Electrotechnique – CENELEC </w:t>
        </w:r>
      </w:hyperlink>
      <w:r w:rsidRPr="00E64239">
        <w:rPr>
          <w:rFonts w:asciiTheme="majorBidi" w:eastAsia="Times New Roman" w:hAnsiTheme="majorBidi" w:cstheme="majorBidi"/>
          <w:sz w:val="24"/>
          <w:szCs w:val="24"/>
          <w:lang w:eastAsia="fr-FR"/>
        </w:rPr>
        <w:t>;</w:t>
      </w:r>
    </w:p>
    <w:p w:rsidR="00A55C4A" w:rsidRPr="00E64239" w:rsidRDefault="00A55C4A" w:rsidP="003727B9">
      <w:pPr>
        <w:numPr>
          <w:ilvl w:val="0"/>
          <w:numId w:val="11"/>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w:t>
      </w:r>
      <w:hyperlink r:id="rId12" w:tgtFrame="_blank" w:history="1">
        <w:r w:rsidRPr="00E64239">
          <w:rPr>
            <w:rFonts w:asciiTheme="majorBidi" w:eastAsia="Times New Roman" w:hAnsiTheme="majorBidi" w:cstheme="majorBidi"/>
            <w:sz w:val="24"/>
            <w:szCs w:val="24"/>
            <w:lang w:eastAsia="fr-FR"/>
          </w:rPr>
          <w:t>European Telecommunication Standards Institute – ETSI</w:t>
        </w:r>
      </w:hyperlink>
      <w:r w:rsidRPr="00E64239">
        <w:rPr>
          <w:rFonts w:asciiTheme="majorBidi" w:eastAsia="Times New Roman" w:hAnsiTheme="majorBidi" w:cstheme="majorBidi"/>
          <w:sz w:val="24"/>
          <w:szCs w:val="24"/>
          <w:lang w:eastAsia="fr-FR"/>
        </w:rPr>
        <w:t>.</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Au niveau international, il existe également trois organes de normalisation :</w:t>
      </w:r>
    </w:p>
    <w:p w:rsidR="00A55C4A" w:rsidRPr="00E64239" w:rsidRDefault="00EF460C" w:rsidP="003727B9">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3" w:tgtFrame="_blank" w:history="1">
        <w:r w:rsidR="00A55C4A" w:rsidRPr="00E64239">
          <w:rPr>
            <w:rFonts w:asciiTheme="majorBidi" w:eastAsia="Times New Roman" w:hAnsiTheme="majorBidi" w:cstheme="majorBidi"/>
            <w:sz w:val="24"/>
            <w:szCs w:val="24"/>
            <w:lang w:eastAsia="fr-FR"/>
          </w:rPr>
          <w:t>l’Organisation Internationale de Normalisation – ISO </w:t>
        </w:r>
      </w:hyperlink>
      <w:r w:rsidR="00A55C4A" w:rsidRPr="00E64239">
        <w:rPr>
          <w:rFonts w:asciiTheme="majorBidi" w:eastAsia="Times New Roman" w:hAnsiTheme="majorBidi" w:cstheme="majorBidi"/>
          <w:sz w:val="24"/>
          <w:szCs w:val="24"/>
          <w:lang w:eastAsia="fr-FR"/>
        </w:rPr>
        <w:t>;</w:t>
      </w:r>
    </w:p>
    <w:p w:rsidR="00A55C4A" w:rsidRPr="00E64239" w:rsidRDefault="00EF460C" w:rsidP="003727B9">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4" w:tgtFrame="_blank" w:history="1">
        <w:r w:rsidR="00A55C4A" w:rsidRPr="00E64239">
          <w:rPr>
            <w:rFonts w:asciiTheme="majorBidi" w:eastAsia="Times New Roman" w:hAnsiTheme="majorBidi" w:cstheme="majorBidi"/>
            <w:sz w:val="24"/>
            <w:szCs w:val="24"/>
            <w:lang w:eastAsia="fr-FR"/>
          </w:rPr>
          <w:t>la Commission Electrotechnique Internationale – CEI </w:t>
        </w:r>
      </w:hyperlink>
      <w:r w:rsidR="00A55C4A" w:rsidRPr="00E64239">
        <w:rPr>
          <w:rFonts w:asciiTheme="majorBidi" w:eastAsia="Times New Roman" w:hAnsiTheme="majorBidi" w:cstheme="majorBidi"/>
          <w:sz w:val="24"/>
          <w:szCs w:val="24"/>
          <w:lang w:eastAsia="fr-FR"/>
        </w:rPr>
        <w:t>;</w:t>
      </w:r>
    </w:p>
    <w:p w:rsidR="00A55C4A" w:rsidRPr="00E64239" w:rsidRDefault="00EF460C" w:rsidP="003727B9">
      <w:pPr>
        <w:numPr>
          <w:ilvl w:val="0"/>
          <w:numId w:val="12"/>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5" w:tgtFrame="_blank" w:history="1">
        <w:r w:rsidR="00A55C4A" w:rsidRPr="00E64239">
          <w:rPr>
            <w:rFonts w:asciiTheme="majorBidi" w:eastAsia="Times New Roman" w:hAnsiTheme="majorBidi" w:cstheme="majorBidi"/>
            <w:sz w:val="24"/>
            <w:szCs w:val="24"/>
            <w:lang w:eastAsia="fr-FR"/>
          </w:rPr>
          <w:t>l’Union Internationale de Télécommunication – UIT</w:t>
        </w:r>
      </w:hyperlink>
      <w:r w:rsidR="00A55C4A" w:rsidRPr="00E64239">
        <w:rPr>
          <w:rFonts w:asciiTheme="majorBidi" w:eastAsia="Times New Roman" w:hAnsiTheme="majorBidi" w:cstheme="majorBidi"/>
          <w:sz w:val="24"/>
          <w:szCs w:val="24"/>
          <w:lang w:eastAsia="fr-FR"/>
        </w:rPr>
        <w:t>. </w:t>
      </w:r>
    </w:p>
    <w:p w:rsidR="007E62E4" w:rsidRPr="00E64239" w:rsidRDefault="007E62E4" w:rsidP="003727B9">
      <w:pPr>
        <w:spacing w:before="100" w:beforeAutospacing="1" w:after="100" w:afterAutospacing="1" w:line="240" w:lineRule="auto"/>
        <w:jc w:val="both"/>
        <w:rPr>
          <w:rFonts w:asciiTheme="majorBidi" w:eastAsia="Times New Roman" w:hAnsiTheme="majorBidi" w:cstheme="majorBidi"/>
          <w:sz w:val="24"/>
          <w:szCs w:val="24"/>
          <w:lang w:eastAsia="fr-FR"/>
        </w:rPr>
      </w:pP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Les normes sont élaborées par des organismes dont les plus connus sont : au niveau international</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lang w:val="en-US"/>
        </w:rPr>
      </w:pPr>
      <w:r w:rsidRPr="00E64239">
        <w:rPr>
          <w:rFonts w:asciiTheme="majorBidi" w:hAnsiTheme="majorBidi" w:cstheme="majorBidi"/>
          <w:sz w:val="24"/>
          <w:szCs w:val="24"/>
          <w:lang w:val="en-US"/>
        </w:rPr>
        <w:t>- l’ISO (International Organization for Standardization) – 1947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CEI (Commission Électrotechnique Internationale)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l’UIT (Union Internationale des Télécommunications)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au niveau européen</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CEN (Comité Européen de Normalisation) – 1961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CENELEC (Comité Européen de Normalisation pour l'Électrotechnique)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l'ETSI (European Telecommunications Standard Institut)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au niveau français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l’AFNOR (Association Française de Normalisation)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l’UTE (Union Technique de l’Électricité)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au niveau des pays étrangers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SSC (Standards Council of Canada)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L’IBN (Institut Belge de Normalisation)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lang w:val="en-US"/>
        </w:rPr>
      </w:pPr>
      <w:r w:rsidRPr="00E64239">
        <w:rPr>
          <w:rFonts w:asciiTheme="majorBidi" w:hAnsiTheme="majorBidi" w:cstheme="majorBidi"/>
          <w:sz w:val="24"/>
          <w:szCs w:val="24"/>
          <w:lang w:val="en-US"/>
        </w:rPr>
        <w:t>- l’ASTM (American Society for the Testing of Materials)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lang w:val="en-US"/>
        </w:rPr>
      </w:pPr>
      <w:r w:rsidRPr="00E64239">
        <w:rPr>
          <w:rFonts w:asciiTheme="majorBidi" w:hAnsiTheme="majorBidi" w:cstheme="majorBidi"/>
          <w:sz w:val="24"/>
          <w:szCs w:val="24"/>
          <w:lang w:val="en-US"/>
        </w:rPr>
        <w:t>- LE SNV (Schweizerischen Normen Vereinigung)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DIN (Deutsche Industrie Normen)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le BSI (British Standard Institute)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l’ANSI (American National Standard Institute) ;</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xml:space="preserve">L’ISO (ce n’est pas un acronyme, ISO vient du grec « </w:t>
      </w:r>
      <w:r w:rsidRPr="00E64239">
        <w:rPr>
          <w:rFonts w:asciiTheme="majorBidi" w:hAnsiTheme="majorBidi" w:cstheme="majorBidi"/>
          <w:i/>
          <w:iCs/>
          <w:sz w:val="24"/>
          <w:szCs w:val="24"/>
        </w:rPr>
        <w:t xml:space="preserve">isos » </w:t>
      </w:r>
      <w:r w:rsidRPr="00E64239">
        <w:rPr>
          <w:rFonts w:asciiTheme="majorBidi" w:hAnsiTheme="majorBidi" w:cstheme="majorBidi"/>
          <w:sz w:val="24"/>
          <w:szCs w:val="24"/>
        </w:rPr>
        <w:t>signifiant égal) a son siège à</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Genève en Suisse. C’est une organisation internationale créée en 1947 et composée de représentants des organismes nationaux de plus de 150 pays.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 CEN siège à Bruxelles en Belgique avec un statut d’association. Il n'y a pas de catalogue général des normes CEN, il faut aller sur les sites de chaque pays membre ou de chaque pays affilié.</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 statut de la normalisation est régi en France par le décret 84-74 du 26 janvier 1984 et 93-</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1235 du 15 novembre 1993. Il a été confié à l’AFNOR et subdivisé en 31 bureaux de normalisation sectoriels composés de plus de 20 000 experts.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L’AFNOR est membre du CEN et de l'ISO. À ce titre, AFNOR est tenue de conférer à ces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normes, le statut de norme nationale, soit par publication d'un texte identique, soit par entérinement et de retirer les normes nationales en contradiction.</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Une norme homologuée française porte le label NF. Certaines normes en instance d’homologation sont dites expérimentales et portent l’inscription XP ; ce statut ne peut excéder 5 ans.</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xml:space="preserve">La France est également membre de la Conférence des poids et Mesures et doit à ce titre en respecter les résolutions. Par exemple, un ensemble d’unités parmi lesquelles le curie, le </w:t>
      </w:r>
      <w:r w:rsidRPr="00E64239">
        <w:rPr>
          <w:rFonts w:asciiTheme="majorBidi" w:hAnsiTheme="majorBidi" w:cstheme="majorBidi"/>
          <w:sz w:val="24"/>
          <w:szCs w:val="24"/>
        </w:rPr>
        <w:lastRenderedPageBreak/>
        <w:t>roentgen, le rad et le rem, unités des rayonnements ionisants, est interdit depuis le 31 décembre 1985 mais le décret d’application n’a été publié au Journal Officiel que le 27 février</w:t>
      </w:r>
    </w:p>
    <w:p w:rsidR="007E62E4" w:rsidRPr="00E64239" w:rsidRDefault="007E62E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2003.</w:t>
      </w:r>
    </w:p>
    <w:p w:rsidR="00A55C4A" w:rsidRPr="00E64239" w:rsidRDefault="005E29BA"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bookmarkStart w:id="0" w:name="opérateurs_sectoriels_de_normalisation"/>
      <w:bookmarkEnd w:id="0"/>
      <w:r w:rsidRPr="00E64239">
        <w:rPr>
          <w:rFonts w:asciiTheme="majorBidi" w:eastAsia="Times New Roman" w:hAnsiTheme="majorBidi" w:cstheme="majorBidi"/>
          <w:b/>
          <w:bCs/>
          <w:sz w:val="24"/>
          <w:szCs w:val="24"/>
          <w:lang w:eastAsia="fr-FR"/>
        </w:rPr>
        <w:t>II-7-</w:t>
      </w:r>
      <w:r w:rsidR="00A55C4A" w:rsidRPr="00E64239">
        <w:rPr>
          <w:rFonts w:asciiTheme="majorBidi" w:eastAsia="Times New Roman" w:hAnsiTheme="majorBidi" w:cstheme="majorBidi"/>
          <w:b/>
          <w:bCs/>
          <w:sz w:val="24"/>
          <w:szCs w:val="24"/>
          <w:lang w:eastAsia="fr-FR"/>
        </w:rPr>
        <w:t>Les opérateurs sectoriels de normalisation</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La structure belge de normalisation est décentralisée afin de répondre au mieux aux besoins des parties prenantes. A cette fin, la gestion quotidienne de ces comités est confiée à des opérateurs sectoriels agréés par le Bureau de Normalisation.  </w:t>
      </w:r>
      <w:r w:rsidRPr="00E64239">
        <w:rPr>
          <w:rFonts w:asciiTheme="majorBidi" w:eastAsia="Times New Roman" w:hAnsiTheme="majorBidi" w:cstheme="majorBidi"/>
          <w:sz w:val="24"/>
          <w:szCs w:val="24"/>
          <w:lang w:eastAsia="fr-FR"/>
        </w:rPr>
        <w:br/>
        <w:t>Ces </w:t>
      </w:r>
      <w:hyperlink r:id="rId16" w:tgtFrame="_blank" w:history="1">
        <w:r w:rsidRPr="00E64239">
          <w:rPr>
            <w:rFonts w:asciiTheme="majorBidi" w:eastAsia="Times New Roman" w:hAnsiTheme="majorBidi" w:cstheme="majorBidi"/>
            <w:sz w:val="24"/>
            <w:szCs w:val="24"/>
            <w:lang w:eastAsia="fr-FR"/>
          </w:rPr>
          <w:t>opérateurs sectoriels</w:t>
        </w:r>
      </w:hyperlink>
      <w:r w:rsidRPr="00E64239">
        <w:rPr>
          <w:rFonts w:asciiTheme="majorBidi" w:eastAsia="Times New Roman" w:hAnsiTheme="majorBidi" w:cstheme="majorBidi"/>
          <w:sz w:val="24"/>
          <w:szCs w:val="24"/>
          <w:lang w:eastAsia="fr-FR"/>
        </w:rPr>
        <w:t> peuvent être des:</w:t>
      </w:r>
    </w:p>
    <w:p w:rsidR="00A55C4A" w:rsidRPr="00E64239" w:rsidRDefault="00EF460C" w:rsidP="003727B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hyperlink r:id="rId17" w:history="1">
        <w:r w:rsidR="00A55C4A" w:rsidRPr="00E64239">
          <w:rPr>
            <w:rFonts w:asciiTheme="majorBidi" w:eastAsia="Times New Roman" w:hAnsiTheme="majorBidi" w:cstheme="majorBidi"/>
            <w:sz w:val="24"/>
            <w:szCs w:val="24"/>
            <w:lang w:eastAsia="fr-FR"/>
          </w:rPr>
          <w:t>Centres collectifs</w:t>
        </w:r>
      </w:hyperlink>
      <w:r w:rsidR="00A55C4A" w:rsidRPr="00E64239">
        <w:rPr>
          <w:rFonts w:asciiTheme="majorBidi" w:eastAsia="Times New Roman" w:hAnsiTheme="majorBidi" w:cstheme="majorBidi"/>
          <w:sz w:val="24"/>
          <w:szCs w:val="24"/>
          <w:lang w:eastAsia="fr-FR"/>
        </w:rPr>
        <w:t> ;</w:t>
      </w:r>
    </w:p>
    <w:p w:rsidR="00A55C4A" w:rsidRPr="00E64239" w:rsidRDefault="00A55C4A" w:rsidP="003727B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fédérations professionnelles ;</w:t>
      </w:r>
    </w:p>
    <w:p w:rsidR="00A55C4A" w:rsidRPr="00E64239" w:rsidRDefault="00A55C4A" w:rsidP="003727B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universités ;</w:t>
      </w:r>
    </w:p>
    <w:p w:rsidR="00A55C4A" w:rsidRPr="00E64239" w:rsidRDefault="00A55C4A" w:rsidP="003727B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départements techniques du secteur public ;</w:t>
      </w:r>
    </w:p>
    <w:p w:rsidR="00A55C4A" w:rsidRPr="00E64239" w:rsidRDefault="00A55C4A" w:rsidP="003727B9">
      <w:pPr>
        <w:numPr>
          <w:ilvl w:val="0"/>
          <w:numId w:val="13"/>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organisations non-gouvernementales. </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SPF Economie est opérateur sectoriel de normalisation pour le  comité technique relatif à l'évaluation de la conformité (CEN/CLC/CT 1 et ISO CASCO).  </w:t>
      </w:r>
    </w:p>
    <w:p w:rsidR="00A55C4A" w:rsidRPr="00E64239" w:rsidRDefault="005E29BA"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II-8-</w:t>
      </w:r>
      <w:r w:rsidR="00A55C4A" w:rsidRPr="00E64239">
        <w:rPr>
          <w:rFonts w:asciiTheme="majorBidi" w:eastAsia="Times New Roman" w:hAnsiTheme="majorBidi" w:cstheme="majorBidi"/>
          <w:b/>
          <w:bCs/>
          <w:sz w:val="24"/>
          <w:szCs w:val="24"/>
          <w:lang w:eastAsia="fr-FR"/>
        </w:rPr>
        <w:t>Le Conseil supérieur de Normalisation - CSN</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A côté du Bureau de Normalisation, la loi du 3 avril 2003 a créé le </w:t>
      </w:r>
      <w:hyperlink r:id="rId18" w:history="1">
        <w:r w:rsidRPr="00E64239">
          <w:rPr>
            <w:rFonts w:asciiTheme="majorBidi" w:eastAsia="Times New Roman" w:hAnsiTheme="majorBidi" w:cstheme="majorBidi"/>
            <w:sz w:val="24"/>
            <w:szCs w:val="24"/>
            <w:lang w:eastAsia="fr-FR"/>
          </w:rPr>
          <w:t>Conseil supérieur de Normalisation</w:t>
        </w:r>
      </w:hyperlink>
      <w:r w:rsidRPr="00E64239">
        <w:rPr>
          <w:rFonts w:asciiTheme="majorBidi" w:eastAsia="Times New Roman" w:hAnsiTheme="majorBidi" w:cstheme="majorBidi"/>
          <w:sz w:val="24"/>
          <w:szCs w:val="24"/>
          <w:lang w:eastAsia="fr-FR"/>
        </w:rPr>
        <w:t> , qui a pour mission de remettre au ministre des avis au sujet de toutes les questions relatives à la politique et au développement de la normalisation.</w:t>
      </w:r>
    </w:p>
    <w:p w:rsidR="00A55C4A" w:rsidRPr="00E64239" w:rsidRDefault="005E29BA" w:rsidP="003727B9">
      <w:pPr>
        <w:spacing w:before="100" w:beforeAutospacing="1" w:after="100" w:afterAutospacing="1" w:line="240" w:lineRule="auto"/>
        <w:jc w:val="both"/>
        <w:outlineLvl w:val="1"/>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II-9-</w:t>
      </w:r>
      <w:r w:rsidR="00A55C4A" w:rsidRPr="00E64239">
        <w:rPr>
          <w:rFonts w:asciiTheme="majorBidi" w:eastAsia="Times New Roman" w:hAnsiTheme="majorBidi" w:cstheme="majorBidi"/>
          <w:b/>
          <w:bCs/>
          <w:sz w:val="24"/>
          <w:szCs w:val="24"/>
          <w:lang w:eastAsia="fr-FR"/>
        </w:rPr>
        <w:t>Bureau de Normalisation et le SPF Economie</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 xml:space="preserve">Le </w:t>
      </w:r>
      <w:hyperlink r:id="rId19" w:tgtFrame="_blank" w:history="1">
        <w:r w:rsidRPr="00E64239">
          <w:rPr>
            <w:rFonts w:asciiTheme="majorBidi" w:eastAsia="Times New Roman" w:hAnsiTheme="majorBidi" w:cstheme="majorBidi"/>
            <w:sz w:val="24"/>
            <w:szCs w:val="24"/>
            <w:lang w:eastAsia="fr-FR"/>
          </w:rPr>
          <w:t>Bureau de Normalisation</w:t>
        </w:r>
      </w:hyperlink>
      <w:r w:rsidRPr="00E64239">
        <w:rPr>
          <w:rFonts w:asciiTheme="majorBidi" w:eastAsia="Times New Roman" w:hAnsiTheme="majorBidi" w:cstheme="majorBidi"/>
          <w:sz w:val="24"/>
          <w:szCs w:val="24"/>
          <w:lang w:eastAsia="fr-FR"/>
        </w:rPr>
        <w:t xml:space="preserve"> est l’organisme chargé de coordonner les activités de normalisation en Belgique. Il agrée les opérateurs sectoriels et leur confie la gestion de commissions thématiques au sein desquelles les experts rédigent les projets de normes. Il commercialise également les normes en Belgique.</w:t>
      </w:r>
    </w:p>
    <w:p w:rsidR="00A55C4A"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 xml:space="preserve">Le NBN reçoit un subside annuel de fonctionnement du SPF Economie, comme prévu dans le Code de droit économique (livre VIII). A cette fin, le SPF Economie a conclu un </w:t>
      </w:r>
      <w:hyperlink r:id="rId20" w:history="1">
        <w:r w:rsidRPr="00E64239">
          <w:rPr>
            <w:rFonts w:asciiTheme="majorBidi" w:eastAsia="Times New Roman" w:hAnsiTheme="majorBidi" w:cstheme="majorBidi"/>
            <w:sz w:val="24"/>
            <w:szCs w:val="24"/>
            <w:lang w:eastAsia="fr-FR"/>
          </w:rPr>
          <w:t>contrat de gestion (PDF, 131.27 Ko)</w:t>
        </w:r>
      </w:hyperlink>
      <w:r w:rsidRPr="00E64239">
        <w:rPr>
          <w:rFonts w:asciiTheme="majorBidi" w:eastAsia="Times New Roman" w:hAnsiTheme="majorBidi" w:cstheme="majorBidi"/>
          <w:sz w:val="24"/>
          <w:szCs w:val="24"/>
          <w:lang w:eastAsia="fr-FR"/>
        </w:rPr>
        <w:t xml:space="preserve"> à durée indéterminée avec le Bureau de Normalisation. Ce contrat est entré en vigueur le 1</w:t>
      </w:r>
      <w:r w:rsidRPr="00E64239">
        <w:rPr>
          <w:rFonts w:asciiTheme="majorBidi" w:eastAsia="Times New Roman" w:hAnsiTheme="majorBidi" w:cstheme="majorBidi"/>
          <w:sz w:val="24"/>
          <w:szCs w:val="24"/>
          <w:vertAlign w:val="superscript"/>
          <w:lang w:eastAsia="fr-FR"/>
        </w:rPr>
        <w:t xml:space="preserve">er </w:t>
      </w:r>
      <w:r w:rsidRPr="00E64239">
        <w:rPr>
          <w:rFonts w:asciiTheme="majorBidi" w:eastAsia="Times New Roman" w:hAnsiTheme="majorBidi" w:cstheme="majorBidi"/>
          <w:sz w:val="24"/>
          <w:szCs w:val="24"/>
          <w:lang w:eastAsia="fr-FR"/>
        </w:rPr>
        <w:t>janvier 2018.</w:t>
      </w:r>
    </w:p>
    <w:p w:rsidR="007E62E4" w:rsidRPr="00E64239" w:rsidRDefault="00A55C4A" w:rsidP="003727B9">
      <w:pPr>
        <w:spacing w:before="100" w:beforeAutospacing="1" w:after="100" w:afterAutospacing="1" w:line="240" w:lineRule="auto"/>
        <w:jc w:val="both"/>
        <w:rPr>
          <w:rFonts w:asciiTheme="majorBidi" w:eastAsia="Times New Roman" w:hAnsiTheme="majorBidi" w:cstheme="majorBidi"/>
          <w:sz w:val="24"/>
          <w:szCs w:val="24"/>
          <w:lang w:val="fr-BE" w:eastAsia="fr-FR"/>
        </w:rPr>
      </w:pPr>
      <w:r w:rsidRPr="00E64239">
        <w:rPr>
          <w:rFonts w:asciiTheme="majorBidi" w:eastAsia="Times New Roman" w:hAnsiTheme="majorBidi" w:cstheme="majorBidi"/>
          <w:sz w:val="24"/>
          <w:szCs w:val="24"/>
          <w:lang w:val="fr-BE" w:eastAsia="fr-FR"/>
        </w:rPr>
        <w:t xml:space="preserve">Ce contrat définit le cadre pour l’attribution de ce subside ainsi que les missions d’intérêt général effectuées en contrepartie. Ces missions sont précisées dans un </w:t>
      </w:r>
      <w:hyperlink r:id="rId21" w:history="1">
        <w:r w:rsidRPr="00E64239">
          <w:rPr>
            <w:rFonts w:asciiTheme="majorBidi" w:eastAsia="Times New Roman" w:hAnsiTheme="majorBidi" w:cstheme="majorBidi"/>
            <w:sz w:val="24"/>
            <w:szCs w:val="24"/>
            <w:lang w:val="fr-BE" w:eastAsia="fr-FR"/>
          </w:rPr>
          <w:t>programme annuel d’activités (PDF, 309.17 Ko)</w:t>
        </w:r>
      </w:hyperlink>
      <w:r w:rsidRPr="00E64239">
        <w:rPr>
          <w:rFonts w:asciiTheme="majorBidi" w:eastAsia="Times New Roman" w:hAnsiTheme="majorBidi" w:cstheme="majorBidi"/>
          <w:sz w:val="24"/>
          <w:szCs w:val="24"/>
          <w:lang w:val="fr-BE" w:eastAsia="fr-FR"/>
        </w:rPr>
        <w:t xml:space="preserve"> et </w:t>
      </w:r>
      <w:hyperlink r:id="rId22" w:history="1">
        <w:r w:rsidRPr="00E64239">
          <w:rPr>
            <w:rFonts w:asciiTheme="majorBidi" w:eastAsia="Times New Roman" w:hAnsiTheme="majorBidi" w:cstheme="majorBidi"/>
            <w:sz w:val="24"/>
            <w:szCs w:val="24"/>
            <w:lang w:val="fr-BE" w:eastAsia="fr-FR"/>
          </w:rPr>
          <w:t>un plan annuel de traduction des normes en langue néerlandaise (PDF, 211.93 Ko)</w:t>
        </w:r>
      </w:hyperlink>
      <w:r w:rsidRPr="00E64239">
        <w:rPr>
          <w:rFonts w:asciiTheme="majorBidi" w:eastAsia="Times New Roman" w:hAnsiTheme="majorBidi" w:cstheme="majorBidi"/>
          <w:sz w:val="24"/>
          <w:szCs w:val="24"/>
          <w:lang w:val="fr-BE" w:eastAsia="fr-FR"/>
        </w:rPr>
        <w:t>. Un groupe de pilotage réunissant des représentants du SPF Economie et du NBN assurera le suivi de l’application de ce contrat.</w:t>
      </w:r>
    </w:p>
    <w:p w:rsidR="00B25D40" w:rsidRPr="00E64239" w:rsidRDefault="002B128C"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t>Exemple de normes</w:t>
      </w:r>
      <w:r w:rsidR="00B25D40" w:rsidRPr="00E64239">
        <w:rPr>
          <w:rFonts w:asciiTheme="majorBidi" w:hAnsiTheme="majorBidi" w:cstheme="majorBidi"/>
          <w:b/>
          <w:bCs/>
          <w:sz w:val="24"/>
          <w:szCs w:val="24"/>
        </w:rPr>
        <w:t> :</w:t>
      </w:r>
    </w:p>
    <w:p w:rsidR="002B128C" w:rsidRPr="00E64239" w:rsidRDefault="009A204F"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C</w:t>
      </w:r>
      <w:r w:rsidR="002B128C" w:rsidRPr="00E64239">
        <w:rPr>
          <w:rFonts w:asciiTheme="majorBidi" w:hAnsiTheme="majorBidi" w:cstheme="majorBidi"/>
          <w:sz w:val="24"/>
          <w:szCs w:val="24"/>
        </w:rPr>
        <w:t>oncernant les unités, leurs symboles…</w:t>
      </w:r>
    </w:p>
    <w:p w:rsidR="009A204F" w:rsidRPr="00E64239" w:rsidRDefault="009A204F" w:rsidP="003727B9">
      <w:pPr>
        <w:autoSpaceDE w:val="0"/>
        <w:autoSpaceDN w:val="0"/>
        <w:adjustRightInd w:val="0"/>
        <w:spacing w:after="0" w:line="240" w:lineRule="auto"/>
        <w:jc w:val="both"/>
        <w:rPr>
          <w:rFonts w:asciiTheme="majorBidi" w:hAnsiTheme="majorBidi" w:cstheme="majorBidi"/>
          <w:sz w:val="24"/>
          <w:szCs w:val="24"/>
        </w:rPr>
      </w:pPr>
    </w:p>
    <w:p w:rsidR="002B128C" w:rsidRPr="00E64239" w:rsidRDefault="002B128C" w:rsidP="003727B9">
      <w:pPr>
        <w:autoSpaceDE w:val="0"/>
        <w:autoSpaceDN w:val="0"/>
        <w:adjustRightInd w:val="0"/>
        <w:spacing w:after="0" w:line="240" w:lineRule="auto"/>
        <w:jc w:val="both"/>
        <w:rPr>
          <w:rFonts w:asciiTheme="majorBidi" w:hAnsiTheme="majorBidi" w:cstheme="majorBidi"/>
          <w:b/>
          <w:bCs/>
          <w:i/>
          <w:iCs/>
          <w:sz w:val="24"/>
          <w:szCs w:val="24"/>
        </w:rPr>
      </w:pPr>
      <w:r w:rsidRPr="00E64239">
        <w:rPr>
          <w:rFonts w:asciiTheme="majorBidi" w:hAnsiTheme="majorBidi" w:cstheme="majorBidi"/>
          <w:b/>
          <w:bCs/>
          <w:i/>
          <w:iCs/>
          <w:sz w:val="24"/>
          <w:szCs w:val="24"/>
        </w:rPr>
        <w:t>ISO</w:t>
      </w:r>
    </w:p>
    <w:p w:rsidR="002B128C" w:rsidRPr="00E64239" w:rsidRDefault="002B128C"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Les unités SI sont établies par le Bureau International des Poids et Mesures (BIPM). La</w:t>
      </w:r>
      <w:r w:rsidR="007E62E4" w:rsidRPr="00E64239">
        <w:rPr>
          <w:rFonts w:asciiTheme="majorBidi" w:hAnsiTheme="majorBidi" w:cstheme="majorBidi"/>
          <w:sz w:val="24"/>
          <w:szCs w:val="24"/>
        </w:rPr>
        <w:t xml:space="preserve"> </w:t>
      </w:r>
      <w:r w:rsidRPr="00E64239">
        <w:rPr>
          <w:rFonts w:asciiTheme="majorBidi" w:hAnsiTheme="majorBidi" w:cstheme="majorBidi"/>
          <w:sz w:val="24"/>
          <w:szCs w:val="24"/>
        </w:rPr>
        <w:t xml:space="preserve">norme correspondante est l'ISO 1000 et pour </w:t>
      </w:r>
      <w:r w:rsidR="007E62E4" w:rsidRPr="00E64239">
        <w:rPr>
          <w:rFonts w:asciiTheme="majorBidi" w:hAnsiTheme="majorBidi" w:cstheme="majorBidi"/>
          <w:sz w:val="24"/>
          <w:szCs w:val="24"/>
        </w:rPr>
        <w:t xml:space="preserve">les domaines technologiques, il </w:t>
      </w:r>
      <w:r w:rsidRPr="00E64239">
        <w:rPr>
          <w:rFonts w:asciiTheme="majorBidi" w:hAnsiTheme="majorBidi" w:cstheme="majorBidi"/>
          <w:sz w:val="24"/>
          <w:szCs w:val="24"/>
        </w:rPr>
        <w:t>existe la norme</w:t>
      </w:r>
    </w:p>
    <w:p w:rsidR="002B128C" w:rsidRPr="00E64239" w:rsidRDefault="002B128C"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lastRenderedPageBreak/>
        <w:t>ISO 31 du comité ISO/TC 12.</w:t>
      </w:r>
    </w:p>
    <w:p w:rsidR="002B128C" w:rsidRPr="00E64239" w:rsidRDefault="002B128C"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xml:space="preserve">Ces normes sont décrites dans le « Recueil de normes ISO : </w:t>
      </w:r>
      <w:r w:rsidRPr="00E64239">
        <w:rPr>
          <w:rFonts w:asciiTheme="majorBidi" w:hAnsiTheme="majorBidi" w:cstheme="majorBidi"/>
          <w:i/>
          <w:iCs/>
          <w:sz w:val="24"/>
          <w:szCs w:val="24"/>
        </w:rPr>
        <w:t>Grandeurs et unités</w:t>
      </w:r>
      <w:r w:rsidRPr="00E64239">
        <w:rPr>
          <w:rFonts w:asciiTheme="majorBidi" w:hAnsiTheme="majorBidi" w:cstheme="majorBidi"/>
          <w:sz w:val="24"/>
          <w:szCs w:val="24"/>
        </w:rPr>
        <w:t>» 3e édition, International Organization for Standardization, Genève, Suisse,</w:t>
      </w:r>
      <w:r w:rsidR="007E62E4" w:rsidRPr="00E64239">
        <w:rPr>
          <w:rFonts w:asciiTheme="majorBidi" w:hAnsiTheme="majorBidi" w:cstheme="majorBidi"/>
          <w:i/>
          <w:iCs/>
          <w:sz w:val="24"/>
          <w:szCs w:val="24"/>
        </w:rPr>
        <w:t xml:space="preserve"> </w:t>
      </w:r>
      <w:r w:rsidRPr="00E64239">
        <w:rPr>
          <w:rFonts w:asciiTheme="majorBidi" w:hAnsiTheme="majorBidi" w:cstheme="majorBidi"/>
          <w:sz w:val="24"/>
          <w:szCs w:val="24"/>
        </w:rPr>
        <w:t>1993, 345 p., ISBN 92-67-10185-4 (prix : 188,00 Francs suisse). Une version</w:t>
      </w:r>
      <w:r w:rsidR="007E62E4" w:rsidRPr="00E64239">
        <w:rPr>
          <w:rFonts w:asciiTheme="majorBidi" w:hAnsiTheme="majorBidi" w:cstheme="majorBidi"/>
          <w:i/>
          <w:iCs/>
          <w:sz w:val="24"/>
          <w:szCs w:val="24"/>
        </w:rPr>
        <w:t xml:space="preserve"> </w:t>
      </w:r>
      <w:r w:rsidRPr="00E64239">
        <w:rPr>
          <w:rFonts w:asciiTheme="majorBidi" w:hAnsiTheme="majorBidi" w:cstheme="majorBidi"/>
          <w:sz w:val="24"/>
          <w:szCs w:val="24"/>
        </w:rPr>
        <w:t>e</w:t>
      </w:r>
      <w:r w:rsidR="007E62E4" w:rsidRPr="00E64239">
        <w:rPr>
          <w:rFonts w:asciiTheme="majorBidi" w:hAnsiTheme="majorBidi" w:cstheme="majorBidi"/>
          <w:sz w:val="24"/>
          <w:szCs w:val="24"/>
        </w:rPr>
        <w:t xml:space="preserve">n langue anglaise est également </w:t>
      </w:r>
      <w:r w:rsidRPr="00E64239">
        <w:rPr>
          <w:rFonts w:asciiTheme="majorBidi" w:hAnsiTheme="majorBidi" w:cstheme="majorBidi"/>
          <w:sz w:val="24"/>
          <w:szCs w:val="24"/>
        </w:rPr>
        <w:t>disponible.</w:t>
      </w:r>
    </w:p>
    <w:p w:rsidR="009A204F" w:rsidRPr="00E64239" w:rsidRDefault="009A204F" w:rsidP="003727B9">
      <w:pPr>
        <w:autoSpaceDE w:val="0"/>
        <w:autoSpaceDN w:val="0"/>
        <w:adjustRightInd w:val="0"/>
        <w:spacing w:after="0" w:line="240" w:lineRule="auto"/>
        <w:jc w:val="both"/>
        <w:rPr>
          <w:rFonts w:asciiTheme="majorBidi" w:hAnsiTheme="majorBidi" w:cstheme="majorBidi"/>
          <w:i/>
          <w:iCs/>
          <w:sz w:val="24"/>
          <w:szCs w:val="24"/>
        </w:rPr>
      </w:pPr>
    </w:p>
    <w:p w:rsidR="008E47C1" w:rsidRPr="00E64239" w:rsidRDefault="002B128C"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La Norme ISO 31 intitulée « Grandeurs unités, symboles, facteurs de conversion » est formée</w:t>
      </w:r>
      <w:r w:rsidR="007E62E4" w:rsidRPr="00E64239">
        <w:rPr>
          <w:rFonts w:asciiTheme="majorBidi" w:hAnsiTheme="majorBidi" w:cstheme="majorBidi"/>
          <w:sz w:val="24"/>
          <w:szCs w:val="24"/>
        </w:rPr>
        <w:t xml:space="preserve"> </w:t>
      </w:r>
      <w:r w:rsidRPr="00E64239">
        <w:rPr>
          <w:rFonts w:asciiTheme="majorBidi" w:hAnsiTheme="majorBidi" w:cstheme="majorBidi"/>
          <w:sz w:val="24"/>
          <w:szCs w:val="24"/>
        </w:rPr>
        <w:t>de 14 parties correspondant à diverses branches des sciences physiques.</w:t>
      </w:r>
    </w:p>
    <w:p w:rsidR="00323134" w:rsidRPr="00E64239" w:rsidRDefault="00323134" w:rsidP="003727B9">
      <w:pPr>
        <w:autoSpaceDE w:val="0"/>
        <w:autoSpaceDN w:val="0"/>
        <w:adjustRightInd w:val="0"/>
        <w:spacing w:after="0" w:line="240" w:lineRule="auto"/>
        <w:jc w:val="both"/>
        <w:rPr>
          <w:rFonts w:asciiTheme="majorBidi" w:hAnsiTheme="majorBidi" w:cstheme="majorBidi"/>
          <w:sz w:val="24"/>
          <w:szCs w:val="24"/>
        </w:rPr>
      </w:pPr>
    </w:p>
    <w:p w:rsidR="00323134" w:rsidRPr="00E64239" w:rsidRDefault="00323134" w:rsidP="003727B9">
      <w:pPr>
        <w:pStyle w:val="Default"/>
        <w:numPr>
          <w:ilvl w:val="0"/>
          <w:numId w:val="13"/>
        </w:numPr>
        <w:jc w:val="both"/>
        <w:rPr>
          <w:rFonts w:asciiTheme="majorBidi" w:hAnsiTheme="majorBidi" w:cstheme="majorBidi"/>
          <w:b/>
          <w:bCs/>
          <w:color w:val="auto"/>
        </w:rPr>
      </w:pPr>
      <w:r w:rsidRPr="00E64239">
        <w:rPr>
          <w:rFonts w:asciiTheme="majorBidi" w:hAnsiTheme="majorBidi" w:cstheme="majorBidi"/>
          <w:b/>
          <w:bCs/>
          <w:color w:val="auto"/>
        </w:rPr>
        <w:t xml:space="preserve"> Marquage CE et marque NF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b/>
          <w:bCs/>
          <w:color w:val="auto"/>
        </w:rPr>
        <w:t xml:space="preserve">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 </w:t>
      </w:r>
      <w:r w:rsidRPr="00E64239">
        <w:rPr>
          <w:rFonts w:asciiTheme="majorBidi" w:hAnsiTheme="majorBidi" w:cstheme="majorBidi"/>
          <w:b/>
          <w:bCs/>
          <w:color w:val="auto"/>
        </w:rPr>
        <w:t>Marquage CE </w:t>
      </w:r>
      <w:r w:rsidRPr="00E64239">
        <w:rPr>
          <w:rFonts w:asciiTheme="majorBidi" w:hAnsiTheme="majorBidi" w:cstheme="majorBidi"/>
          <w:color w:val="auto"/>
        </w:rPr>
        <w:t>:</w:t>
      </w:r>
    </w:p>
    <w:p w:rsidR="00323134" w:rsidRPr="00E64239" w:rsidRDefault="00323134" w:rsidP="003727B9">
      <w:pPr>
        <w:pStyle w:val="Default"/>
        <w:jc w:val="both"/>
        <w:rPr>
          <w:rFonts w:asciiTheme="majorBidi" w:hAnsiTheme="majorBidi" w:cstheme="majorBidi"/>
          <w:color w:val="auto"/>
        </w:rPr>
      </w:pP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Le </w:t>
      </w:r>
      <w:r w:rsidRPr="00E64239">
        <w:rPr>
          <w:rFonts w:asciiTheme="majorBidi" w:hAnsiTheme="majorBidi" w:cstheme="majorBidi"/>
          <w:b/>
          <w:bCs/>
          <w:color w:val="auto"/>
        </w:rPr>
        <w:t xml:space="preserve">marquage CE </w:t>
      </w:r>
      <w:r w:rsidRPr="00E64239">
        <w:rPr>
          <w:rFonts w:asciiTheme="majorBidi" w:hAnsiTheme="majorBidi" w:cstheme="majorBidi"/>
          <w:color w:val="auto"/>
        </w:rPr>
        <w:t xml:space="preserve">concerne les produits entrant dans le champ d’application d’une ou plusieurs </w:t>
      </w:r>
      <w:r w:rsidRPr="00E64239">
        <w:rPr>
          <w:rFonts w:asciiTheme="majorBidi" w:hAnsiTheme="majorBidi" w:cstheme="majorBidi"/>
          <w:b/>
          <w:bCs/>
          <w:color w:val="auto"/>
        </w:rPr>
        <w:t>directives européennes « nouvelle approche »</w:t>
      </w:r>
      <w:r w:rsidRPr="00E64239">
        <w:rPr>
          <w:rFonts w:asciiTheme="majorBidi" w:hAnsiTheme="majorBidi" w:cstheme="majorBidi"/>
          <w:color w:val="auto"/>
        </w:rPr>
        <w:t xml:space="preserve">. Il est </w:t>
      </w:r>
      <w:r w:rsidRPr="00E64239">
        <w:rPr>
          <w:rFonts w:asciiTheme="majorBidi" w:hAnsiTheme="majorBidi" w:cstheme="majorBidi"/>
          <w:b/>
          <w:bCs/>
          <w:color w:val="auto"/>
        </w:rPr>
        <w:t xml:space="preserve">obligatoire </w:t>
      </w:r>
      <w:r w:rsidRPr="00E64239">
        <w:rPr>
          <w:rFonts w:asciiTheme="majorBidi" w:hAnsiTheme="majorBidi" w:cstheme="majorBidi"/>
          <w:color w:val="auto"/>
        </w:rPr>
        <w:t xml:space="preserve">pour tous ces produits et confère le droit de libre circulation sur le territoire de l’Union européenne.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Il matérialise la conformité d’un produit aux exigences communautaires le concernant et incombe au fabricant. Un des moyens d’arriver aux exigences est de suivre une </w:t>
      </w:r>
      <w:r w:rsidRPr="00E64239">
        <w:rPr>
          <w:rFonts w:asciiTheme="majorBidi" w:hAnsiTheme="majorBidi" w:cstheme="majorBidi"/>
          <w:b/>
          <w:bCs/>
          <w:color w:val="auto"/>
        </w:rPr>
        <w:t xml:space="preserve">norme européenne harmonisée </w:t>
      </w:r>
      <w:r w:rsidRPr="00E64239">
        <w:rPr>
          <w:rFonts w:asciiTheme="majorBidi" w:hAnsiTheme="majorBidi" w:cstheme="majorBidi"/>
          <w:color w:val="auto"/>
        </w:rPr>
        <w:t xml:space="preserve">; le respect de la norme entraîne alors le respect des exigences.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Il y a actuellement 22 classes de produits soumis au marquage CE (dispositifs médicaux, jouets, équipements de protection individuelle…) correspondant à 22 directives européennes différentes.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Pour apposer le marquage CE sur son produit, le </w:t>
      </w:r>
      <w:r w:rsidRPr="00E64239">
        <w:rPr>
          <w:rFonts w:asciiTheme="majorBidi" w:hAnsiTheme="majorBidi" w:cstheme="majorBidi"/>
          <w:b/>
          <w:bCs/>
          <w:color w:val="auto"/>
        </w:rPr>
        <w:t xml:space="preserve">fabricant </w:t>
      </w:r>
      <w:r w:rsidRPr="00E64239">
        <w:rPr>
          <w:rFonts w:asciiTheme="majorBidi" w:hAnsiTheme="majorBidi" w:cstheme="majorBidi"/>
          <w:color w:val="auto"/>
        </w:rPr>
        <w:t xml:space="preserve">doit réaliser ou faire réaliser des essais, des contrôles précisés dans la directive.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Certains contrôles peuvent se faire sous la responsabilité du fabricant (auto-déclaration), d’autres doivent être faits par un organisme notifié. </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Les organismes notifiés sont des organismes indépendants, désignés par un État membre pour réaliser les missions d’évaluation de conformité, de contrôle et d’essais dans le cadre d’une directive spécifique. </w:t>
      </w:r>
    </w:p>
    <w:p w:rsidR="00323134" w:rsidRPr="00E64239" w:rsidRDefault="00323134" w:rsidP="003727B9">
      <w:pPr>
        <w:pStyle w:val="Default"/>
        <w:jc w:val="both"/>
        <w:rPr>
          <w:rFonts w:asciiTheme="majorBidi" w:hAnsiTheme="majorBidi" w:cstheme="majorBidi"/>
          <w:color w:val="auto"/>
        </w:rPr>
      </w:pPr>
    </w:p>
    <w:p w:rsidR="00323134" w:rsidRPr="00E64239" w:rsidRDefault="00323134"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xml:space="preserve"> </w:t>
      </w:r>
      <w:r w:rsidRPr="00E64239">
        <w:rPr>
          <w:rFonts w:asciiTheme="majorBidi" w:hAnsiTheme="majorBidi" w:cstheme="majorBidi"/>
          <w:b/>
          <w:bCs/>
          <w:sz w:val="24"/>
          <w:szCs w:val="24"/>
        </w:rPr>
        <w:t xml:space="preserve">Marque NF </w:t>
      </w:r>
    </w:p>
    <w:p w:rsidR="00DE5701"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color w:val="auto"/>
        </w:rPr>
        <w:t xml:space="preserve">Créée en 1947, la </w:t>
      </w:r>
      <w:r w:rsidRPr="00E64239">
        <w:rPr>
          <w:rFonts w:asciiTheme="majorBidi" w:hAnsiTheme="majorBidi" w:cstheme="majorBidi"/>
          <w:b/>
          <w:bCs/>
          <w:color w:val="auto"/>
        </w:rPr>
        <w:t xml:space="preserve">marque NF </w:t>
      </w:r>
      <w:r w:rsidRPr="00E64239">
        <w:rPr>
          <w:rFonts w:asciiTheme="majorBidi" w:hAnsiTheme="majorBidi" w:cstheme="majorBidi"/>
          <w:color w:val="auto"/>
        </w:rPr>
        <w:t xml:space="preserve">est une </w:t>
      </w:r>
      <w:r w:rsidRPr="00E64239">
        <w:rPr>
          <w:rFonts w:asciiTheme="majorBidi" w:hAnsiTheme="majorBidi" w:cstheme="majorBidi"/>
          <w:b/>
          <w:bCs/>
          <w:color w:val="auto"/>
        </w:rPr>
        <w:t xml:space="preserve">marque collective volontaire de certification </w:t>
      </w:r>
      <w:r w:rsidRPr="00E64239">
        <w:rPr>
          <w:rFonts w:asciiTheme="majorBidi" w:hAnsiTheme="majorBidi" w:cstheme="majorBidi"/>
          <w:color w:val="auto"/>
        </w:rPr>
        <w:t xml:space="preserve">délivrée par AFNOR Certification et son réseau d’organismes partenaires (Exemple : LNE (Laboratoire National de métrologie et d'Essais) pour les préservatifs). La marque NF atteste qu’un produit industriel ou de consommation est </w:t>
      </w:r>
      <w:r w:rsidRPr="00E64239">
        <w:rPr>
          <w:rFonts w:asciiTheme="majorBidi" w:hAnsiTheme="majorBidi" w:cstheme="majorBidi"/>
          <w:b/>
          <w:bCs/>
          <w:color w:val="auto"/>
        </w:rPr>
        <w:t xml:space="preserve">conforme </w:t>
      </w:r>
      <w:r w:rsidRPr="00E64239">
        <w:rPr>
          <w:rFonts w:asciiTheme="majorBidi" w:hAnsiTheme="majorBidi" w:cstheme="majorBidi"/>
          <w:color w:val="auto"/>
        </w:rPr>
        <w:t xml:space="preserve">à des caractéristiques de qualité définies dans des </w:t>
      </w:r>
      <w:r w:rsidRPr="00E64239">
        <w:rPr>
          <w:rFonts w:asciiTheme="majorBidi" w:hAnsiTheme="majorBidi" w:cstheme="majorBidi"/>
          <w:b/>
          <w:bCs/>
          <w:color w:val="auto"/>
        </w:rPr>
        <w:t xml:space="preserve">normes françaises, européennes et internationales </w:t>
      </w:r>
      <w:r w:rsidRPr="00E64239">
        <w:rPr>
          <w:rFonts w:asciiTheme="majorBidi" w:hAnsiTheme="majorBidi" w:cstheme="majorBidi"/>
          <w:color w:val="auto"/>
        </w:rPr>
        <w:t xml:space="preserve">auxquelles sont souvent </w:t>
      </w:r>
      <w:r w:rsidRPr="00E64239">
        <w:rPr>
          <w:rFonts w:asciiTheme="majorBidi" w:hAnsiTheme="majorBidi" w:cstheme="majorBidi"/>
          <w:b/>
          <w:bCs/>
          <w:color w:val="auto"/>
        </w:rPr>
        <w:t xml:space="preserve">ajoutées des spécifications complémentaires </w:t>
      </w:r>
      <w:r w:rsidRPr="00E64239">
        <w:rPr>
          <w:rFonts w:asciiTheme="majorBidi" w:hAnsiTheme="majorBidi" w:cstheme="majorBidi"/>
          <w:color w:val="auto"/>
        </w:rPr>
        <w:t>demandées par le marché. La marque NF est délivrée pour plus de 60 familles de produits dans de nombreux secteurs : emballage, collectivités, médical/santé, biens de consommation, construction et habitat, énergie et environnement.</w:t>
      </w:r>
    </w:p>
    <w:p w:rsidR="00323134" w:rsidRPr="00E64239" w:rsidRDefault="00323134" w:rsidP="003727B9">
      <w:pPr>
        <w:jc w:val="both"/>
        <w:rPr>
          <w:rFonts w:asciiTheme="majorBidi" w:hAnsiTheme="majorBidi" w:cstheme="majorBidi"/>
          <w:sz w:val="24"/>
          <w:szCs w:val="24"/>
        </w:rPr>
      </w:pPr>
    </w:p>
    <w:p w:rsidR="00DE5701" w:rsidRPr="00E64239" w:rsidRDefault="00DE5701" w:rsidP="003727B9">
      <w:pPr>
        <w:jc w:val="both"/>
        <w:rPr>
          <w:rFonts w:asciiTheme="majorBidi" w:hAnsiTheme="majorBidi" w:cstheme="majorBidi"/>
          <w:sz w:val="24"/>
          <w:szCs w:val="24"/>
        </w:rPr>
      </w:pPr>
    </w:p>
    <w:p w:rsidR="009A204F" w:rsidRPr="00E64239" w:rsidRDefault="009A204F" w:rsidP="003727B9">
      <w:pPr>
        <w:jc w:val="both"/>
        <w:rPr>
          <w:rFonts w:asciiTheme="majorBidi" w:hAnsiTheme="majorBidi" w:cstheme="majorBidi"/>
          <w:sz w:val="24"/>
          <w:szCs w:val="24"/>
        </w:rPr>
      </w:pPr>
    </w:p>
    <w:p w:rsidR="009A204F" w:rsidRPr="00E64239" w:rsidRDefault="009A204F" w:rsidP="003727B9">
      <w:pPr>
        <w:jc w:val="both"/>
        <w:rPr>
          <w:rFonts w:asciiTheme="majorBidi" w:hAnsiTheme="majorBidi" w:cstheme="majorBidi"/>
          <w:sz w:val="24"/>
          <w:szCs w:val="24"/>
        </w:rPr>
      </w:pPr>
    </w:p>
    <w:p w:rsidR="009A204F" w:rsidRPr="00E64239" w:rsidRDefault="009A204F" w:rsidP="003727B9">
      <w:pPr>
        <w:jc w:val="both"/>
        <w:rPr>
          <w:rFonts w:asciiTheme="majorBidi" w:hAnsiTheme="majorBidi" w:cstheme="majorBidi"/>
          <w:sz w:val="24"/>
          <w:szCs w:val="24"/>
        </w:rPr>
      </w:pPr>
    </w:p>
    <w:p w:rsidR="009A204F" w:rsidRPr="00E64239" w:rsidRDefault="009A204F" w:rsidP="003727B9">
      <w:pPr>
        <w:jc w:val="both"/>
        <w:rPr>
          <w:rFonts w:asciiTheme="majorBidi" w:hAnsiTheme="majorBidi" w:cstheme="majorBidi"/>
          <w:sz w:val="24"/>
          <w:szCs w:val="24"/>
        </w:rPr>
      </w:pPr>
    </w:p>
    <w:p w:rsidR="009A204F" w:rsidRPr="00E64239" w:rsidRDefault="009A204F" w:rsidP="003727B9">
      <w:pPr>
        <w:jc w:val="both"/>
        <w:rPr>
          <w:rFonts w:asciiTheme="majorBidi" w:hAnsiTheme="majorBidi" w:cstheme="majorBidi"/>
          <w:sz w:val="24"/>
          <w:szCs w:val="24"/>
        </w:rPr>
      </w:pPr>
    </w:p>
    <w:p w:rsidR="00DE5701" w:rsidRPr="00E64239" w:rsidRDefault="00DE5701"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II-8-2- : Normalisation et entreprises</w:t>
      </w:r>
    </w:p>
    <w:p w:rsidR="00323134" w:rsidRPr="00E64239" w:rsidRDefault="00323134" w:rsidP="003727B9">
      <w:pPr>
        <w:pStyle w:val="Default"/>
        <w:jc w:val="both"/>
        <w:rPr>
          <w:rFonts w:asciiTheme="majorBidi" w:hAnsiTheme="majorBidi" w:cstheme="majorBidi"/>
          <w:color w:val="auto"/>
        </w:rPr>
      </w:pPr>
      <w:r w:rsidRPr="00E64239">
        <w:rPr>
          <w:rFonts w:asciiTheme="majorBidi" w:hAnsiTheme="majorBidi" w:cstheme="majorBidi"/>
          <w:noProof/>
          <w:color w:val="auto"/>
          <w:lang w:eastAsia="fr-FR"/>
        </w:rPr>
        <w:drawing>
          <wp:inline distT="0" distB="0" distL="0" distR="0">
            <wp:extent cx="5760720" cy="4316836"/>
            <wp:effectExtent l="1905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srcRect/>
                    <a:stretch>
                      <a:fillRect/>
                    </a:stretch>
                  </pic:blipFill>
                  <pic:spPr bwMode="auto">
                    <a:xfrm>
                      <a:off x="0" y="0"/>
                      <a:ext cx="5760720" cy="4316836"/>
                    </a:xfrm>
                    <a:prstGeom prst="rect">
                      <a:avLst/>
                    </a:prstGeom>
                    <a:noFill/>
                    <a:ln w="9525">
                      <a:noFill/>
                      <a:miter lim="800000"/>
                      <a:headEnd/>
                      <a:tailEnd/>
                    </a:ln>
                  </pic:spPr>
                </pic:pic>
              </a:graphicData>
            </a:graphic>
          </wp:inline>
        </w:drawing>
      </w:r>
    </w:p>
    <w:p w:rsidR="00CD1A1C" w:rsidRPr="00E64239" w:rsidRDefault="00CD1A1C" w:rsidP="003727B9">
      <w:pPr>
        <w:pStyle w:val="NormalWeb"/>
        <w:jc w:val="both"/>
        <w:rPr>
          <w:rFonts w:asciiTheme="majorBidi" w:hAnsiTheme="majorBidi" w:cstheme="majorBidi"/>
          <w:b/>
          <w:bCs/>
        </w:rPr>
      </w:pPr>
      <w:r w:rsidRPr="00E64239">
        <w:rPr>
          <w:rFonts w:asciiTheme="majorBidi" w:hAnsiTheme="majorBidi" w:cstheme="majorBidi"/>
          <w:b/>
          <w:bCs/>
          <w:noProof/>
        </w:rPr>
        <w:lastRenderedPageBreak/>
        <w:drawing>
          <wp:inline distT="0" distB="0" distL="0" distR="0">
            <wp:extent cx="5760720" cy="4316836"/>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srcRect/>
                    <a:stretch>
                      <a:fillRect/>
                    </a:stretch>
                  </pic:blipFill>
                  <pic:spPr bwMode="auto">
                    <a:xfrm>
                      <a:off x="0" y="0"/>
                      <a:ext cx="5760720" cy="4316836"/>
                    </a:xfrm>
                    <a:prstGeom prst="rect">
                      <a:avLst/>
                    </a:prstGeom>
                    <a:noFill/>
                    <a:ln w="9525">
                      <a:noFill/>
                      <a:miter lim="800000"/>
                      <a:headEnd/>
                      <a:tailEnd/>
                    </a:ln>
                  </pic:spPr>
                </pic:pic>
              </a:graphicData>
            </a:graphic>
          </wp:inline>
        </w:drawing>
      </w:r>
    </w:p>
    <w:p w:rsidR="009A204F" w:rsidRPr="00E64239" w:rsidRDefault="009A204F" w:rsidP="003727B9">
      <w:pPr>
        <w:pStyle w:val="NormalWeb"/>
        <w:jc w:val="both"/>
        <w:rPr>
          <w:rFonts w:asciiTheme="majorBidi" w:hAnsiTheme="majorBidi" w:cstheme="majorBidi"/>
          <w:b/>
          <w:bCs/>
        </w:rPr>
      </w:pPr>
    </w:p>
    <w:p w:rsidR="009A204F" w:rsidRPr="00E64239" w:rsidRDefault="009A204F" w:rsidP="003727B9">
      <w:pPr>
        <w:pStyle w:val="NormalWeb"/>
        <w:jc w:val="both"/>
        <w:rPr>
          <w:rFonts w:asciiTheme="majorBidi" w:hAnsiTheme="majorBidi" w:cstheme="majorBidi"/>
          <w:b/>
          <w:bCs/>
        </w:rPr>
      </w:pPr>
    </w:p>
    <w:p w:rsidR="008E47C1" w:rsidRPr="00E64239" w:rsidRDefault="007E10AF" w:rsidP="003727B9">
      <w:pPr>
        <w:pStyle w:val="NormalWeb"/>
        <w:jc w:val="both"/>
        <w:rPr>
          <w:rFonts w:asciiTheme="majorBidi" w:hAnsiTheme="majorBidi" w:cstheme="majorBidi"/>
          <w:b/>
          <w:bCs/>
        </w:rPr>
      </w:pPr>
      <w:r>
        <w:rPr>
          <w:rFonts w:asciiTheme="majorBidi" w:hAnsiTheme="majorBidi" w:cstheme="majorBidi"/>
          <w:b/>
          <w:bCs/>
        </w:rPr>
        <w:t>II-4</w:t>
      </w:r>
      <w:r w:rsidR="005E29BA" w:rsidRPr="00E64239">
        <w:rPr>
          <w:rFonts w:asciiTheme="majorBidi" w:hAnsiTheme="majorBidi" w:cstheme="majorBidi"/>
          <w:b/>
          <w:bCs/>
        </w:rPr>
        <w:t>-</w:t>
      </w:r>
      <w:r w:rsidR="008E47C1" w:rsidRPr="00E64239">
        <w:rPr>
          <w:rFonts w:asciiTheme="majorBidi" w:hAnsiTheme="majorBidi" w:cstheme="majorBidi"/>
          <w:b/>
          <w:bCs/>
        </w:rPr>
        <w:t>Normalisation en Algérie :</w:t>
      </w:r>
      <w:r>
        <w:rPr>
          <w:rFonts w:asciiTheme="majorBidi" w:hAnsiTheme="majorBidi" w:cstheme="majorBidi"/>
          <w:b/>
          <w:bCs/>
        </w:rPr>
        <w:t xml:space="preserve"> </w:t>
      </w:r>
      <w:r w:rsidR="008E47C1" w:rsidRPr="00E64239">
        <w:rPr>
          <w:rFonts w:asciiTheme="majorBidi" w:hAnsiTheme="majorBidi" w:cstheme="majorBidi"/>
          <w:b/>
          <w:bCs/>
        </w:rPr>
        <w:t>INAPI</w:t>
      </w:r>
    </w:p>
    <w:p w:rsidR="008E47C1" w:rsidRPr="00E64239" w:rsidRDefault="007E10AF" w:rsidP="003727B9">
      <w:pPr>
        <w:pStyle w:val="NormalWeb"/>
        <w:jc w:val="both"/>
        <w:rPr>
          <w:rFonts w:asciiTheme="majorBidi" w:hAnsiTheme="majorBidi" w:cstheme="majorBidi"/>
          <w:b/>
          <w:bCs/>
        </w:rPr>
      </w:pPr>
      <w:r>
        <w:rPr>
          <w:rFonts w:asciiTheme="majorBidi" w:hAnsiTheme="majorBidi" w:cstheme="majorBidi"/>
          <w:b/>
          <w:bCs/>
        </w:rPr>
        <w:t>II-4</w:t>
      </w:r>
      <w:r w:rsidR="009A204F" w:rsidRPr="00E64239">
        <w:rPr>
          <w:rFonts w:asciiTheme="majorBidi" w:hAnsiTheme="majorBidi" w:cstheme="majorBidi"/>
          <w:b/>
          <w:bCs/>
        </w:rPr>
        <w:t>-1-</w:t>
      </w:r>
      <w:r w:rsidR="008E47C1" w:rsidRPr="00E64239">
        <w:rPr>
          <w:rFonts w:asciiTheme="majorBidi" w:hAnsiTheme="majorBidi" w:cstheme="majorBidi"/>
          <w:b/>
          <w:bCs/>
        </w:rPr>
        <w:t xml:space="preserve">Introduction </w:t>
      </w:r>
    </w:p>
    <w:p w:rsidR="008E47C1" w:rsidRPr="00E64239" w:rsidRDefault="008E47C1" w:rsidP="003727B9">
      <w:pPr>
        <w:pStyle w:val="NormalWeb"/>
        <w:jc w:val="both"/>
        <w:rPr>
          <w:rFonts w:asciiTheme="majorBidi" w:hAnsiTheme="majorBidi" w:cstheme="majorBidi"/>
        </w:rPr>
      </w:pPr>
      <w:r w:rsidRPr="00E64239">
        <w:rPr>
          <w:rFonts w:asciiTheme="majorBidi" w:hAnsiTheme="majorBidi" w:cstheme="majorBidi"/>
        </w:rPr>
        <w:t>Placé sous la tutelle du Ministère de l’Industrie et des Mines, l‘Institut National Algérien de la Propriété Industrielle (INAPI) a été érigé en établissement public à caractère industriel et commercial (EPIC) par Décret Exécutif n° 98-69 du 21 Février 1998 dans le cadre de la restructuration de l’INAPI mère (Institut Algérien de Normalisation et de Propriété Industriel). </w:t>
      </w:r>
    </w:p>
    <w:p w:rsidR="008E47C1" w:rsidRPr="00E64239" w:rsidRDefault="008E47C1" w:rsidP="003727B9">
      <w:pPr>
        <w:pStyle w:val="NormalWeb"/>
        <w:jc w:val="both"/>
        <w:rPr>
          <w:rFonts w:asciiTheme="majorBidi" w:hAnsiTheme="majorBidi" w:cstheme="majorBidi"/>
        </w:rPr>
      </w:pPr>
      <w:r w:rsidRPr="00E64239">
        <w:rPr>
          <w:rFonts w:asciiTheme="majorBidi" w:hAnsiTheme="majorBidi" w:cstheme="majorBidi"/>
        </w:rPr>
        <w:t>L’Algérie est membre de l’Organisation Mondiale de la Propriété Intellectuelle et cela implique une dimension internationale de l’activité de l’INAPI qui s’exerce dans un cadre juridique très précis constitué par une législation nationale et des engagements internationaux.</w:t>
      </w:r>
    </w:p>
    <w:p w:rsidR="008E47C1" w:rsidRPr="00E64239" w:rsidRDefault="008E47C1" w:rsidP="003727B9">
      <w:pPr>
        <w:pStyle w:val="NormalWeb"/>
        <w:jc w:val="both"/>
        <w:rPr>
          <w:rFonts w:asciiTheme="majorBidi" w:hAnsiTheme="majorBidi" w:cstheme="majorBidi"/>
        </w:rPr>
      </w:pPr>
      <w:r w:rsidRPr="00E64239">
        <w:rPr>
          <w:rFonts w:asciiTheme="majorBidi" w:hAnsiTheme="majorBidi" w:cstheme="majorBidi"/>
        </w:rPr>
        <w:t>Les perspectives de travail concernent outre la modernisation de l’Institut notamment par le biais des nouvelles technologies de la communication et de l’information, le développement de l’information au profit des opérateurs. En effet, les questions de propriété industrielle demeurent assez peu maîtrisées dans le monde économique national. De même que le système national de recherche scientifique et technique doit être plus en rapport avec l’information contenue dans la bibliothèque des brevets détenue par l’INAPI. Cette bibliothèque constitue, en effet, une piste privilégiée d’accès à l’information sur l’état de la technique.</w:t>
      </w:r>
    </w:p>
    <w:p w:rsidR="008E47C1" w:rsidRPr="00E64239" w:rsidRDefault="008E47C1" w:rsidP="003727B9">
      <w:pPr>
        <w:pStyle w:val="NormalWeb"/>
        <w:jc w:val="both"/>
        <w:rPr>
          <w:rFonts w:asciiTheme="majorBidi" w:hAnsiTheme="majorBidi" w:cstheme="majorBidi"/>
        </w:rPr>
      </w:pPr>
      <w:r w:rsidRPr="00E64239">
        <w:rPr>
          <w:rFonts w:asciiTheme="majorBidi" w:hAnsiTheme="majorBidi" w:cstheme="majorBidi"/>
        </w:rPr>
        <w:lastRenderedPageBreak/>
        <w:br/>
        <w:t>En renforçant son intervention sur ces six axes stratégiques, l’INAPI poursuivra son action d’agent du développement de l’économie et des entreprises algériennes et ce en facilitant le recours à la propriété industrielle qui constitue un élément clé d’une stratégie de développement économique reposant sur l’innovation :</w:t>
      </w:r>
    </w:p>
    <w:p w:rsidR="008E47C1" w:rsidRPr="00E64239" w:rsidRDefault="008E47C1" w:rsidP="003727B9">
      <w:pPr>
        <w:pStyle w:val="NormalWeb"/>
        <w:jc w:val="both"/>
        <w:rPr>
          <w:rFonts w:asciiTheme="majorBidi" w:hAnsiTheme="majorBidi" w:cstheme="majorBidi"/>
        </w:rPr>
      </w:pPr>
      <w:r w:rsidRPr="00E64239">
        <w:rPr>
          <w:rFonts w:asciiTheme="majorBidi" w:hAnsiTheme="majorBidi" w:cstheme="majorBidi"/>
        </w:rPr>
        <w:br/>
      </w:r>
      <w:r w:rsidRPr="00E64239">
        <w:rPr>
          <w:rStyle w:val="lev"/>
          <w:rFonts w:asciiTheme="majorBidi" w:hAnsiTheme="majorBidi" w:cstheme="majorBidi"/>
        </w:rPr>
        <w:t>Axe 1</w:t>
      </w:r>
      <w:r w:rsidRPr="00E64239">
        <w:rPr>
          <w:rFonts w:asciiTheme="majorBidi" w:hAnsiTheme="majorBidi" w:cstheme="majorBidi"/>
        </w:rPr>
        <w:t xml:space="preserve"> Améliorer le service rendu aux utilisateurs à travers la réd</w:t>
      </w:r>
      <w:r w:rsidR="009A204F" w:rsidRPr="00E64239">
        <w:rPr>
          <w:rFonts w:asciiTheme="majorBidi" w:hAnsiTheme="majorBidi" w:cstheme="majorBidi"/>
        </w:rPr>
        <w:t xml:space="preserve">uction des délais de  traitement des </w:t>
      </w:r>
      <w:r w:rsidRPr="00E64239">
        <w:rPr>
          <w:rFonts w:asciiTheme="majorBidi" w:hAnsiTheme="majorBidi" w:cstheme="majorBidi"/>
        </w:rPr>
        <w:t>demandes.</w:t>
      </w:r>
      <w:r w:rsidRPr="00E64239">
        <w:rPr>
          <w:rFonts w:asciiTheme="majorBidi" w:hAnsiTheme="majorBidi" w:cstheme="majorBidi"/>
        </w:rPr>
        <w:br/>
      </w:r>
      <w:r w:rsidRPr="00E64239">
        <w:rPr>
          <w:rStyle w:val="lev"/>
          <w:rFonts w:asciiTheme="majorBidi" w:hAnsiTheme="majorBidi" w:cstheme="majorBidi"/>
        </w:rPr>
        <w:t>Axe 2</w:t>
      </w:r>
      <w:r w:rsidRPr="00E64239">
        <w:rPr>
          <w:rFonts w:asciiTheme="majorBidi" w:hAnsiTheme="majorBidi" w:cstheme="majorBidi"/>
        </w:rPr>
        <w:t xml:space="preserve"> Faciliter l’accès à l’information via un site internet inapi.dz. </w:t>
      </w:r>
      <w:r w:rsidRPr="00E64239">
        <w:rPr>
          <w:rFonts w:asciiTheme="majorBidi" w:hAnsiTheme="majorBidi" w:cstheme="majorBidi"/>
        </w:rPr>
        <w:br/>
      </w:r>
      <w:r w:rsidRPr="00E64239">
        <w:rPr>
          <w:rStyle w:val="lev"/>
          <w:rFonts w:asciiTheme="majorBidi" w:hAnsiTheme="majorBidi" w:cstheme="majorBidi"/>
        </w:rPr>
        <w:t>Axe 3</w:t>
      </w:r>
      <w:r w:rsidRPr="00E64239">
        <w:rPr>
          <w:rFonts w:asciiTheme="majorBidi" w:hAnsiTheme="majorBidi" w:cstheme="majorBidi"/>
        </w:rPr>
        <w:t xml:space="preserve"> Encourager le recours à la propriété industrielle afin de favoriser la croissance par l’innovation.</w:t>
      </w:r>
      <w:r w:rsidRPr="00E64239">
        <w:rPr>
          <w:rFonts w:asciiTheme="majorBidi" w:hAnsiTheme="majorBidi" w:cstheme="majorBidi"/>
        </w:rPr>
        <w:br/>
      </w:r>
      <w:r w:rsidRPr="00E64239">
        <w:rPr>
          <w:rStyle w:val="lev"/>
          <w:rFonts w:asciiTheme="majorBidi" w:hAnsiTheme="majorBidi" w:cstheme="majorBidi"/>
        </w:rPr>
        <w:t>Axe 4</w:t>
      </w:r>
      <w:r w:rsidRPr="00E64239">
        <w:rPr>
          <w:rFonts w:asciiTheme="majorBidi" w:hAnsiTheme="majorBidi" w:cstheme="majorBidi"/>
        </w:rPr>
        <w:t xml:space="preserve"> Contribuer à l’amélioration de l’environnement juridique et institutionnel. </w:t>
      </w:r>
      <w:r w:rsidRPr="00E64239">
        <w:rPr>
          <w:rFonts w:asciiTheme="majorBidi" w:hAnsiTheme="majorBidi" w:cstheme="majorBidi"/>
        </w:rPr>
        <w:br/>
      </w:r>
      <w:r w:rsidRPr="00E64239">
        <w:rPr>
          <w:rStyle w:val="lev"/>
          <w:rFonts w:asciiTheme="majorBidi" w:hAnsiTheme="majorBidi" w:cstheme="majorBidi"/>
        </w:rPr>
        <w:t>Axe 5</w:t>
      </w:r>
      <w:r w:rsidRPr="00E64239">
        <w:rPr>
          <w:rFonts w:asciiTheme="majorBidi" w:hAnsiTheme="majorBidi" w:cstheme="majorBidi"/>
        </w:rPr>
        <w:t xml:space="preserve"> Etre un acteur central de la lutte contre la contrefaçon.</w:t>
      </w:r>
      <w:r w:rsidRPr="00E64239">
        <w:rPr>
          <w:rFonts w:asciiTheme="majorBidi" w:hAnsiTheme="majorBidi" w:cstheme="majorBidi"/>
        </w:rPr>
        <w:br/>
      </w:r>
      <w:r w:rsidRPr="00E64239">
        <w:rPr>
          <w:rStyle w:val="lev"/>
          <w:rFonts w:asciiTheme="majorBidi" w:hAnsiTheme="majorBidi" w:cstheme="majorBidi"/>
        </w:rPr>
        <w:t>Axe 6</w:t>
      </w:r>
      <w:r w:rsidRPr="00E64239">
        <w:rPr>
          <w:rFonts w:asciiTheme="majorBidi" w:hAnsiTheme="majorBidi" w:cstheme="majorBidi"/>
        </w:rPr>
        <w:t xml:space="preserve"> Poursuivre sa transformation interne d’une culture de procédures à une culture de services.</w:t>
      </w:r>
    </w:p>
    <w:p w:rsidR="008E47C1" w:rsidRPr="00E64239" w:rsidRDefault="007E10AF" w:rsidP="003727B9">
      <w:pPr>
        <w:shd w:val="clear" w:color="auto" w:fill="FFFFFF"/>
        <w:spacing w:after="125" w:line="301" w:lineRule="atLeast"/>
        <w:jc w:val="both"/>
        <w:rPr>
          <w:rFonts w:asciiTheme="majorBidi" w:eastAsia="Times New Roman" w:hAnsiTheme="majorBidi" w:cstheme="majorBidi"/>
          <w:b/>
          <w:bCs/>
          <w:sz w:val="24"/>
          <w:szCs w:val="24"/>
          <w:lang w:eastAsia="fr-FR"/>
        </w:rPr>
      </w:pPr>
      <w:r>
        <w:rPr>
          <w:rFonts w:asciiTheme="majorBidi" w:eastAsia="Times New Roman" w:hAnsiTheme="majorBidi" w:cstheme="majorBidi"/>
          <w:b/>
          <w:bCs/>
          <w:sz w:val="24"/>
          <w:szCs w:val="24"/>
          <w:lang w:eastAsia="fr-FR"/>
        </w:rPr>
        <w:t>II-4</w:t>
      </w:r>
      <w:r w:rsidR="009A204F" w:rsidRPr="00E64239">
        <w:rPr>
          <w:rFonts w:asciiTheme="majorBidi" w:eastAsia="Times New Roman" w:hAnsiTheme="majorBidi" w:cstheme="majorBidi"/>
          <w:b/>
          <w:bCs/>
          <w:sz w:val="24"/>
          <w:szCs w:val="24"/>
          <w:lang w:eastAsia="fr-FR"/>
        </w:rPr>
        <w:t>-2-</w:t>
      </w:r>
      <w:r w:rsidR="008E47C1" w:rsidRPr="00E64239">
        <w:rPr>
          <w:rFonts w:asciiTheme="majorBidi" w:eastAsia="Times New Roman" w:hAnsiTheme="majorBidi" w:cstheme="majorBidi"/>
          <w:b/>
          <w:bCs/>
          <w:sz w:val="24"/>
          <w:szCs w:val="24"/>
          <w:lang w:eastAsia="fr-FR"/>
        </w:rPr>
        <w:t>Historique de l'INAPI</w:t>
      </w:r>
    </w:p>
    <w:p w:rsidR="008E47C1" w:rsidRPr="00E64239" w:rsidRDefault="008E47C1" w:rsidP="003727B9">
      <w:pPr>
        <w:shd w:val="clear" w:color="auto" w:fill="FFFFFF"/>
        <w:spacing w:after="125"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L'INAPI -Institut National Algérien de la Propriété Industrielle-, est un établissement Public à caractère industriel et commercial (EPIC)  doté de la personnalité civile et de l’autonomie financière et placé sous la tutelle du Ministre de l’Industrie et des Mines.</w:t>
      </w:r>
    </w:p>
    <w:p w:rsidR="008E47C1" w:rsidRPr="00E64239" w:rsidRDefault="008E47C1" w:rsidP="003727B9">
      <w:pPr>
        <w:shd w:val="clear" w:color="auto" w:fill="FFFFFF"/>
        <w:spacing w:after="125"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br/>
        <w:t>L’institut assure la mission de protection des droits de la propriété industrielle en offrant des services publiques consistant en l’enregistrement des demandes de protection des brevets d’inventions et des marques, Dessins, modèles, Appellation d’origine  et circuits intégrés.</w:t>
      </w:r>
      <w:r w:rsidRPr="00E64239">
        <w:rPr>
          <w:rFonts w:asciiTheme="majorBidi" w:eastAsia="Times New Roman" w:hAnsiTheme="majorBidi" w:cstheme="majorBidi"/>
          <w:sz w:val="24"/>
          <w:szCs w:val="24"/>
          <w:lang w:eastAsia="fr-FR"/>
        </w:rPr>
        <w:br/>
        <w:t>L’INAPI a été créé par le décret exécutif 98-68 du 21 février 1998 portant sa création et son statut après la restructuration de l’INAPI mère qui englobait la propriété industrielle et la normalisation.</w:t>
      </w:r>
    </w:p>
    <w:p w:rsidR="008E47C1" w:rsidRPr="00E64239" w:rsidRDefault="008E47C1" w:rsidP="003727B9">
      <w:pPr>
        <w:shd w:val="clear" w:color="auto" w:fill="FFFFFF"/>
        <w:spacing w:after="125"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br/>
        <w:t>Depuis l’indépendance, la propriété industrielle a été confiée successivement à :</w:t>
      </w:r>
    </w:p>
    <w:p w:rsidR="008E47C1" w:rsidRPr="00E64239" w:rsidRDefault="008E47C1" w:rsidP="003727B9">
      <w:pPr>
        <w:numPr>
          <w:ilvl w:val="0"/>
          <w:numId w:val="16"/>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l’Office National de la Propriété  Industrielle (ONPI) en 1963.</w:t>
      </w:r>
    </w:p>
    <w:p w:rsidR="008E47C1" w:rsidRPr="00E64239" w:rsidRDefault="008E47C1" w:rsidP="003727B9">
      <w:pPr>
        <w:numPr>
          <w:ilvl w:val="0"/>
          <w:numId w:val="16"/>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l’institut Algérien de Normalisation et de la Propriété Industrielle, en 1973 (en cohabitation avec l’activité de normalisation).</w:t>
      </w:r>
    </w:p>
    <w:p w:rsidR="008E47C1" w:rsidRPr="00E64239" w:rsidRDefault="008E47C1" w:rsidP="003727B9">
      <w:pPr>
        <w:numPr>
          <w:ilvl w:val="0"/>
          <w:numId w:val="16"/>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En 1986, une partie des activités de la  propriété industrielle avait fait l’objet de transfert vers le Centre National du Registre de Commerce.</w:t>
      </w:r>
    </w:p>
    <w:p w:rsidR="008E47C1" w:rsidRPr="00E64239" w:rsidRDefault="008E47C1" w:rsidP="003727B9">
      <w:pPr>
        <w:numPr>
          <w:ilvl w:val="0"/>
          <w:numId w:val="16"/>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En 1998, toutes les activités de la propriété industrielle ont été regroupées au sein de l’INAPI « nouveau » pour permettre un redéploiement de l’activité et placées sous la tutelle du Ministère chargé de l’Industrie.</w:t>
      </w:r>
    </w:p>
    <w:p w:rsidR="008E47C1" w:rsidRPr="00E64239" w:rsidRDefault="007E10AF"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II-4</w:t>
      </w:r>
      <w:r w:rsidR="009A204F" w:rsidRPr="00E64239">
        <w:rPr>
          <w:rFonts w:asciiTheme="majorBidi" w:eastAsia="Times New Roman" w:hAnsiTheme="majorBidi" w:cstheme="majorBidi"/>
          <w:b/>
          <w:bCs/>
          <w:sz w:val="24"/>
          <w:szCs w:val="24"/>
          <w:lang w:eastAsia="fr-FR"/>
        </w:rPr>
        <w:t>-3-</w:t>
      </w:r>
      <w:r w:rsidR="008E47C1" w:rsidRPr="00E64239">
        <w:rPr>
          <w:rFonts w:asciiTheme="majorBidi" w:eastAsia="Times New Roman" w:hAnsiTheme="majorBidi" w:cstheme="majorBidi"/>
          <w:b/>
          <w:bCs/>
          <w:sz w:val="24"/>
          <w:szCs w:val="24"/>
          <w:lang w:eastAsia="fr-FR"/>
        </w:rPr>
        <w:t>Le Système de Management de la qualité de l’INAPI</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Pour satisfaire aux besoins de nos parties prenantes La Direction Générale de l’INAPI s’est engagée à mettre en place un Système de Management de la Qualité conforme à la Norme NA/ISO 9001 :2015 fondé sur</w:t>
      </w:r>
    </w:p>
    <w:p w:rsidR="008E47C1" w:rsidRPr="00E64239" w:rsidRDefault="008E47C1" w:rsidP="003727B9">
      <w:pPr>
        <w:numPr>
          <w:ilvl w:val="0"/>
          <w:numId w:val="17"/>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 principe de l’amélioration continue :</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lastRenderedPageBreak/>
        <w:t>Notre système est évalué en continu moyennant, entre autres outils, des revues et des audits internes qui sont à même de révéler les non-conformités pour les corriger par des actions d’amélioration.</w:t>
      </w:r>
    </w:p>
    <w:p w:rsidR="008E47C1" w:rsidRPr="00E64239" w:rsidRDefault="008E47C1" w:rsidP="003727B9">
      <w:pPr>
        <w:numPr>
          <w:ilvl w:val="0"/>
          <w:numId w:val="18"/>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L’approche processus :</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Assurer le fonctionnement en corrélation des activités de l’institut participant à la création de valeurs ajoutées et identifier les interactions entre ces activités constituant des processus.</w:t>
      </w:r>
    </w:p>
    <w:p w:rsidR="008E47C1" w:rsidRPr="00E64239" w:rsidRDefault="008E47C1" w:rsidP="003727B9">
      <w:pPr>
        <w:numPr>
          <w:ilvl w:val="0"/>
          <w:numId w:val="19"/>
        </w:num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L’approche par les risques.</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 xml:space="preserve">Nous avons identifié les risques possibles soit les facteurs susceptibles de provoquer un écart dans le fonctionnement des processus et du système de management de la qualité en général par rapport aux résultats attendus des processus et nous mettons en </w:t>
      </w:r>
      <w:r w:rsidR="00E74031" w:rsidRPr="00E64239">
        <w:rPr>
          <w:rFonts w:asciiTheme="majorBidi" w:eastAsia="Times New Roman" w:hAnsiTheme="majorBidi" w:cstheme="majorBidi"/>
          <w:sz w:val="24"/>
          <w:szCs w:val="24"/>
          <w:lang w:eastAsia="fr-FR"/>
        </w:rPr>
        <w:t>œuvre</w:t>
      </w:r>
      <w:r w:rsidRPr="00E64239">
        <w:rPr>
          <w:rFonts w:asciiTheme="majorBidi" w:eastAsia="Times New Roman" w:hAnsiTheme="majorBidi" w:cstheme="majorBidi"/>
          <w:sz w:val="24"/>
          <w:szCs w:val="24"/>
          <w:lang w:eastAsia="fr-FR"/>
        </w:rPr>
        <w:t xml:space="preserve"> des actions qui nous permettent de limiter les effets négatifs des risques. En parallèle, nous avons identifié également les opportunités offertes par notre contexte interne et externe et nous essayons en</w:t>
      </w:r>
    </w:p>
    <w:p w:rsidR="008E47C1" w:rsidRPr="00E64239" w:rsidRDefault="007E10AF"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Pr>
          <w:rFonts w:asciiTheme="majorBidi" w:eastAsia="Times New Roman" w:hAnsiTheme="majorBidi" w:cstheme="majorBidi"/>
          <w:b/>
          <w:bCs/>
          <w:sz w:val="24"/>
          <w:szCs w:val="24"/>
          <w:lang w:eastAsia="fr-FR"/>
        </w:rPr>
        <w:t>II-4</w:t>
      </w:r>
      <w:r w:rsidR="009A204F" w:rsidRPr="00E64239">
        <w:rPr>
          <w:rFonts w:asciiTheme="majorBidi" w:eastAsia="Times New Roman" w:hAnsiTheme="majorBidi" w:cstheme="majorBidi"/>
          <w:b/>
          <w:bCs/>
          <w:sz w:val="24"/>
          <w:szCs w:val="24"/>
          <w:lang w:eastAsia="fr-FR"/>
        </w:rPr>
        <w:t>-4-</w:t>
      </w:r>
      <w:r w:rsidR="008E47C1" w:rsidRPr="00E64239">
        <w:rPr>
          <w:rFonts w:asciiTheme="majorBidi" w:eastAsia="Times New Roman" w:hAnsiTheme="majorBidi" w:cstheme="majorBidi"/>
          <w:b/>
          <w:bCs/>
          <w:sz w:val="24"/>
          <w:szCs w:val="24"/>
          <w:lang w:eastAsia="fr-FR"/>
        </w:rPr>
        <w:t>Politique Qualité de l’INAPI</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Dans le cadre de sa mission de service public et des prérogatives lui sont attribuées par l’Etat Algérien en matière de propriété industrielle, l’INAPI assure notamment la protection des droits moraux des créateurs en leurs délivrant des titres de propriété et encourage l’innovation et la créativité. Afin de remplir sa mission, satisfaire ses clients et ses parties prenantes et dans un souci de progrès continu, l’INAPI est engagé dans une démarche d’amélioration de la qualité de ses produits et services, de son organisation et de sa responsabilité sociétale en s’appuyant sur les actes responsables et le professionnalisme de ses employés organisée en processus, sur  l’assistance de ses partenaires et sur quatre valeurs principales ; Honnêteté, Transparence, Equité et Dévouement.</w:t>
      </w:r>
    </w:p>
    <w:p w:rsidR="008E47C1" w:rsidRPr="00E64239" w:rsidRDefault="008E47C1" w:rsidP="003727B9">
      <w:pPr>
        <w:spacing w:before="100" w:beforeAutospacing="1" w:after="100" w:afterAutospacing="1" w:line="240" w:lineRule="auto"/>
        <w:jc w:val="both"/>
        <w:rPr>
          <w:rFonts w:asciiTheme="majorBidi" w:eastAsia="Times New Roman" w:hAnsiTheme="majorBidi" w:cstheme="majorBidi"/>
          <w:sz w:val="24"/>
          <w:szCs w:val="24"/>
          <w:lang w:eastAsia="fr-FR"/>
        </w:rPr>
      </w:pPr>
    </w:p>
    <w:p w:rsidR="008E47C1" w:rsidRDefault="008E47C1" w:rsidP="00E74031">
      <w:pPr>
        <w:spacing w:after="0" w:line="240" w:lineRule="auto"/>
        <w:ind w:firstLine="708"/>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L'IANOR est l'organisme national de normalisation, de formation et de certification produit, système, service et personne.</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L‘Institut Algérien de Normalisation (IANOR ) a été érigé en établissement public à caractère industriel et commercial (EPIC) par Décret Exécutif n° 98-69 du 21 Février 1998 dans le cadre de la restructuration de l’INAPI (Institut Algérien de Normalisation et de Propriété Industriel).</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il  est certifié ISO-9001-2000 par le bureau international AIB-VINÇOTE - s.a Bruxelles, Belgique en date du 26 mars 2007.</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Il est sous tutelle du Ministère de l’Industrie et de la promotion des investissements. Il est chargé de :</w:t>
      </w:r>
      <w:r w:rsidRPr="00E64239">
        <w:rPr>
          <w:rFonts w:asciiTheme="majorBidi" w:eastAsia="Times New Roman" w:hAnsiTheme="majorBidi" w:cstheme="majorBidi"/>
          <w:sz w:val="24"/>
          <w:szCs w:val="24"/>
          <w:lang w:eastAsia="fr-FR"/>
        </w:rPr>
        <w:br/>
        <w:t>1. l’élaboration, la publication et la diffusion des normes algériennes ;</w:t>
      </w:r>
      <w:r w:rsidRPr="00E64239">
        <w:rPr>
          <w:rFonts w:asciiTheme="majorBidi" w:eastAsia="Times New Roman" w:hAnsiTheme="majorBidi" w:cstheme="majorBidi"/>
          <w:sz w:val="24"/>
          <w:szCs w:val="24"/>
          <w:lang w:eastAsia="fr-FR"/>
        </w:rPr>
        <w:br/>
        <w:t>2. la centralisation et la coordination de l’ensemble des travaux de normalisation entrepris par les structures existantes et celles qui seront créées à cet effet ;</w:t>
      </w:r>
      <w:r w:rsidRPr="00E64239">
        <w:rPr>
          <w:rFonts w:asciiTheme="majorBidi" w:eastAsia="Times New Roman" w:hAnsiTheme="majorBidi" w:cstheme="majorBidi"/>
          <w:sz w:val="24"/>
          <w:szCs w:val="24"/>
          <w:lang w:eastAsia="fr-FR"/>
        </w:rPr>
        <w:br/>
        <w:t xml:space="preserve">3. l’adoption de marques de conformité aux normes algériennes et de labels de qualité ainsi que la délivrance d’autorisation de l’utilisation de ces marques et le contrôle de leur usage </w:t>
      </w:r>
      <w:r w:rsidRPr="00E64239">
        <w:rPr>
          <w:rFonts w:asciiTheme="majorBidi" w:eastAsia="Times New Roman" w:hAnsiTheme="majorBidi" w:cstheme="majorBidi"/>
          <w:sz w:val="24"/>
          <w:szCs w:val="24"/>
          <w:lang w:eastAsia="fr-FR"/>
        </w:rPr>
        <w:lastRenderedPageBreak/>
        <w:t>dans le cadre de la législation en vigueur ;</w:t>
      </w:r>
      <w:r w:rsidRPr="00E64239">
        <w:rPr>
          <w:rFonts w:asciiTheme="majorBidi" w:eastAsia="Times New Roman" w:hAnsiTheme="majorBidi" w:cstheme="majorBidi"/>
          <w:sz w:val="24"/>
          <w:szCs w:val="24"/>
          <w:lang w:eastAsia="fr-FR"/>
        </w:rPr>
        <w:br/>
        <w:t>4. de la certification obligatoire des produits (décret 465)</w:t>
      </w:r>
      <w:r w:rsidRPr="00E64239">
        <w:rPr>
          <w:rFonts w:asciiTheme="majorBidi" w:eastAsia="Times New Roman" w:hAnsiTheme="majorBidi" w:cstheme="majorBidi"/>
          <w:sz w:val="24"/>
          <w:szCs w:val="24"/>
          <w:lang w:eastAsia="fr-FR"/>
        </w:rPr>
        <w:br/>
        <w:t>5. la promotion de travaux, recherches, essais en Algérie ou à l’étranger ainsi que l’aménagement d’installations d’essais nécessaires à l’établissement de normes et à la garantie de leur mise en application ;</w:t>
      </w:r>
      <w:r w:rsidRPr="00E64239">
        <w:rPr>
          <w:rFonts w:asciiTheme="majorBidi" w:eastAsia="Times New Roman" w:hAnsiTheme="majorBidi" w:cstheme="majorBidi"/>
          <w:sz w:val="24"/>
          <w:szCs w:val="24"/>
          <w:lang w:eastAsia="fr-FR"/>
        </w:rPr>
        <w:br/>
        <w:t>6. la constitution, la conservation et la mise à la disposition de toute documentation ou information relative à la normalisation ;</w:t>
      </w:r>
      <w:r w:rsidRPr="00E64239">
        <w:rPr>
          <w:rFonts w:asciiTheme="majorBidi" w:eastAsia="Times New Roman" w:hAnsiTheme="majorBidi" w:cstheme="majorBidi"/>
          <w:sz w:val="24"/>
          <w:szCs w:val="24"/>
          <w:lang w:eastAsia="fr-FR"/>
        </w:rPr>
        <w:br/>
        <w:t>7. l’application des conventions et accords internationaux dans les domaines de la normalisation auxquels l’Algérie est partie ;</w:t>
      </w:r>
      <w:r w:rsidRPr="00E64239">
        <w:rPr>
          <w:rFonts w:asciiTheme="majorBidi" w:eastAsia="Times New Roman" w:hAnsiTheme="majorBidi" w:cstheme="majorBidi"/>
          <w:sz w:val="24"/>
          <w:szCs w:val="24"/>
          <w:lang w:eastAsia="fr-FR"/>
        </w:rPr>
        <w:br/>
        <w:t xml:space="preserve">8. </w:t>
      </w:r>
      <w:r w:rsidR="007A7214" w:rsidRPr="00E64239">
        <w:rPr>
          <w:rFonts w:asciiTheme="majorBidi" w:eastAsia="Times New Roman" w:hAnsiTheme="majorBidi" w:cstheme="majorBidi"/>
          <w:sz w:val="24"/>
          <w:szCs w:val="24"/>
          <w:lang w:eastAsia="fr-FR"/>
        </w:rPr>
        <w:t>A</w:t>
      </w:r>
      <w:r w:rsidRPr="00E64239">
        <w:rPr>
          <w:rFonts w:asciiTheme="majorBidi" w:eastAsia="Times New Roman" w:hAnsiTheme="majorBidi" w:cstheme="majorBidi"/>
          <w:sz w:val="24"/>
          <w:szCs w:val="24"/>
          <w:lang w:eastAsia="fr-FR"/>
        </w:rPr>
        <w:t>ssure le secrétariat du Conseil National de la Normalisation (CNN), et des Comités Techniques Nationaux de Normalisation.</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L’Institut Algérien de Normalisation est le point d’information algérien sur les Obstacles Techniques au Commerce (OTC) de l’Organisation Mondiale du Commerce.</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L'Algérie à travers ce point focale doit informer les États membres de l'OMC dans d</w:t>
      </w:r>
      <w:r w:rsidR="00E74031">
        <w:rPr>
          <w:rFonts w:asciiTheme="majorBidi" w:eastAsia="Times New Roman" w:hAnsiTheme="majorBidi" w:cstheme="majorBidi"/>
          <w:sz w:val="24"/>
          <w:szCs w:val="24"/>
          <w:lang w:eastAsia="fr-FR"/>
        </w:rPr>
        <w:t>es délais raisonnables sur :</w:t>
      </w:r>
      <w:r w:rsidR="00E74031">
        <w:rPr>
          <w:rFonts w:asciiTheme="majorBidi" w:eastAsia="Times New Roman" w:hAnsiTheme="majorBidi" w:cstheme="majorBidi"/>
          <w:sz w:val="24"/>
          <w:szCs w:val="24"/>
          <w:lang w:eastAsia="fr-FR"/>
        </w:rPr>
        <w:br/>
      </w:r>
      <w:r w:rsidR="00E74031">
        <w:rPr>
          <w:rFonts w:asciiTheme="majorBidi" w:eastAsia="Times New Roman" w:hAnsiTheme="majorBidi" w:cstheme="majorBidi"/>
          <w:sz w:val="24"/>
          <w:szCs w:val="24"/>
          <w:lang w:eastAsia="fr-FR"/>
        </w:rPr>
        <w:br/>
        <w:t>*</w:t>
      </w:r>
      <w:r w:rsidRPr="00E64239">
        <w:rPr>
          <w:rFonts w:asciiTheme="majorBidi" w:eastAsia="Times New Roman" w:hAnsiTheme="majorBidi" w:cstheme="majorBidi"/>
          <w:sz w:val="24"/>
          <w:szCs w:val="24"/>
          <w:lang w:eastAsia="fr-FR"/>
        </w:rPr>
        <w:t>Les règlements techniques;</w:t>
      </w:r>
      <w:r w:rsidRPr="00E64239">
        <w:rPr>
          <w:rFonts w:asciiTheme="majorBidi" w:eastAsia="Times New Roman" w:hAnsiTheme="majorBidi" w:cstheme="majorBidi"/>
          <w:sz w:val="24"/>
          <w:szCs w:val="24"/>
          <w:lang w:eastAsia="fr-FR"/>
        </w:rPr>
        <w:br/>
        <w:t xml:space="preserve">*Les Normes Algériennes. </w:t>
      </w:r>
      <w:r w:rsidRPr="00E64239">
        <w:rPr>
          <w:rFonts w:asciiTheme="majorBidi" w:eastAsia="Times New Roman" w:hAnsiTheme="majorBidi" w:cstheme="majorBidi"/>
          <w:sz w:val="24"/>
          <w:szCs w:val="24"/>
          <w:lang w:eastAsia="fr-FR"/>
        </w:rPr>
        <w:br/>
      </w:r>
      <w:r w:rsidRPr="00E64239">
        <w:rPr>
          <w:rFonts w:asciiTheme="majorBidi" w:eastAsia="Times New Roman" w:hAnsiTheme="majorBidi" w:cstheme="majorBidi"/>
          <w:sz w:val="24"/>
          <w:szCs w:val="24"/>
          <w:lang w:eastAsia="fr-FR"/>
        </w:rPr>
        <w:br/>
        <w:t>comme o</w:t>
      </w:r>
      <w:r w:rsidR="00E74031">
        <w:rPr>
          <w:rFonts w:asciiTheme="majorBidi" w:eastAsia="Times New Roman" w:hAnsiTheme="majorBidi" w:cstheme="majorBidi"/>
          <w:sz w:val="24"/>
          <w:szCs w:val="24"/>
          <w:lang w:eastAsia="fr-FR"/>
        </w:rPr>
        <w:t>n doit trouver sur ce site :</w:t>
      </w:r>
      <w:r w:rsidR="00E74031">
        <w:rPr>
          <w:rFonts w:asciiTheme="majorBidi" w:eastAsia="Times New Roman" w:hAnsiTheme="majorBidi" w:cstheme="majorBidi"/>
          <w:sz w:val="24"/>
          <w:szCs w:val="24"/>
          <w:lang w:eastAsia="fr-FR"/>
        </w:rPr>
        <w:br/>
      </w:r>
      <w:r w:rsidR="00E74031">
        <w:rPr>
          <w:rFonts w:asciiTheme="majorBidi" w:eastAsia="Times New Roman" w:hAnsiTheme="majorBidi" w:cstheme="majorBidi"/>
          <w:sz w:val="24"/>
          <w:szCs w:val="24"/>
          <w:lang w:eastAsia="fr-FR"/>
        </w:rPr>
        <w:br/>
        <w:t>*</w:t>
      </w:r>
      <w:r w:rsidRPr="00E64239">
        <w:rPr>
          <w:rFonts w:asciiTheme="majorBidi" w:eastAsia="Times New Roman" w:hAnsiTheme="majorBidi" w:cstheme="majorBidi"/>
          <w:sz w:val="24"/>
          <w:szCs w:val="24"/>
          <w:lang w:eastAsia="fr-FR"/>
        </w:rPr>
        <w:t>Le program</w:t>
      </w:r>
      <w:r w:rsidR="00E74031">
        <w:rPr>
          <w:rFonts w:asciiTheme="majorBidi" w:eastAsia="Times New Roman" w:hAnsiTheme="majorBidi" w:cstheme="majorBidi"/>
          <w:sz w:val="24"/>
          <w:szCs w:val="24"/>
          <w:lang w:eastAsia="fr-FR"/>
        </w:rPr>
        <w:t>me national de normalisation;</w:t>
      </w:r>
      <w:r w:rsidR="00E74031">
        <w:rPr>
          <w:rFonts w:asciiTheme="majorBidi" w:eastAsia="Times New Roman" w:hAnsiTheme="majorBidi" w:cstheme="majorBidi"/>
          <w:sz w:val="24"/>
          <w:szCs w:val="24"/>
          <w:lang w:eastAsia="fr-FR"/>
        </w:rPr>
        <w:br/>
        <w:t>*</w:t>
      </w:r>
      <w:r w:rsidRPr="00E64239">
        <w:rPr>
          <w:rFonts w:asciiTheme="majorBidi" w:eastAsia="Times New Roman" w:hAnsiTheme="majorBidi" w:cstheme="majorBidi"/>
          <w:sz w:val="24"/>
          <w:szCs w:val="24"/>
          <w:lang w:eastAsia="fr-FR"/>
        </w:rPr>
        <w:t>les projets de normes Algériennes;</w:t>
      </w:r>
      <w:r w:rsidRPr="00E64239">
        <w:rPr>
          <w:rFonts w:asciiTheme="majorBidi" w:eastAsia="Times New Roman" w:hAnsiTheme="majorBidi" w:cstheme="majorBidi"/>
          <w:sz w:val="24"/>
          <w:szCs w:val="24"/>
          <w:lang w:eastAsia="fr-FR"/>
        </w:rPr>
        <w:br/>
        <w:t>* les avants projets de règlements techniques.</w:t>
      </w:r>
      <w:r w:rsidR="00E74031">
        <w:rPr>
          <w:rFonts w:asciiTheme="majorBidi" w:eastAsia="Times New Roman" w:hAnsiTheme="majorBidi" w:cstheme="majorBidi"/>
          <w:sz w:val="24"/>
          <w:szCs w:val="24"/>
          <w:lang w:eastAsia="fr-FR"/>
        </w:rPr>
        <w:t xml:space="preserve"> </w:t>
      </w:r>
    </w:p>
    <w:p w:rsidR="00E74031" w:rsidRPr="00E64239" w:rsidRDefault="00E74031" w:rsidP="00E74031">
      <w:pPr>
        <w:spacing w:after="0" w:line="240" w:lineRule="auto"/>
        <w:ind w:firstLine="708"/>
        <w:jc w:val="both"/>
        <w:rPr>
          <w:rFonts w:asciiTheme="majorBidi" w:eastAsia="Times New Roman" w:hAnsiTheme="majorBidi" w:cstheme="majorBidi"/>
          <w:sz w:val="24"/>
          <w:szCs w:val="24"/>
          <w:lang w:eastAsia="fr-FR"/>
        </w:rPr>
      </w:pPr>
    </w:p>
    <w:p w:rsidR="008E47C1" w:rsidRPr="00E64239" w:rsidRDefault="008E47C1" w:rsidP="003727B9">
      <w:pPr>
        <w:spacing w:after="0" w:line="240" w:lineRule="auto"/>
        <w:jc w:val="both"/>
        <w:rPr>
          <w:rFonts w:asciiTheme="majorBidi" w:eastAsia="Times New Roman" w:hAnsiTheme="majorBidi" w:cstheme="majorBidi"/>
          <w:sz w:val="24"/>
          <w:szCs w:val="24"/>
          <w:lang w:eastAsia="fr-FR"/>
        </w:rPr>
      </w:pPr>
    </w:p>
    <w:p w:rsidR="008E47C1" w:rsidRPr="00E64239" w:rsidRDefault="008E47C1" w:rsidP="003727B9">
      <w:pPr>
        <w:spacing w:after="0" w:line="240" w:lineRule="auto"/>
        <w:jc w:val="both"/>
        <w:rPr>
          <w:rFonts w:asciiTheme="majorBidi" w:eastAsia="Times New Roman" w:hAnsiTheme="majorBidi" w:cstheme="majorBidi"/>
          <w:sz w:val="24"/>
          <w:szCs w:val="24"/>
          <w:lang w:eastAsia="fr-FR"/>
        </w:rPr>
      </w:pPr>
    </w:p>
    <w:p w:rsidR="008E47C1" w:rsidRPr="00E64239" w:rsidRDefault="008E47C1" w:rsidP="003727B9">
      <w:pPr>
        <w:spacing w:after="0" w:line="240" w:lineRule="auto"/>
        <w:jc w:val="both"/>
        <w:rPr>
          <w:rFonts w:asciiTheme="majorBidi" w:eastAsia="Times New Roman" w:hAnsiTheme="majorBidi" w:cstheme="majorBidi"/>
          <w:b/>
          <w:bCs/>
          <w:sz w:val="24"/>
          <w:szCs w:val="24"/>
          <w:lang w:eastAsia="fr-FR"/>
        </w:rPr>
      </w:pPr>
      <w:r w:rsidRPr="00E64239">
        <w:rPr>
          <w:rFonts w:asciiTheme="majorBidi" w:eastAsia="Times New Roman" w:hAnsiTheme="majorBidi" w:cstheme="majorBidi"/>
          <w:b/>
          <w:bCs/>
          <w:sz w:val="24"/>
          <w:szCs w:val="24"/>
          <w:lang w:eastAsia="fr-FR"/>
        </w:rPr>
        <w:t>Mission</w:t>
      </w:r>
    </w:p>
    <w:p w:rsidR="008E47C1" w:rsidRPr="00E64239" w:rsidRDefault="008E47C1" w:rsidP="003727B9">
      <w:pPr>
        <w:spacing w:after="0" w:line="240" w:lineRule="auto"/>
        <w:jc w:val="both"/>
        <w:rPr>
          <w:rFonts w:asciiTheme="majorBidi" w:eastAsia="Times New Roman" w:hAnsiTheme="majorBidi" w:cstheme="majorBidi"/>
          <w:sz w:val="24"/>
          <w:szCs w:val="24"/>
          <w:lang w:eastAsia="fr-FR"/>
        </w:rPr>
      </w:pPr>
    </w:p>
    <w:p w:rsidR="008E47C1" w:rsidRPr="00E64239" w:rsidRDefault="008E47C1" w:rsidP="003727B9">
      <w:pPr>
        <w:shd w:val="clear" w:color="auto" w:fill="FFFFFF"/>
        <w:spacing w:after="125"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'INAPI est tenue de réaliser deux  missions principales, définies par l’article 07 du décret 98-68, portant statut de l’institut.</w:t>
      </w:r>
    </w:p>
    <w:p w:rsidR="008E47C1" w:rsidRPr="00E64239" w:rsidRDefault="008E47C1" w:rsidP="003727B9">
      <w:pPr>
        <w:numPr>
          <w:ilvl w:val="0"/>
          <w:numId w:val="14"/>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Missions au profit de l’état (service public): mettre en oeuvre la politique nationale de propriété industrielle.</w:t>
      </w:r>
    </w:p>
    <w:p w:rsidR="008E47C1" w:rsidRPr="00E64239" w:rsidRDefault="008E47C1" w:rsidP="003727B9">
      <w:pPr>
        <w:numPr>
          <w:ilvl w:val="0"/>
          <w:numId w:val="14"/>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Missions en faveur des opérateurs économiques et chercheurs dont :</w:t>
      </w:r>
    </w:p>
    <w:p w:rsidR="008E47C1" w:rsidRPr="00E64239" w:rsidRDefault="008E47C1" w:rsidP="003727B9">
      <w:pPr>
        <w:numPr>
          <w:ilvl w:val="0"/>
          <w:numId w:val="15"/>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l’examen, l’enregistrement et la protection des droits moraux (marques, dessins, modèles et appellations d’origines et Brevets d’invention);</w:t>
      </w:r>
    </w:p>
    <w:p w:rsidR="008E47C1" w:rsidRPr="00E64239" w:rsidRDefault="008E47C1" w:rsidP="003727B9">
      <w:pPr>
        <w:numPr>
          <w:ilvl w:val="0"/>
          <w:numId w:val="15"/>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Faciliter l’accès aux informations techniques et mettre à la disposition du public toute documentation et information en rapport avec son domaine de compétence;</w:t>
      </w:r>
    </w:p>
    <w:p w:rsidR="008E47C1" w:rsidRPr="00E64239" w:rsidRDefault="008E47C1" w:rsidP="003727B9">
      <w:pPr>
        <w:numPr>
          <w:ilvl w:val="0"/>
          <w:numId w:val="15"/>
        </w:numPr>
        <w:shd w:val="clear" w:color="auto" w:fill="FFFFFF"/>
        <w:spacing w:before="100" w:beforeAutospacing="1" w:after="100" w:afterAutospacing="1" w:line="301" w:lineRule="atLeast"/>
        <w:jc w:val="both"/>
        <w:rPr>
          <w:rFonts w:asciiTheme="majorBidi" w:eastAsia="Times New Roman" w:hAnsiTheme="majorBidi" w:cstheme="majorBidi"/>
          <w:sz w:val="24"/>
          <w:szCs w:val="24"/>
          <w:lang w:eastAsia="fr-FR"/>
        </w:rPr>
      </w:pPr>
      <w:r w:rsidRPr="00E64239">
        <w:rPr>
          <w:rFonts w:asciiTheme="majorBidi" w:eastAsia="Times New Roman" w:hAnsiTheme="majorBidi" w:cstheme="majorBidi"/>
          <w:sz w:val="24"/>
          <w:szCs w:val="24"/>
          <w:lang w:eastAsia="fr-FR"/>
        </w:rPr>
        <w:t>Promouvoir, développer et renforcer la capacité inventive et innovatrice par des mesures d’incitation matérielles et morales.</w:t>
      </w:r>
    </w:p>
    <w:p w:rsidR="008E47C1" w:rsidRPr="00E64239" w:rsidRDefault="008E47C1" w:rsidP="003727B9">
      <w:pPr>
        <w:pStyle w:val="NormalWeb"/>
        <w:jc w:val="both"/>
        <w:rPr>
          <w:rFonts w:asciiTheme="majorBidi" w:hAnsiTheme="majorBidi" w:cstheme="majorBidi"/>
        </w:rPr>
      </w:pPr>
    </w:p>
    <w:p w:rsidR="008E47C1" w:rsidRPr="00E64239" w:rsidRDefault="008E47C1" w:rsidP="003727B9">
      <w:pPr>
        <w:jc w:val="both"/>
        <w:rPr>
          <w:rFonts w:asciiTheme="majorBidi" w:hAnsiTheme="majorBidi" w:cstheme="majorBidi"/>
          <w:sz w:val="24"/>
          <w:szCs w:val="24"/>
        </w:rPr>
      </w:pPr>
    </w:p>
    <w:p w:rsidR="00271671" w:rsidRPr="00E64239" w:rsidRDefault="00271671" w:rsidP="003727B9">
      <w:pPr>
        <w:jc w:val="both"/>
        <w:rPr>
          <w:rFonts w:asciiTheme="majorBidi" w:hAnsiTheme="majorBidi" w:cstheme="majorBidi"/>
          <w:b/>
          <w:bCs/>
          <w:sz w:val="24"/>
          <w:szCs w:val="24"/>
        </w:rPr>
      </w:pPr>
    </w:p>
    <w:p w:rsidR="00B25D40" w:rsidRPr="00E64239" w:rsidRDefault="009A204F"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Chapitre III</w:t>
      </w:r>
      <w:r w:rsidR="00B25D40" w:rsidRPr="00E64239">
        <w:rPr>
          <w:rFonts w:asciiTheme="majorBidi" w:hAnsiTheme="majorBidi" w:cstheme="majorBidi"/>
          <w:b/>
          <w:bCs/>
          <w:sz w:val="24"/>
          <w:szCs w:val="24"/>
        </w:rPr>
        <w:t> : Normalisation des produits</w:t>
      </w:r>
    </w:p>
    <w:p w:rsidR="00B25D40" w:rsidRPr="00E64239" w:rsidRDefault="009A204F" w:rsidP="003727B9">
      <w:pPr>
        <w:jc w:val="both"/>
        <w:rPr>
          <w:rFonts w:asciiTheme="majorBidi" w:hAnsiTheme="majorBidi" w:cstheme="majorBidi"/>
          <w:b/>
          <w:bCs/>
          <w:sz w:val="24"/>
          <w:szCs w:val="24"/>
        </w:rPr>
      </w:pPr>
      <w:r w:rsidRPr="00E64239">
        <w:rPr>
          <w:rFonts w:asciiTheme="majorBidi" w:hAnsiTheme="majorBidi" w:cstheme="majorBidi"/>
          <w:b/>
          <w:bCs/>
          <w:sz w:val="24"/>
          <w:szCs w:val="24"/>
        </w:rPr>
        <w:t>III-1  P</w:t>
      </w:r>
      <w:r w:rsidR="00B25D40" w:rsidRPr="00E64239">
        <w:rPr>
          <w:rFonts w:asciiTheme="majorBidi" w:hAnsiTheme="majorBidi" w:cstheme="majorBidi"/>
          <w:b/>
          <w:bCs/>
          <w:sz w:val="24"/>
          <w:szCs w:val="24"/>
        </w:rPr>
        <w:t>aramètres normatifs. Interchangeabilité des pr</w:t>
      </w:r>
      <w:r w:rsidRPr="00E64239">
        <w:rPr>
          <w:rFonts w:asciiTheme="majorBidi" w:hAnsiTheme="majorBidi" w:cstheme="majorBidi"/>
          <w:b/>
          <w:bCs/>
          <w:sz w:val="24"/>
          <w:szCs w:val="24"/>
        </w:rPr>
        <w:t>oduis. Tolérance et ajustements</w:t>
      </w:r>
    </w:p>
    <w:p w:rsidR="00271671" w:rsidRPr="00E64239" w:rsidRDefault="007A7214" w:rsidP="003727B9">
      <w:pPr>
        <w:pStyle w:val="Default"/>
        <w:jc w:val="both"/>
        <w:rPr>
          <w:rFonts w:asciiTheme="majorBidi" w:hAnsiTheme="majorBidi" w:cstheme="majorBidi"/>
          <w:b/>
          <w:bCs/>
          <w:color w:val="auto"/>
        </w:rPr>
      </w:pPr>
      <w:r w:rsidRPr="00E64239">
        <w:rPr>
          <w:rFonts w:asciiTheme="majorBidi" w:hAnsiTheme="majorBidi" w:cstheme="majorBidi"/>
          <w:b/>
          <w:bCs/>
          <w:color w:val="auto"/>
        </w:rPr>
        <w:t>III-2</w:t>
      </w:r>
      <w:r w:rsidR="009A204F" w:rsidRPr="00E64239">
        <w:rPr>
          <w:rFonts w:asciiTheme="majorBidi" w:hAnsiTheme="majorBidi" w:cstheme="majorBidi"/>
          <w:b/>
          <w:bCs/>
          <w:color w:val="auto"/>
        </w:rPr>
        <w:t>-</w:t>
      </w:r>
      <w:r w:rsidR="00271671" w:rsidRPr="00E64239">
        <w:rPr>
          <w:rFonts w:asciiTheme="majorBidi" w:hAnsiTheme="majorBidi" w:cstheme="majorBidi"/>
          <w:b/>
          <w:bCs/>
          <w:color w:val="auto"/>
        </w:rPr>
        <w:t>Comment prouver la conformité aux normes ?</w:t>
      </w:r>
    </w:p>
    <w:p w:rsidR="00271671" w:rsidRPr="00E64239" w:rsidRDefault="00271671" w:rsidP="003727B9">
      <w:pPr>
        <w:pStyle w:val="Default"/>
        <w:jc w:val="both"/>
        <w:rPr>
          <w:rFonts w:asciiTheme="majorBidi" w:hAnsiTheme="majorBidi" w:cstheme="majorBidi"/>
          <w:color w:val="auto"/>
        </w:rPr>
      </w:pPr>
    </w:p>
    <w:p w:rsidR="00271671" w:rsidRPr="00E64239" w:rsidRDefault="00271671" w:rsidP="003727B9">
      <w:pPr>
        <w:pStyle w:val="Default"/>
        <w:numPr>
          <w:ilvl w:val="0"/>
          <w:numId w:val="14"/>
        </w:numPr>
        <w:jc w:val="both"/>
        <w:rPr>
          <w:rFonts w:asciiTheme="majorBidi" w:hAnsiTheme="majorBidi" w:cstheme="majorBidi"/>
          <w:color w:val="auto"/>
        </w:rPr>
      </w:pPr>
      <w:r w:rsidRPr="00E64239">
        <w:rPr>
          <w:rFonts w:asciiTheme="majorBidi" w:hAnsiTheme="majorBidi" w:cstheme="majorBidi"/>
          <w:color w:val="auto"/>
        </w:rPr>
        <w:t xml:space="preserve">Auto-déclaration du fournisseur, sous sa seule responsabilité </w:t>
      </w:r>
    </w:p>
    <w:p w:rsidR="00271671" w:rsidRPr="00E64239" w:rsidRDefault="00271671" w:rsidP="003727B9">
      <w:pPr>
        <w:pStyle w:val="Default"/>
        <w:numPr>
          <w:ilvl w:val="0"/>
          <w:numId w:val="14"/>
        </w:numPr>
        <w:jc w:val="both"/>
        <w:rPr>
          <w:rFonts w:asciiTheme="majorBidi" w:hAnsiTheme="majorBidi" w:cstheme="majorBidi"/>
          <w:color w:val="auto"/>
        </w:rPr>
      </w:pPr>
      <w:r w:rsidRPr="00E64239">
        <w:rPr>
          <w:rFonts w:asciiTheme="majorBidi" w:hAnsiTheme="majorBidi" w:cstheme="majorBidi"/>
          <w:color w:val="auto"/>
        </w:rPr>
        <w:t>Attestation de conformité par un organisme tierce partie (laboratoire, organisme d’inspection, organisme de certification) qui vérifie la conformité du produit, service ou système aux exigences de la norme.</w:t>
      </w:r>
    </w:p>
    <w:p w:rsidR="00271671" w:rsidRPr="00E64239" w:rsidRDefault="00271671" w:rsidP="003727B9">
      <w:pPr>
        <w:pStyle w:val="Default"/>
        <w:ind w:left="720"/>
        <w:jc w:val="both"/>
        <w:rPr>
          <w:rFonts w:asciiTheme="majorBidi" w:hAnsiTheme="majorBidi" w:cstheme="majorBidi"/>
          <w:color w:val="auto"/>
        </w:rPr>
      </w:pPr>
      <w:r w:rsidRPr="00E64239">
        <w:rPr>
          <w:rFonts w:asciiTheme="majorBidi" w:hAnsiTheme="majorBidi" w:cstheme="majorBidi"/>
          <w:color w:val="auto"/>
        </w:rPr>
        <w:t xml:space="preserve"> </w:t>
      </w:r>
    </w:p>
    <w:p w:rsidR="00271671" w:rsidRPr="00E64239" w:rsidRDefault="007A7214" w:rsidP="003727B9">
      <w:pPr>
        <w:pStyle w:val="Default"/>
        <w:jc w:val="both"/>
        <w:rPr>
          <w:rFonts w:asciiTheme="majorBidi" w:hAnsiTheme="majorBidi" w:cstheme="majorBidi"/>
          <w:b/>
          <w:bCs/>
          <w:color w:val="auto"/>
        </w:rPr>
      </w:pPr>
      <w:r w:rsidRPr="00E64239">
        <w:rPr>
          <w:rFonts w:asciiTheme="majorBidi" w:hAnsiTheme="majorBidi" w:cstheme="majorBidi"/>
          <w:b/>
          <w:bCs/>
          <w:color w:val="auto"/>
        </w:rPr>
        <w:t>III-2</w:t>
      </w:r>
      <w:r w:rsidR="00271671" w:rsidRPr="00E64239">
        <w:rPr>
          <w:rFonts w:asciiTheme="majorBidi" w:hAnsiTheme="majorBidi" w:cstheme="majorBidi"/>
          <w:b/>
          <w:bCs/>
          <w:color w:val="auto"/>
        </w:rPr>
        <w:t>-</w:t>
      </w:r>
      <w:r w:rsidRPr="00E64239">
        <w:rPr>
          <w:rFonts w:asciiTheme="majorBidi" w:hAnsiTheme="majorBidi" w:cstheme="majorBidi"/>
          <w:b/>
          <w:bCs/>
          <w:color w:val="auto"/>
        </w:rPr>
        <w:t>1-</w:t>
      </w:r>
      <w:r w:rsidR="00271671" w:rsidRPr="00E64239">
        <w:rPr>
          <w:rFonts w:asciiTheme="majorBidi" w:hAnsiTheme="majorBidi" w:cstheme="majorBidi"/>
          <w:b/>
          <w:bCs/>
          <w:color w:val="auto"/>
        </w:rPr>
        <w:t xml:space="preserve"> La certification </w:t>
      </w:r>
    </w:p>
    <w:p w:rsidR="00271671" w:rsidRPr="00E64239" w:rsidRDefault="00271671" w:rsidP="003727B9">
      <w:pPr>
        <w:pStyle w:val="Default"/>
        <w:jc w:val="both"/>
        <w:rPr>
          <w:rFonts w:asciiTheme="majorBidi" w:hAnsiTheme="majorBidi" w:cstheme="majorBidi"/>
          <w:color w:val="auto"/>
        </w:rPr>
      </w:pP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Procédure par laquelle une tierce partie donne une assurance écrite qu’un produit, un processus ou un service dûment identifié est conforme aux exigences spécifiées.</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p>
    <w:p w:rsidR="00271671" w:rsidRDefault="000825DA"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t>III-2-1-</w:t>
      </w:r>
      <w:r w:rsidR="00271671" w:rsidRPr="00E64239">
        <w:rPr>
          <w:rFonts w:asciiTheme="majorBidi" w:hAnsiTheme="majorBidi" w:cstheme="majorBidi"/>
          <w:b/>
          <w:bCs/>
          <w:sz w:val="24"/>
          <w:szCs w:val="24"/>
        </w:rPr>
        <w:t>La certification des produits :</w:t>
      </w:r>
    </w:p>
    <w:p w:rsidR="005B4FE0" w:rsidRPr="00E64239" w:rsidRDefault="005B4FE0" w:rsidP="003727B9">
      <w:pPr>
        <w:autoSpaceDE w:val="0"/>
        <w:autoSpaceDN w:val="0"/>
        <w:adjustRightInd w:val="0"/>
        <w:spacing w:after="0" w:line="240" w:lineRule="auto"/>
        <w:jc w:val="both"/>
        <w:rPr>
          <w:rFonts w:asciiTheme="majorBidi" w:hAnsiTheme="majorBidi" w:cstheme="majorBidi"/>
          <w:b/>
          <w:bCs/>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La certification des produits apporte la preuve objective de la conformité du produit ou du service à un</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référentiel qui en fixe le niveau de qualité et les performances. Ce référentiel est validé par le comité</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technique concerné qui est constitué des différentes parties intéressées : producteurs, utilisateurs,</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administrations et laboratoires.</w:t>
      </w:r>
    </w:p>
    <w:p w:rsidR="000825DA" w:rsidRPr="00E64239" w:rsidRDefault="000825DA"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Cette certification conduit, en général, à l’apposition d’une marque sur les produits certifiés.</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Au Maroc, la marque de certif</w:t>
      </w:r>
      <w:r w:rsidR="000825DA" w:rsidRPr="00E64239">
        <w:rPr>
          <w:rFonts w:asciiTheme="majorBidi" w:hAnsiTheme="majorBidi" w:cstheme="majorBidi"/>
          <w:sz w:val="24"/>
          <w:szCs w:val="24"/>
        </w:rPr>
        <w:t xml:space="preserve">ication </w:t>
      </w:r>
      <w:r w:rsidRPr="00E64239">
        <w:rPr>
          <w:rFonts w:asciiTheme="majorBidi" w:hAnsiTheme="majorBidi" w:cstheme="majorBidi"/>
          <w:sz w:val="24"/>
          <w:szCs w:val="24"/>
        </w:rPr>
        <w:t xml:space="preserve"> est délivrée par le Ministère chargé de</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l'industrie. Cette marque atteste que le produit ou le service concerné, sont conformes aux normes</w:t>
      </w:r>
      <w:r w:rsidR="000825DA" w:rsidRPr="00E64239">
        <w:rPr>
          <w:rFonts w:asciiTheme="majorBidi" w:hAnsiTheme="majorBidi" w:cstheme="majorBidi"/>
          <w:sz w:val="24"/>
          <w:szCs w:val="24"/>
        </w:rPr>
        <w:t xml:space="preserve"> de pays</w:t>
      </w:r>
      <w:r w:rsidRPr="00E64239">
        <w:rPr>
          <w:rFonts w:asciiTheme="majorBidi" w:hAnsiTheme="majorBidi" w:cstheme="majorBidi"/>
          <w:sz w:val="24"/>
          <w:szCs w:val="24"/>
        </w:rPr>
        <w:t>.</w:t>
      </w:r>
    </w:p>
    <w:p w:rsidR="00271671" w:rsidRPr="00E64239" w:rsidRDefault="009A204F"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E</w:t>
      </w:r>
      <w:r w:rsidR="00271671" w:rsidRPr="00E64239">
        <w:rPr>
          <w:rFonts w:asciiTheme="majorBidi" w:hAnsiTheme="majorBidi" w:cstheme="majorBidi"/>
          <w:sz w:val="24"/>
          <w:szCs w:val="24"/>
        </w:rPr>
        <w:t>lle présente l’avantage :</w:t>
      </w:r>
    </w:p>
    <w:p w:rsidR="00271671" w:rsidRPr="00E64239" w:rsidRDefault="00271671" w:rsidP="003727B9">
      <w:pPr>
        <w:pStyle w:val="Paragraphedeliste"/>
        <w:numPr>
          <w:ilvl w:val="0"/>
          <w:numId w:val="14"/>
        </w:num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de faciliter la vente du produit ou du service concerné puisqu’elle apporte la preuve objective que le</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bien proposé a effectivement les caractéristiques et les performances telles que définies dans le</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référentiel.</w:t>
      </w:r>
    </w:p>
    <w:p w:rsidR="00271671" w:rsidRPr="00E64239" w:rsidRDefault="00271671" w:rsidP="003727B9">
      <w:pPr>
        <w:pStyle w:val="Paragraphedeliste"/>
        <w:numPr>
          <w:ilvl w:val="0"/>
          <w:numId w:val="14"/>
        </w:num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w:t>
      </w:r>
      <w:r w:rsidR="000825DA" w:rsidRPr="00E64239">
        <w:rPr>
          <w:rFonts w:asciiTheme="majorBidi" w:hAnsiTheme="majorBidi" w:cstheme="majorBidi"/>
          <w:sz w:val="24"/>
          <w:szCs w:val="24"/>
        </w:rPr>
        <w:t xml:space="preserve">obtention de la marque </w:t>
      </w:r>
      <w:r w:rsidRPr="00E64239">
        <w:rPr>
          <w:rFonts w:asciiTheme="majorBidi" w:hAnsiTheme="majorBidi" w:cstheme="majorBidi"/>
          <w:sz w:val="24"/>
          <w:szCs w:val="24"/>
        </w:rPr>
        <w:t xml:space="preserve"> nécessite la vérification du produit ou du service par les services concernés</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du Ministère chargé de l'industrie.</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Cette démarche se déroule en quatre étapes :</w:t>
      </w:r>
    </w:p>
    <w:p w:rsidR="000825DA" w:rsidRPr="00E64239" w:rsidRDefault="000825DA"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t>Etape n°1 - La demande de certification de produit :</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L’entreprise doit adresser une demande accompagnée d’un d</w:t>
      </w:r>
      <w:r w:rsidR="009A204F" w:rsidRPr="00E64239">
        <w:rPr>
          <w:rFonts w:asciiTheme="majorBidi" w:hAnsiTheme="majorBidi" w:cstheme="majorBidi"/>
          <w:sz w:val="24"/>
          <w:szCs w:val="24"/>
        </w:rPr>
        <w:t>ossier technique au service de n</w:t>
      </w:r>
      <w:r w:rsidRPr="00E64239">
        <w:rPr>
          <w:rFonts w:asciiTheme="majorBidi" w:hAnsiTheme="majorBidi" w:cstheme="majorBidi"/>
          <w:sz w:val="24"/>
          <w:szCs w:val="24"/>
        </w:rPr>
        <w:t>ormalisation</w:t>
      </w:r>
      <w:r w:rsidR="009A204F" w:rsidRPr="00E64239">
        <w:rPr>
          <w:rFonts w:asciiTheme="majorBidi" w:hAnsiTheme="majorBidi" w:cstheme="majorBidi"/>
          <w:sz w:val="24"/>
          <w:szCs w:val="24"/>
        </w:rPr>
        <w:t xml:space="preserve"> i</w:t>
      </w:r>
      <w:r w:rsidR="000825DA" w:rsidRPr="00E64239">
        <w:rPr>
          <w:rFonts w:asciiTheme="majorBidi" w:hAnsiTheme="majorBidi" w:cstheme="majorBidi"/>
          <w:sz w:val="24"/>
          <w:szCs w:val="24"/>
        </w:rPr>
        <w:t>ndustrielle .</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Le dossier technique doit comprendre</w:t>
      </w:r>
    </w:p>
    <w:p w:rsidR="009A204F" w:rsidRPr="00E64239" w:rsidRDefault="009A204F"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Un descriptif du produit;</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La référence à</w:t>
      </w:r>
      <w:r w:rsidR="00217146" w:rsidRPr="00E64239">
        <w:rPr>
          <w:rFonts w:asciiTheme="majorBidi" w:hAnsiTheme="majorBidi" w:cstheme="majorBidi"/>
          <w:sz w:val="24"/>
          <w:szCs w:val="24"/>
        </w:rPr>
        <w:t xml:space="preserve"> une plusieurs normes</w:t>
      </w:r>
      <w:r w:rsidRPr="00E64239">
        <w:rPr>
          <w:rFonts w:asciiTheme="majorBidi" w:hAnsiTheme="majorBidi" w:cstheme="majorBidi"/>
          <w:sz w:val="24"/>
          <w:szCs w:val="24"/>
        </w:rPr>
        <w:t xml:space="preserve"> homologuées concernant le produit;</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 Un état descriptif de l'entreprise et des moyens utilisés pour le contrôle de la qualité.</w:t>
      </w:r>
    </w:p>
    <w:p w:rsidR="000825DA" w:rsidRPr="00E64239" w:rsidRDefault="000825DA"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t>Etape n°2 - L’évaluation :</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Elle comprend la visite de vérification au sein de l'entreprise, pour apprécier le système de contrôle</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qualité mis en oeuvre par celle-ci, et procède à un prélèvement d'échantillons qui sont transmis pour essais</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et analyses au laboratoire compétent désigné par le comité technique concerné.</w:t>
      </w:r>
    </w:p>
    <w:p w:rsidR="000825DA" w:rsidRPr="00E64239" w:rsidRDefault="000825DA"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lastRenderedPageBreak/>
        <w:t xml:space="preserve">Etape n°3 - La décision d'attribution </w:t>
      </w:r>
      <w:r w:rsidR="001842C5" w:rsidRPr="00E64239">
        <w:rPr>
          <w:rFonts w:asciiTheme="majorBidi" w:hAnsiTheme="majorBidi" w:cstheme="majorBidi"/>
          <w:b/>
          <w:bCs/>
          <w:sz w:val="24"/>
          <w:szCs w:val="24"/>
        </w:rPr>
        <w:t>du droit d'usage de la marque</w:t>
      </w:r>
      <w:r w:rsidRPr="00E64239">
        <w:rPr>
          <w:rFonts w:asciiTheme="majorBidi" w:hAnsiTheme="majorBidi" w:cstheme="majorBidi"/>
          <w:b/>
          <w:bCs/>
          <w:sz w:val="24"/>
          <w:szCs w:val="24"/>
        </w:rPr>
        <w:t xml:space="preserve"> :</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Au vu des rapports de vérification et d'essais, le comité technique formule un avis d'accord ou de refus du</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 xml:space="preserve">droit d'usage de la marque </w:t>
      </w:r>
    </w:p>
    <w:p w:rsidR="000825DA" w:rsidRPr="00E64239" w:rsidRDefault="000825DA"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b/>
          <w:bCs/>
          <w:sz w:val="24"/>
          <w:szCs w:val="24"/>
        </w:rPr>
      </w:pPr>
      <w:r w:rsidRPr="00E64239">
        <w:rPr>
          <w:rFonts w:asciiTheme="majorBidi" w:hAnsiTheme="majorBidi" w:cstheme="majorBidi"/>
          <w:b/>
          <w:bCs/>
          <w:sz w:val="24"/>
          <w:szCs w:val="24"/>
        </w:rPr>
        <w:t>Etape n°4 - Le suivi et le contrôle :</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r w:rsidRPr="00E64239">
        <w:rPr>
          <w:rFonts w:asciiTheme="majorBidi" w:hAnsiTheme="majorBidi" w:cstheme="majorBidi"/>
          <w:sz w:val="24"/>
          <w:szCs w:val="24"/>
        </w:rPr>
        <w:t>Des contrôles réguliers assurent la permanence de la conformité du produit ou du service certifié et de</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l’efficacité du système interne de contrôle de qualité mis en place par l’entreprise. La fréquence des</w:t>
      </w:r>
      <w:r w:rsidR="000825DA" w:rsidRPr="00E64239">
        <w:rPr>
          <w:rFonts w:asciiTheme="majorBidi" w:hAnsiTheme="majorBidi" w:cstheme="majorBidi"/>
          <w:sz w:val="24"/>
          <w:szCs w:val="24"/>
        </w:rPr>
        <w:t xml:space="preserve"> </w:t>
      </w:r>
      <w:r w:rsidRPr="00E64239">
        <w:rPr>
          <w:rFonts w:asciiTheme="majorBidi" w:hAnsiTheme="majorBidi" w:cstheme="majorBidi"/>
          <w:sz w:val="24"/>
          <w:szCs w:val="24"/>
        </w:rPr>
        <w:t>visites de surveillance est variable selon la nature du produit.</w:t>
      </w: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271671" w:rsidP="003727B9">
      <w:pPr>
        <w:autoSpaceDE w:val="0"/>
        <w:autoSpaceDN w:val="0"/>
        <w:adjustRightInd w:val="0"/>
        <w:spacing w:after="0" w:line="240" w:lineRule="auto"/>
        <w:jc w:val="both"/>
        <w:rPr>
          <w:rFonts w:asciiTheme="majorBidi" w:hAnsiTheme="majorBidi" w:cstheme="majorBidi"/>
          <w:sz w:val="24"/>
          <w:szCs w:val="24"/>
        </w:rPr>
      </w:pPr>
    </w:p>
    <w:p w:rsidR="00271671" w:rsidRPr="00E64239" w:rsidRDefault="001842C5" w:rsidP="003727B9">
      <w:pPr>
        <w:jc w:val="both"/>
        <w:rPr>
          <w:rFonts w:asciiTheme="majorBidi" w:hAnsiTheme="majorBidi" w:cstheme="majorBidi"/>
          <w:b/>
          <w:bCs/>
          <w:sz w:val="24"/>
          <w:szCs w:val="24"/>
        </w:rPr>
      </w:pPr>
      <w:r w:rsidRPr="00E64239">
        <w:rPr>
          <w:rFonts w:asciiTheme="majorBidi" w:hAnsiTheme="majorBidi" w:cstheme="majorBidi"/>
          <w:b/>
          <w:bCs/>
          <w:noProof/>
          <w:sz w:val="24"/>
          <w:szCs w:val="24"/>
          <w:lang w:eastAsia="fr-FR"/>
        </w:rPr>
        <w:drawing>
          <wp:inline distT="0" distB="0" distL="0" distR="0">
            <wp:extent cx="5760720" cy="376045"/>
            <wp:effectExtent l="0" t="0" r="0" b="0"/>
            <wp:docPr id="1" name="Objet 1"/>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6567488" cy="428625"/>
                      <a:chOff x="82550" y="115888"/>
                      <a:chExt cx="6567488" cy="428625"/>
                    </a:xfrm>
                  </a:grpSpPr>
                  <a:sp>
                    <a:nvSpPr>
                      <a:cNvPr id="24583" name="Text Box 6"/>
                      <a:cNvSpPr txBox="1">
                        <a:spLocks noChangeArrowheads="1"/>
                      </a:cNvSpPr>
                    </a:nvSpPr>
                    <a:spPr bwMode="auto">
                      <a:xfrm>
                        <a:off x="82550" y="115888"/>
                        <a:ext cx="6567488" cy="428625"/>
                      </a:xfrm>
                      <a:prstGeom prst="rect">
                        <a:avLst/>
                      </a:prstGeom>
                      <a:noFill/>
                      <a:ln w="9525">
                        <a:noFill/>
                        <a:round/>
                        <a:headEnd/>
                        <a:tailEnd/>
                      </a:ln>
                    </a:spPr>
                    <a:txSp>
                      <a:txBody>
                        <a:bodyPr wrap="none" lIns="90000" tIns="46800" rIns="90000" bIns="46800">
                          <a:spAutoFit/>
                        </a:bodyP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sz="2200" b="1">
                              <a:solidFill>
                                <a:srgbClr val="3C005A"/>
                              </a:solidFill>
                              <a:latin typeface="Tahoma" pitchFamily="32" charset="0"/>
                            </a:rPr>
                            <a:t>Les différentes applications de la certification</a:t>
                          </a:r>
                        </a:p>
                      </a:txBody>
                      <a:useSpRect/>
                    </a:txSp>
                  </a:sp>
                </lc:lockedCanvas>
              </a:graphicData>
            </a:graphic>
          </wp:inline>
        </w:drawing>
      </w:r>
    </w:p>
    <w:p w:rsidR="00B25D40" w:rsidRPr="00E64239" w:rsidRDefault="001842C5" w:rsidP="003727B9">
      <w:pPr>
        <w:jc w:val="both"/>
        <w:rPr>
          <w:rFonts w:asciiTheme="majorBidi" w:hAnsiTheme="majorBidi" w:cstheme="majorBidi"/>
          <w:sz w:val="24"/>
          <w:szCs w:val="24"/>
        </w:rPr>
      </w:pPr>
      <w:r w:rsidRPr="00E64239">
        <w:rPr>
          <w:rFonts w:asciiTheme="majorBidi" w:hAnsiTheme="majorBidi" w:cstheme="majorBidi"/>
          <w:sz w:val="24"/>
          <w:szCs w:val="24"/>
        </w:rPr>
        <w:t xml:space="preserve">                                                                                         </w:t>
      </w:r>
      <w:r w:rsidRPr="00E64239">
        <w:rPr>
          <w:rFonts w:asciiTheme="majorBidi" w:hAnsiTheme="majorBidi" w:cstheme="majorBidi"/>
          <w:noProof/>
          <w:sz w:val="24"/>
          <w:szCs w:val="24"/>
          <w:lang w:eastAsia="fr-FR"/>
        </w:rPr>
        <w:drawing>
          <wp:inline distT="0" distB="0" distL="0" distR="0">
            <wp:extent cx="2133600" cy="1066800"/>
            <wp:effectExtent l="19050" t="0" r="0" b="0"/>
            <wp:docPr id="7" name="Objet 4"/>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133600" cy="1066800"/>
                      <a:chOff x="5105400" y="1952625"/>
                      <a:chExt cx="2133600" cy="1066800"/>
                    </a:xfrm>
                  </a:grpSpPr>
                  <a:sp>
                    <a:nvSpPr>
                      <a:cNvPr id="24580" name="Oval 3"/>
                      <a:cNvSpPr>
                        <a:spLocks noChangeArrowheads="1"/>
                      </a:cNvSpPr>
                    </a:nvSpPr>
                    <a:spPr bwMode="auto">
                      <a:xfrm>
                        <a:off x="5105400" y="1952625"/>
                        <a:ext cx="2133600" cy="1066800"/>
                      </a:xfrm>
                      <a:prstGeom prst="ellipse">
                        <a:avLst/>
                      </a:prstGeom>
                      <a:solidFill>
                        <a:srgbClr val="E36E1E"/>
                      </a:solidFill>
                      <a:ln w="9360">
                        <a:solidFill>
                          <a:srgbClr val="C3965A"/>
                        </a:solidFill>
                        <a:miter lim="800000"/>
                        <a:headEnd/>
                        <a:tailEnd/>
                      </a:ln>
                    </a:spPr>
                    <a:txSp>
                      <a:txBody>
                        <a:bodyPr wrap="none" lIns="90000" tIns="46800" rIns="90000" bIns="46800" anchor="ct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a:solidFill>
                                <a:srgbClr val="660066"/>
                              </a:solidFill>
                              <a:latin typeface="Verdana" pitchFamily="32" charset="0"/>
                            </a:rPr>
                            <a:t>Services</a:t>
                          </a:r>
                        </a:p>
                      </a:txBody>
                      <a:useSpRect/>
                    </a:txSp>
                  </a:sp>
                </lc:lockedCanvas>
              </a:graphicData>
            </a:graphic>
          </wp:inline>
        </w:drawing>
      </w:r>
    </w:p>
    <w:p w:rsidR="001842C5" w:rsidRPr="00E64239" w:rsidRDefault="001842C5" w:rsidP="003727B9">
      <w:pPr>
        <w:jc w:val="both"/>
        <w:rPr>
          <w:rFonts w:asciiTheme="majorBidi" w:hAnsiTheme="majorBidi" w:cstheme="majorBidi"/>
          <w:sz w:val="24"/>
          <w:szCs w:val="24"/>
        </w:rPr>
      </w:pPr>
      <w:r w:rsidRPr="00E64239">
        <w:rPr>
          <w:rFonts w:asciiTheme="majorBidi" w:hAnsiTheme="majorBidi" w:cstheme="majorBidi"/>
          <w:noProof/>
          <w:sz w:val="24"/>
          <w:szCs w:val="24"/>
          <w:lang w:eastAsia="fr-FR"/>
        </w:rPr>
        <w:drawing>
          <wp:inline distT="0" distB="0" distL="0" distR="0">
            <wp:extent cx="2667000" cy="914400"/>
            <wp:effectExtent l="19050" t="0" r="0" b="0"/>
            <wp:docPr id="2" name="Objet 2"/>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2667000" cy="914400"/>
                      <a:chOff x="990600" y="2562225"/>
                      <a:chExt cx="2667000" cy="914400"/>
                    </a:xfrm>
                  </a:grpSpPr>
                  <a:sp>
                    <a:nvSpPr>
                      <a:cNvPr id="24584" name="AutoShape 7"/>
                      <a:cNvSpPr>
                        <a:spLocks noChangeArrowheads="1"/>
                      </a:cNvSpPr>
                    </a:nvSpPr>
                    <a:spPr bwMode="auto">
                      <a:xfrm>
                        <a:off x="990600" y="2562225"/>
                        <a:ext cx="2667000" cy="914400"/>
                      </a:xfrm>
                      <a:prstGeom prst="roundRect">
                        <a:avLst>
                          <a:gd name="adj" fmla="val 16667"/>
                        </a:avLst>
                      </a:prstGeom>
                      <a:solidFill>
                        <a:srgbClr val="B48737"/>
                      </a:solidFill>
                      <a:ln w="9360">
                        <a:solidFill>
                          <a:srgbClr val="C3965A"/>
                        </a:solidFill>
                        <a:miter lim="800000"/>
                        <a:headEnd/>
                        <a:tailEnd/>
                      </a:ln>
                    </a:spPr>
                    <a:txSp>
                      <a:txBody>
                        <a:bodyPr wrap="none" lIns="90000" tIns="46800" rIns="90000" bIns="46800" anchor="ct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sz="2600" b="1" dirty="0">
                              <a:solidFill>
                                <a:srgbClr val="3C005A"/>
                              </a:solidFill>
                              <a:latin typeface="Verdana" pitchFamily="32" charset="0"/>
                            </a:rPr>
                            <a:t>Certification</a:t>
                          </a:r>
                        </a:p>
                      </a:txBody>
                      <a:useSpRect/>
                    </a:txSp>
                  </a:sp>
                </lc:lockedCanvas>
              </a:graphicData>
            </a:graphic>
          </wp:inline>
        </w:drawing>
      </w:r>
      <w:r w:rsidRPr="00E64239">
        <w:rPr>
          <w:rFonts w:asciiTheme="majorBidi" w:hAnsiTheme="majorBidi" w:cstheme="majorBidi"/>
          <w:noProof/>
          <w:sz w:val="24"/>
          <w:szCs w:val="24"/>
          <w:lang w:eastAsia="fr-FR"/>
        </w:rPr>
        <w:drawing>
          <wp:inline distT="0" distB="0" distL="0" distR="0">
            <wp:extent cx="1905000" cy="1066800"/>
            <wp:effectExtent l="19050" t="0" r="0" b="0"/>
            <wp:docPr id="11" name="Objet 5"/>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05000" cy="1066800"/>
                      <a:chOff x="5257800" y="3171825"/>
                      <a:chExt cx="1905000" cy="1066800"/>
                    </a:xfrm>
                  </a:grpSpPr>
                  <a:sp>
                    <a:nvSpPr>
                      <a:cNvPr id="24582" name="Oval 5"/>
                      <a:cNvSpPr>
                        <a:spLocks noChangeArrowheads="1"/>
                      </a:cNvSpPr>
                    </a:nvSpPr>
                    <a:spPr bwMode="auto">
                      <a:xfrm>
                        <a:off x="5257800" y="3171825"/>
                        <a:ext cx="1905000" cy="1066800"/>
                      </a:xfrm>
                      <a:prstGeom prst="ellipse">
                        <a:avLst/>
                      </a:prstGeom>
                      <a:solidFill>
                        <a:srgbClr val="33CCCC"/>
                      </a:solidFill>
                      <a:ln w="9360">
                        <a:solidFill>
                          <a:srgbClr val="C3965A"/>
                        </a:solidFill>
                        <a:miter lim="800000"/>
                        <a:headEnd/>
                        <a:tailEnd/>
                      </a:ln>
                    </a:spPr>
                    <a:txSp>
                      <a:txBody>
                        <a:bodyPr wrap="none" lIns="90000" tIns="46800" rIns="90000" bIns="46800" anchor="ct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a:solidFill>
                                <a:srgbClr val="800080"/>
                              </a:solidFill>
                              <a:latin typeface="Verdana" pitchFamily="32" charset="0"/>
                            </a:rPr>
                            <a:t>Personnes</a:t>
                          </a:r>
                        </a:p>
                      </a:txBody>
                      <a:useSpRect/>
                    </a:txSp>
                  </a:sp>
                </lc:lockedCanvas>
              </a:graphicData>
            </a:graphic>
          </wp:inline>
        </w:drawing>
      </w:r>
      <w:r w:rsidRPr="00E64239">
        <w:rPr>
          <w:rFonts w:asciiTheme="majorBidi" w:hAnsiTheme="majorBidi" w:cstheme="majorBidi"/>
          <w:sz w:val="24"/>
          <w:szCs w:val="24"/>
        </w:rPr>
        <w:t xml:space="preserve">            </w:t>
      </w:r>
    </w:p>
    <w:p w:rsidR="001842C5" w:rsidRPr="00E64239" w:rsidRDefault="001842C5" w:rsidP="003727B9">
      <w:pPr>
        <w:jc w:val="both"/>
        <w:rPr>
          <w:rFonts w:asciiTheme="majorBidi" w:hAnsiTheme="majorBidi" w:cstheme="majorBidi"/>
          <w:sz w:val="24"/>
          <w:szCs w:val="24"/>
        </w:rPr>
      </w:pPr>
      <w:r w:rsidRPr="00E64239">
        <w:rPr>
          <w:rFonts w:asciiTheme="majorBidi" w:hAnsiTheme="majorBidi" w:cstheme="majorBidi"/>
          <w:sz w:val="24"/>
          <w:szCs w:val="24"/>
        </w:rPr>
        <w:t xml:space="preserve">                                                                  </w:t>
      </w:r>
      <w:r w:rsidRPr="00E64239">
        <w:rPr>
          <w:rFonts w:asciiTheme="majorBidi" w:hAnsiTheme="majorBidi" w:cstheme="majorBidi"/>
          <w:noProof/>
          <w:sz w:val="24"/>
          <w:szCs w:val="24"/>
          <w:lang w:eastAsia="fr-FR"/>
        </w:rPr>
        <w:drawing>
          <wp:inline distT="0" distB="0" distL="0" distR="0">
            <wp:extent cx="1981200" cy="1066800"/>
            <wp:effectExtent l="19050" t="0" r="0" b="0"/>
            <wp:docPr id="14" name="Objet 3"/>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1981200" cy="1066800"/>
                      <a:chOff x="5181600" y="777875"/>
                      <a:chExt cx="1981200" cy="1066800"/>
                    </a:xfrm>
                  </a:grpSpPr>
                  <a:sp>
                    <a:nvSpPr>
                      <a:cNvPr id="24579" name="Oval 2"/>
                      <a:cNvSpPr>
                        <a:spLocks noChangeArrowheads="1"/>
                      </a:cNvSpPr>
                    </a:nvSpPr>
                    <a:spPr bwMode="auto">
                      <a:xfrm>
                        <a:off x="5181600" y="777875"/>
                        <a:ext cx="1981200" cy="1066800"/>
                      </a:xfrm>
                      <a:prstGeom prst="ellipse">
                        <a:avLst/>
                      </a:prstGeom>
                      <a:solidFill>
                        <a:srgbClr val="33CCCC"/>
                      </a:solidFill>
                      <a:ln w="9360">
                        <a:solidFill>
                          <a:srgbClr val="C3965A"/>
                        </a:solidFill>
                        <a:miter lim="800000"/>
                        <a:headEnd/>
                        <a:tailEnd/>
                      </a:ln>
                    </a:spPr>
                    <a:txSp>
                      <a:txBody>
                        <a:bodyPr wrap="none" lIns="90000" tIns="46800" rIns="90000" bIns="46800" anchor="ct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a:solidFill>
                                <a:srgbClr val="800080"/>
                              </a:solidFill>
                              <a:latin typeface="Verdana" pitchFamily="32" charset="0"/>
                            </a:rPr>
                            <a:t>Produit</a:t>
                          </a:r>
                        </a:p>
                      </a:txBody>
                      <a:useSpRect/>
                    </a:txSp>
                  </a:sp>
                </lc:lockedCanvas>
              </a:graphicData>
            </a:graphic>
          </wp:inline>
        </w:drawing>
      </w:r>
    </w:p>
    <w:p w:rsidR="001842C5" w:rsidRPr="00E64239" w:rsidRDefault="001842C5" w:rsidP="003727B9">
      <w:pPr>
        <w:jc w:val="both"/>
        <w:rPr>
          <w:rFonts w:asciiTheme="majorBidi" w:hAnsiTheme="majorBidi" w:cstheme="majorBidi"/>
          <w:sz w:val="24"/>
          <w:szCs w:val="24"/>
        </w:rPr>
      </w:pPr>
    </w:p>
    <w:p w:rsidR="008E47C1" w:rsidRPr="00E64239" w:rsidRDefault="001842C5" w:rsidP="003727B9">
      <w:pPr>
        <w:jc w:val="both"/>
        <w:rPr>
          <w:rFonts w:asciiTheme="majorBidi" w:hAnsiTheme="majorBidi" w:cstheme="majorBidi"/>
          <w:sz w:val="24"/>
          <w:szCs w:val="24"/>
        </w:rPr>
      </w:pPr>
      <w:r w:rsidRPr="00E64239">
        <w:rPr>
          <w:rFonts w:asciiTheme="majorBidi" w:hAnsiTheme="majorBidi" w:cstheme="majorBidi"/>
          <w:sz w:val="24"/>
          <w:szCs w:val="24"/>
        </w:rPr>
        <w:t xml:space="preserve">                                                                   </w:t>
      </w:r>
      <w:r w:rsidRPr="00E64239">
        <w:rPr>
          <w:rFonts w:asciiTheme="majorBidi" w:hAnsiTheme="majorBidi" w:cstheme="majorBidi"/>
          <w:noProof/>
          <w:sz w:val="24"/>
          <w:szCs w:val="24"/>
          <w:lang w:eastAsia="fr-FR"/>
        </w:rPr>
        <w:drawing>
          <wp:inline distT="0" distB="0" distL="0" distR="0">
            <wp:extent cx="1769994" cy="1168841"/>
            <wp:effectExtent l="19050" t="0" r="1656" b="0"/>
            <wp:docPr id="12" name="Objet 6"/>
            <wp:cNvGraphicFramePr/>
            <a:graphic xmlns:a="http://schemas.openxmlformats.org/drawingml/2006/main">
              <a:graphicData uri="http://schemas.openxmlformats.org/drawingml/2006/lockedCanvas">
                <lc:lockedCanvas xmlns:lc="http://schemas.openxmlformats.org/drawingml/2006/lockedCanvas">
                  <a:nvGrpSpPr>
                    <a:cNvPr id="0" name=""/>
                    <a:cNvGrpSpPr/>
                  </a:nvGrpSpPr>
                  <a:grpSpPr>
                    <a:xfrm>
                      <a:off x="0" y="0"/>
                      <a:ext cx="3886200" cy="2133600"/>
                      <a:chOff x="4495800" y="4391025"/>
                      <a:chExt cx="3886200" cy="2133600"/>
                    </a:xfrm>
                  </a:grpSpPr>
                  <a:sp>
                    <a:nvSpPr>
                      <a:cNvPr id="24581" name="Oval 4"/>
                      <a:cNvSpPr>
                        <a:spLocks noChangeArrowheads="1"/>
                      </a:cNvSpPr>
                    </a:nvSpPr>
                    <a:spPr bwMode="auto">
                      <a:xfrm>
                        <a:off x="4495800" y="4391025"/>
                        <a:ext cx="3886200" cy="2133600"/>
                      </a:xfrm>
                      <a:prstGeom prst="ellipse">
                        <a:avLst/>
                      </a:prstGeom>
                      <a:solidFill>
                        <a:srgbClr val="E36E1E"/>
                      </a:solidFill>
                      <a:ln w="9360">
                        <a:solidFill>
                          <a:srgbClr val="C3965A"/>
                        </a:solidFill>
                        <a:miter lim="800000"/>
                        <a:headEnd/>
                        <a:tailEnd/>
                      </a:ln>
                    </a:spPr>
                    <a:txSp>
                      <a:txBody>
                        <a:bodyPr wrap="none" lIns="90000" tIns="46800" rIns="90000" bIns="46800" anchor="ctr"/>
                        <a:lstStyle>
                          <a:defPPr>
                            <a:defRPr lang="en-GB"/>
                          </a:defPPr>
                          <a:lvl1pPr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1pPr>
                          <a:lvl2pPr marL="742950" indent="-28575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2pPr>
                          <a:lvl3pPr marL="11430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3pPr>
                          <a:lvl4pPr marL="16002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4pPr>
                          <a:lvl5pPr marL="2057400" indent="-228600" algn="l" defTabSz="449263" rtl="0" eaLnBrk="0" fontAlgn="base" hangingPunct="0">
                            <a:spcBef>
                              <a:spcPct val="0"/>
                            </a:spcBef>
                            <a:spcAft>
                              <a:spcPct val="0"/>
                            </a:spcAft>
                            <a:buClr>
                              <a:srgbClr val="000000"/>
                            </a:buClr>
                            <a:buSzPct val="100000"/>
                            <a:buFont typeface="Times New Roman" pitchFamily="16" charset="0"/>
                            <a:defRPr sz="2400" kern="1200">
                              <a:solidFill>
                                <a:schemeClr val="bg1"/>
                              </a:solidFill>
                              <a:latin typeface="Times New Roman" pitchFamily="16" charset="0"/>
                              <a:ea typeface="Arial Unicode MS" pitchFamily="34" charset="-128"/>
                              <a:cs typeface="Arial Unicode MS" pitchFamily="34" charset="-128"/>
                            </a:defRPr>
                          </a:lvl5pPr>
                          <a:lvl6pPr marL="22860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6pPr>
                          <a:lvl7pPr marL="27432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7pPr>
                          <a:lvl8pPr marL="32004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8pPr>
                          <a:lvl9pPr marL="3657600" algn="l" defTabSz="914400" rtl="0" eaLnBrk="1" latinLnBrk="0" hangingPunct="1">
                            <a:defRPr sz="2400" kern="1200">
                              <a:solidFill>
                                <a:schemeClr val="bg1"/>
                              </a:solidFill>
                              <a:latin typeface="Times New Roman" pitchFamily="16" charset="0"/>
                              <a:ea typeface="Arial Unicode MS" pitchFamily="34" charset="-128"/>
                              <a:cs typeface="Arial Unicode MS" pitchFamily="34" charset="-128"/>
                            </a:defRPr>
                          </a:lvl9pPr>
                        </a:lstStyle>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a:solidFill>
                                <a:srgbClr val="660066"/>
                              </a:solidFill>
                              <a:latin typeface="Verdana" pitchFamily="32" charset="0"/>
                            </a:rPr>
                            <a:t>Systèmes de </a:t>
                          </a:r>
                        </a:p>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a:solidFill>
                                <a:srgbClr val="660066"/>
                              </a:solidFill>
                              <a:latin typeface="Verdana" pitchFamily="32" charset="0"/>
                            </a:rPr>
                            <a:t>Management</a:t>
                          </a:r>
                          <a:r>
                            <a:rPr lang="fr-FR" b="1">
                              <a:solidFill>
                                <a:srgbClr val="660066"/>
                              </a:solidFill>
                              <a:latin typeface="Verdana" pitchFamily="32" charset="0"/>
                            </a:rPr>
                            <a:t> </a:t>
                          </a:r>
                        </a:p>
                        <a:p>
                          <a:pPr algn="ctr">
                            <a:buClrTx/>
                            <a:buFontTx/>
                            <a:buNone/>
                            <a:tabLst>
                              <a:tab pos="0" algn="l"/>
                              <a:tab pos="447675" algn="l"/>
                              <a:tab pos="896938" algn="l"/>
                              <a:tab pos="1346200" algn="l"/>
                              <a:tab pos="1795463" algn="l"/>
                              <a:tab pos="2244725" algn="l"/>
                              <a:tab pos="2693988" algn="l"/>
                              <a:tab pos="3143250" algn="l"/>
                              <a:tab pos="3592513" algn="l"/>
                              <a:tab pos="4041775" algn="l"/>
                              <a:tab pos="4491038" algn="l"/>
                              <a:tab pos="4940300" algn="l"/>
                              <a:tab pos="5389563" algn="l"/>
                              <a:tab pos="5838825" algn="l"/>
                              <a:tab pos="6288088" algn="l"/>
                              <a:tab pos="6737350" algn="l"/>
                              <a:tab pos="7186613" algn="l"/>
                              <a:tab pos="7635875" algn="l"/>
                              <a:tab pos="8085138" algn="l"/>
                              <a:tab pos="8534400" algn="l"/>
                              <a:tab pos="8983663" algn="l"/>
                            </a:tabLst>
                          </a:pPr>
                          <a:r>
                            <a:rPr lang="fr-FR" sz="2000">
                              <a:solidFill>
                                <a:srgbClr val="660066"/>
                              </a:solidFill>
                              <a:latin typeface="Verdana" pitchFamily="32" charset="0"/>
                            </a:rPr>
                            <a:t>(Qualité, </a:t>
                          </a:r>
                          <a:br>
                            <a:rPr lang="fr-FR" sz="2000">
                              <a:solidFill>
                                <a:srgbClr val="660066"/>
                              </a:solidFill>
                              <a:latin typeface="Verdana" pitchFamily="32" charset="0"/>
                            </a:rPr>
                          </a:br>
                          <a:r>
                            <a:rPr lang="fr-FR" sz="2000">
                              <a:solidFill>
                                <a:srgbClr val="660066"/>
                              </a:solidFill>
                              <a:latin typeface="Verdana" pitchFamily="32" charset="0"/>
                            </a:rPr>
                            <a:t>sécurité,</a:t>
                          </a:r>
                          <a:br>
                            <a:rPr lang="fr-FR" sz="2000">
                              <a:solidFill>
                                <a:srgbClr val="660066"/>
                              </a:solidFill>
                              <a:latin typeface="Verdana" pitchFamily="32" charset="0"/>
                            </a:rPr>
                          </a:br>
                          <a:r>
                            <a:rPr lang="fr-FR" sz="2000">
                              <a:solidFill>
                                <a:srgbClr val="660066"/>
                              </a:solidFill>
                              <a:latin typeface="Verdana" pitchFamily="32" charset="0"/>
                            </a:rPr>
                            <a:t>environnement)</a:t>
                          </a:r>
                        </a:p>
                      </a:txBody>
                      <a:useSpRect/>
                    </a:txSp>
                  </a:sp>
                </lc:lockedCanvas>
              </a:graphicData>
            </a:graphic>
          </wp:inline>
        </w:drawing>
      </w:r>
    </w:p>
    <w:p w:rsidR="001842C5" w:rsidRPr="00E64239" w:rsidRDefault="001842C5" w:rsidP="003727B9">
      <w:pPr>
        <w:jc w:val="both"/>
        <w:rPr>
          <w:rFonts w:asciiTheme="majorBidi" w:hAnsiTheme="majorBidi" w:cstheme="majorBidi"/>
          <w:sz w:val="24"/>
          <w:szCs w:val="24"/>
        </w:rPr>
      </w:pPr>
    </w:p>
    <w:sectPr w:rsidR="001842C5" w:rsidRPr="00E64239" w:rsidSect="00874B38">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2E2" w:rsidRDefault="00C762E2" w:rsidP="00A55C4A">
      <w:pPr>
        <w:spacing w:after="0" w:line="240" w:lineRule="auto"/>
      </w:pPr>
      <w:r>
        <w:separator/>
      </w:r>
    </w:p>
  </w:endnote>
  <w:endnote w:type="continuationSeparator" w:id="1">
    <w:p w:rsidR="00C762E2" w:rsidRDefault="00C762E2" w:rsidP="00A55C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2E2" w:rsidRDefault="00C762E2" w:rsidP="00A55C4A">
      <w:pPr>
        <w:spacing w:after="0" w:line="240" w:lineRule="auto"/>
      </w:pPr>
      <w:r>
        <w:separator/>
      </w:r>
    </w:p>
  </w:footnote>
  <w:footnote w:type="continuationSeparator" w:id="1">
    <w:p w:rsidR="00C762E2" w:rsidRDefault="00C762E2" w:rsidP="00A55C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42.75pt;height:33pt" o:bullet="t">
        <v:imagedata r:id="rId1" o:title="art33B8"/>
      </v:shape>
    </w:pict>
  </w:numPicBullet>
  <w:numPicBullet w:numPicBulletId="1">
    <w:pict>
      <v:shape id="_x0000_i1035" type="#_x0000_t75" style="width:40.5pt;height:35.25pt" o:bullet="t">
        <v:imagedata r:id="rId2" o:title="art60C1"/>
      </v:shape>
    </w:pict>
  </w:numPicBullet>
  <w:abstractNum w:abstractNumId="0">
    <w:nsid w:val="06B162E3"/>
    <w:multiLevelType w:val="multilevel"/>
    <w:tmpl w:val="DE666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93441B"/>
    <w:multiLevelType w:val="hybridMultilevel"/>
    <w:tmpl w:val="FF2A903A"/>
    <w:lvl w:ilvl="0" w:tplc="A8A8A41E">
      <w:start w:val="1"/>
      <w:numFmt w:val="bullet"/>
      <w:lvlText w:val=""/>
      <w:lvlPicBulletId w:val="0"/>
      <w:lvlJc w:val="left"/>
      <w:pPr>
        <w:tabs>
          <w:tab w:val="num" w:pos="720"/>
        </w:tabs>
        <w:ind w:left="720" w:hanging="360"/>
      </w:pPr>
      <w:rPr>
        <w:rFonts w:ascii="Symbol" w:hAnsi="Symbol" w:hint="default"/>
      </w:rPr>
    </w:lvl>
    <w:lvl w:ilvl="1" w:tplc="BDD4002A" w:tentative="1">
      <w:start w:val="1"/>
      <w:numFmt w:val="bullet"/>
      <w:lvlText w:val=""/>
      <w:lvlPicBulletId w:val="0"/>
      <w:lvlJc w:val="left"/>
      <w:pPr>
        <w:tabs>
          <w:tab w:val="num" w:pos="1440"/>
        </w:tabs>
        <w:ind w:left="1440" w:hanging="360"/>
      </w:pPr>
      <w:rPr>
        <w:rFonts w:ascii="Symbol" w:hAnsi="Symbol" w:hint="default"/>
      </w:rPr>
    </w:lvl>
    <w:lvl w:ilvl="2" w:tplc="BB8686B0" w:tentative="1">
      <w:start w:val="1"/>
      <w:numFmt w:val="bullet"/>
      <w:lvlText w:val=""/>
      <w:lvlPicBulletId w:val="0"/>
      <w:lvlJc w:val="left"/>
      <w:pPr>
        <w:tabs>
          <w:tab w:val="num" w:pos="2160"/>
        </w:tabs>
        <w:ind w:left="2160" w:hanging="360"/>
      </w:pPr>
      <w:rPr>
        <w:rFonts w:ascii="Symbol" w:hAnsi="Symbol" w:hint="default"/>
      </w:rPr>
    </w:lvl>
    <w:lvl w:ilvl="3" w:tplc="AB6CBF36" w:tentative="1">
      <w:start w:val="1"/>
      <w:numFmt w:val="bullet"/>
      <w:lvlText w:val=""/>
      <w:lvlPicBulletId w:val="0"/>
      <w:lvlJc w:val="left"/>
      <w:pPr>
        <w:tabs>
          <w:tab w:val="num" w:pos="2880"/>
        </w:tabs>
        <w:ind w:left="2880" w:hanging="360"/>
      </w:pPr>
      <w:rPr>
        <w:rFonts w:ascii="Symbol" w:hAnsi="Symbol" w:hint="default"/>
      </w:rPr>
    </w:lvl>
    <w:lvl w:ilvl="4" w:tplc="328C91EE" w:tentative="1">
      <w:start w:val="1"/>
      <w:numFmt w:val="bullet"/>
      <w:lvlText w:val=""/>
      <w:lvlPicBulletId w:val="0"/>
      <w:lvlJc w:val="left"/>
      <w:pPr>
        <w:tabs>
          <w:tab w:val="num" w:pos="3600"/>
        </w:tabs>
        <w:ind w:left="3600" w:hanging="360"/>
      </w:pPr>
      <w:rPr>
        <w:rFonts w:ascii="Symbol" w:hAnsi="Symbol" w:hint="default"/>
      </w:rPr>
    </w:lvl>
    <w:lvl w:ilvl="5" w:tplc="DD0A793C" w:tentative="1">
      <w:start w:val="1"/>
      <w:numFmt w:val="bullet"/>
      <w:lvlText w:val=""/>
      <w:lvlPicBulletId w:val="0"/>
      <w:lvlJc w:val="left"/>
      <w:pPr>
        <w:tabs>
          <w:tab w:val="num" w:pos="4320"/>
        </w:tabs>
        <w:ind w:left="4320" w:hanging="360"/>
      </w:pPr>
      <w:rPr>
        <w:rFonts w:ascii="Symbol" w:hAnsi="Symbol" w:hint="default"/>
      </w:rPr>
    </w:lvl>
    <w:lvl w:ilvl="6" w:tplc="8D243DCE" w:tentative="1">
      <w:start w:val="1"/>
      <w:numFmt w:val="bullet"/>
      <w:lvlText w:val=""/>
      <w:lvlPicBulletId w:val="0"/>
      <w:lvlJc w:val="left"/>
      <w:pPr>
        <w:tabs>
          <w:tab w:val="num" w:pos="5040"/>
        </w:tabs>
        <w:ind w:left="5040" w:hanging="360"/>
      </w:pPr>
      <w:rPr>
        <w:rFonts w:ascii="Symbol" w:hAnsi="Symbol" w:hint="default"/>
      </w:rPr>
    </w:lvl>
    <w:lvl w:ilvl="7" w:tplc="6398159E" w:tentative="1">
      <w:start w:val="1"/>
      <w:numFmt w:val="bullet"/>
      <w:lvlText w:val=""/>
      <w:lvlPicBulletId w:val="0"/>
      <w:lvlJc w:val="left"/>
      <w:pPr>
        <w:tabs>
          <w:tab w:val="num" w:pos="5760"/>
        </w:tabs>
        <w:ind w:left="5760" w:hanging="360"/>
      </w:pPr>
      <w:rPr>
        <w:rFonts w:ascii="Symbol" w:hAnsi="Symbol" w:hint="default"/>
      </w:rPr>
    </w:lvl>
    <w:lvl w:ilvl="8" w:tplc="C3201CC6" w:tentative="1">
      <w:start w:val="1"/>
      <w:numFmt w:val="bullet"/>
      <w:lvlText w:val=""/>
      <w:lvlPicBulletId w:val="0"/>
      <w:lvlJc w:val="left"/>
      <w:pPr>
        <w:tabs>
          <w:tab w:val="num" w:pos="6480"/>
        </w:tabs>
        <w:ind w:left="6480" w:hanging="360"/>
      </w:pPr>
      <w:rPr>
        <w:rFonts w:ascii="Symbol" w:hAnsi="Symbol" w:hint="default"/>
      </w:rPr>
    </w:lvl>
  </w:abstractNum>
  <w:abstractNum w:abstractNumId="2">
    <w:nsid w:val="163701D3"/>
    <w:multiLevelType w:val="multilevel"/>
    <w:tmpl w:val="3C3E7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0E2C85"/>
    <w:multiLevelType w:val="multilevel"/>
    <w:tmpl w:val="595C9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3606089"/>
    <w:multiLevelType w:val="multilevel"/>
    <w:tmpl w:val="45505A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A30FB6"/>
    <w:multiLevelType w:val="multilevel"/>
    <w:tmpl w:val="D54E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60205D"/>
    <w:multiLevelType w:val="hybridMultilevel"/>
    <w:tmpl w:val="90F0DCAA"/>
    <w:lvl w:ilvl="0" w:tplc="F7484998">
      <w:start w:val="1"/>
      <w:numFmt w:val="bullet"/>
      <w:lvlText w:val=""/>
      <w:lvlPicBulletId w:val="0"/>
      <w:lvlJc w:val="left"/>
      <w:pPr>
        <w:tabs>
          <w:tab w:val="num" w:pos="720"/>
        </w:tabs>
        <w:ind w:left="720" w:hanging="360"/>
      </w:pPr>
      <w:rPr>
        <w:rFonts w:ascii="Symbol" w:hAnsi="Symbol" w:hint="default"/>
      </w:rPr>
    </w:lvl>
    <w:lvl w:ilvl="1" w:tplc="B726D734">
      <w:start w:val="732"/>
      <w:numFmt w:val="bullet"/>
      <w:lvlText w:val=""/>
      <w:lvlPicBulletId w:val="1"/>
      <w:lvlJc w:val="left"/>
      <w:pPr>
        <w:tabs>
          <w:tab w:val="num" w:pos="1440"/>
        </w:tabs>
        <w:ind w:left="1440" w:hanging="360"/>
      </w:pPr>
      <w:rPr>
        <w:rFonts w:ascii="Symbol" w:hAnsi="Symbol" w:hint="default"/>
      </w:rPr>
    </w:lvl>
    <w:lvl w:ilvl="2" w:tplc="80F843EC" w:tentative="1">
      <w:start w:val="1"/>
      <w:numFmt w:val="bullet"/>
      <w:lvlText w:val=""/>
      <w:lvlPicBulletId w:val="0"/>
      <w:lvlJc w:val="left"/>
      <w:pPr>
        <w:tabs>
          <w:tab w:val="num" w:pos="2160"/>
        </w:tabs>
        <w:ind w:left="2160" w:hanging="360"/>
      </w:pPr>
      <w:rPr>
        <w:rFonts w:ascii="Symbol" w:hAnsi="Symbol" w:hint="default"/>
      </w:rPr>
    </w:lvl>
    <w:lvl w:ilvl="3" w:tplc="418AD440" w:tentative="1">
      <w:start w:val="1"/>
      <w:numFmt w:val="bullet"/>
      <w:lvlText w:val=""/>
      <w:lvlPicBulletId w:val="0"/>
      <w:lvlJc w:val="left"/>
      <w:pPr>
        <w:tabs>
          <w:tab w:val="num" w:pos="2880"/>
        </w:tabs>
        <w:ind w:left="2880" w:hanging="360"/>
      </w:pPr>
      <w:rPr>
        <w:rFonts w:ascii="Symbol" w:hAnsi="Symbol" w:hint="default"/>
      </w:rPr>
    </w:lvl>
    <w:lvl w:ilvl="4" w:tplc="1FEE6A0E" w:tentative="1">
      <w:start w:val="1"/>
      <w:numFmt w:val="bullet"/>
      <w:lvlText w:val=""/>
      <w:lvlPicBulletId w:val="0"/>
      <w:lvlJc w:val="left"/>
      <w:pPr>
        <w:tabs>
          <w:tab w:val="num" w:pos="3600"/>
        </w:tabs>
        <w:ind w:left="3600" w:hanging="360"/>
      </w:pPr>
      <w:rPr>
        <w:rFonts w:ascii="Symbol" w:hAnsi="Symbol" w:hint="default"/>
      </w:rPr>
    </w:lvl>
    <w:lvl w:ilvl="5" w:tplc="24E6DA82" w:tentative="1">
      <w:start w:val="1"/>
      <w:numFmt w:val="bullet"/>
      <w:lvlText w:val=""/>
      <w:lvlPicBulletId w:val="0"/>
      <w:lvlJc w:val="left"/>
      <w:pPr>
        <w:tabs>
          <w:tab w:val="num" w:pos="4320"/>
        </w:tabs>
        <w:ind w:left="4320" w:hanging="360"/>
      </w:pPr>
      <w:rPr>
        <w:rFonts w:ascii="Symbol" w:hAnsi="Symbol" w:hint="default"/>
      </w:rPr>
    </w:lvl>
    <w:lvl w:ilvl="6" w:tplc="2786AA88" w:tentative="1">
      <w:start w:val="1"/>
      <w:numFmt w:val="bullet"/>
      <w:lvlText w:val=""/>
      <w:lvlPicBulletId w:val="0"/>
      <w:lvlJc w:val="left"/>
      <w:pPr>
        <w:tabs>
          <w:tab w:val="num" w:pos="5040"/>
        </w:tabs>
        <w:ind w:left="5040" w:hanging="360"/>
      </w:pPr>
      <w:rPr>
        <w:rFonts w:ascii="Symbol" w:hAnsi="Symbol" w:hint="default"/>
      </w:rPr>
    </w:lvl>
    <w:lvl w:ilvl="7" w:tplc="99D862BC" w:tentative="1">
      <w:start w:val="1"/>
      <w:numFmt w:val="bullet"/>
      <w:lvlText w:val=""/>
      <w:lvlPicBulletId w:val="0"/>
      <w:lvlJc w:val="left"/>
      <w:pPr>
        <w:tabs>
          <w:tab w:val="num" w:pos="5760"/>
        </w:tabs>
        <w:ind w:left="5760" w:hanging="360"/>
      </w:pPr>
      <w:rPr>
        <w:rFonts w:ascii="Symbol" w:hAnsi="Symbol" w:hint="default"/>
      </w:rPr>
    </w:lvl>
    <w:lvl w:ilvl="8" w:tplc="3FF06F16" w:tentative="1">
      <w:start w:val="1"/>
      <w:numFmt w:val="bullet"/>
      <w:lvlText w:val=""/>
      <w:lvlPicBulletId w:val="0"/>
      <w:lvlJc w:val="left"/>
      <w:pPr>
        <w:tabs>
          <w:tab w:val="num" w:pos="6480"/>
        </w:tabs>
        <w:ind w:left="6480" w:hanging="360"/>
      </w:pPr>
      <w:rPr>
        <w:rFonts w:ascii="Symbol" w:hAnsi="Symbol" w:hint="default"/>
      </w:rPr>
    </w:lvl>
  </w:abstractNum>
  <w:abstractNum w:abstractNumId="7">
    <w:nsid w:val="29B37ED2"/>
    <w:multiLevelType w:val="multilevel"/>
    <w:tmpl w:val="098A4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A54680B"/>
    <w:multiLevelType w:val="multilevel"/>
    <w:tmpl w:val="634E2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DD66EBB"/>
    <w:multiLevelType w:val="multilevel"/>
    <w:tmpl w:val="A2E0D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BF4E41"/>
    <w:multiLevelType w:val="multilevel"/>
    <w:tmpl w:val="D8967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8982F24"/>
    <w:multiLevelType w:val="multilevel"/>
    <w:tmpl w:val="4B989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D13119A"/>
    <w:multiLevelType w:val="multilevel"/>
    <w:tmpl w:val="CF30E1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5826F98"/>
    <w:multiLevelType w:val="multilevel"/>
    <w:tmpl w:val="F3861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695114AD"/>
    <w:multiLevelType w:val="multilevel"/>
    <w:tmpl w:val="AA0E4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C2B6B87"/>
    <w:multiLevelType w:val="multilevel"/>
    <w:tmpl w:val="B0BC9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33C1DF3"/>
    <w:multiLevelType w:val="multilevel"/>
    <w:tmpl w:val="78C0F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6E919B4"/>
    <w:multiLevelType w:val="multilevel"/>
    <w:tmpl w:val="624A1942"/>
    <w:lvl w:ilvl="0">
      <w:start w:val="1"/>
      <w:numFmt w:val="decimal"/>
      <w:lvlText w:val="%1"/>
      <w:lvlJc w:val="left"/>
      <w:pPr>
        <w:ind w:left="510" w:hanging="510"/>
      </w:pPr>
      <w:rPr>
        <w:rFonts w:hint="default"/>
      </w:rPr>
    </w:lvl>
    <w:lvl w:ilvl="1">
      <w:start w:val="1"/>
      <w:numFmt w:val="decimal"/>
      <w:lvlText w:val="%1-%2"/>
      <w:lvlJc w:val="left"/>
      <w:pPr>
        <w:ind w:left="690" w:hanging="51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8">
    <w:nsid w:val="79533818"/>
    <w:multiLevelType w:val="hybridMultilevel"/>
    <w:tmpl w:val="752CB5EC"/>
    <w:lvl w:ilvl="0" w:tplc="8E085922">
      <w:start w:val="1"/>
      <w:numFmt w:val="bullet"/>
      <w:lvlText w:val=""/>
      <w:lvlPicBulletId w:val="0"/>
      <w:lvlJc w:val="left"/>
      <w:pPr>
        <w:tabs>
          <w:tab w:val="num" w:pos="720"/>
        </w:tabs>
        <w:ind w:left="720" w:hanging="360"/>
      </w:pPr>
      <w:rPr>
        <w:rFonts w:ascii="Symbol" w:hAnsi="Symbol" w:hint="default"/>
      </w:rPr>
    </w:lvl>
    <w:lvl w:ilvl="1" w:tplc="E2A42F32">
      <w:start w:val="1"/>
      <w:numFmt w:val="bullet"/>
      <w:lvlText w:val=""/>
      <w:lvlPicBulletId w:val="0"/>
      <w:lvlJc w:val="left"/>
      <w:pPr>
        <w:tabs>
          <w:tab w:val="num" w:pos="1440"/>
        </w:tabs>
        <w:ind w:left="1440" w:hanging="360"/>
      </w:pPr>
      <w:rPr>
        <w:rFonts w:ascii="Symbol" w:hAnsi="Symbol" w:hint="default"/>
      </w:rPr>
    </w:lvl>
    <w:lvl w:ilvl="2" w:tplc="18E213AC" w:tentative="1">
      <w:start w:val="1"/>
      <w:numFmt w:val="bullet"/>
      <w:lvlText w:val=""/>
      <w:lvlPicBulletId w:val="0"/>
      <w:lvlJc w:val="left"/>
      <w:pPr>
        <w:tabs>
          <w:tab w:val="num" w:pos="2160"/>
        </w:tabs>
        <w:ind w:left="2160" w:hanging="360"/>
      </w:pPr>
      <w:rPr>
        <w:rFonts w:ascii="Symbol" w:hAnsi="Symbol" w:hint="default"/>
      </w:rPr>
    </w:lvl>
    <w:lvl w:ilvl="3" w:tplc="32C29CE6" w:tentative="1">
      <w:start w:val="1"/>
      <w:numFmt w:val="bullet"/>
      <w:lvlText w:val=""/>
      <w:lvlPicBulletId w:val="0"/>
      <w:lvlJc w:val="left"/>
      <w:pPr>
        <w:tabs>
          <w:tab w:val="num" w:pos="2880"/>
        </w:tabs>
        <w:ind w:left="2880" w:hanging="360"/>
      </w:pPr>
      <w:rPr>
        <w:rFonts w:ascii="Symbol" w:hAnsi="Symbol" w:hint="default"/>
      </w:rPr>
    </w:lvl>
    <w:lvl w:ilvl="4" w:tplc="8D624D50" w:tentative="1">
      <w:start w:val="1"/>
      <w:numFmt w:val="bullet"/>
      <w:lvlText w:val=""/>
      <w:lvlPicBulletId w:val="0"/>
      <w:lvlJc w:val="left"/>
      <w:pPr>
        <w:tabs>
          <w:tab w:val="num" w:pos="3600"/>
        </w:tabs>
        <w:ind w:left="3600" w:hanging="360"/>
      </w:pPr>
      <w:rPr>
        <w:rFonts w:ascii="Symbol" w:hAnsi="Symbol" w:hint="default"/>
      </w:rPr>
    </w:lvl>
    <w:lvl w:ilvl="5" w:tplc="65A6F9C6" w:tentative="1">
      <w:start w:val="1"/>
      <w:numFmt w:val="bullet"/>
      <w:lvlText w:val=""/>
      <w:lvlPicBulletId w:val="0"/>
      <w:lvlJc w:val="left"/>
      <w:pPr>
        <w:tabs>
          <w:tab w:val="num" w:pos="4320"/>
        </w:tabs>
        <w:ind w:left="4320" w:hanging="360"/>
      </w:pPr>
      <w:rPr>
        <w:rFonts w:ascii="Symbol" w:hAnsi="Symbol" w:hint="default"/>
      </w:rPr>
    </w:lvl>
    <w:lvl w:ilvl="6" w:tplc="BF12A44A" w:tentative="1">
      <w:start w:val="1"/>
      <w:numFmt w:val="bullet"/>
      <w:lvlText w:val=""/>
      <w:lvlPicBulletId w:val="0"/>
      <w:lvlJc w:val="left"/>
      <w:pPr>
        <w:tabs>
          <w:tab w:val="num" w:pos="5040"/>
        </w:tabs>
        <w:ind w:left="5040" w:hanging="360"/>
      </w:pPr>
      <w:rPr>
        <w:rFonts w:ascii="Symbol" w:hAnsi="Symbol" w:hint="default"/>
      </w:rPr>
    </w:lvl>
    <w:lvl w:ilvl="7" w:tplc="30B63522" w:tentative="1">
      <w:start w:val="1"/>
      <w:numFmt w:val="bullet"/>
      <w:lvlText w:val=""/>
      <w:lvlPicBulletId w:val="0"/>
      <w:lvlJc w:val="left"/>
      <w:pPr>
        <w:tabs>
          <w:tab w:val="num" w:pos="5760"/>
        </w:tabs>
        <w:ind w:left="5760" w:hanging="360"/>
      </w:pPr>
      <w:rPr>
        <w:rFonts w:ascii="Symbol" w:hAnsi="Symbol" w:hint="default"/>
      </w:rPr>
    </w:lvl>
    <w:lvl w:ilvl="8" w:tplc="CE006B58" w:tentative="1">
      <w:start w:val="1"/>
      <w:numFmt w:val="bullet"/>
      <w:lvlText w:val=""/>
      <w:lvlPicBulletId w:val="0"/>
      <w:lvlJc w:val="left"/>
      <w:pPr>
        <w:tabs>
          <w:tab w:val="num" w:pos="6480"/>
        </w:tabs>
        <w:ind w:left="6480" w:hanging="360"/>
      </w:pPr>
      <w:rPr>
        <w:rFonts w:ascii="Symbol" w:hAnsi="Symbol" w:hint="default"/>
      </w:rPr>
    </w:lvl>
  </w:abstractNum>
  <w:abstractNum w:abstractNumId="19">
    <w:nsid w:val="7B617A84"/>
    <w:multiLevelType w:val="multilevel"/>
    <w:tmpl w:val="BDB8C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2"/>
  </w:num>
  <w:num w:numId="2">
    <w:abstractNumId w:val="17"/>
  </w:num>
  <w:num w:numId="3">
    <w:abstractNumId w:val="18"/>
  </w:num>
  <w:num w:numId="4">
    <w:abstractNumId w:val="1"/>
  </w:num>
  <w:num w:numId="5">
    <w:abstractNumId w:val="6"/>
  </w:num>
  <w:num w:numId="6">
    <w:abstractNumId w:val="0"/>
  </w:num>
  <w:num w:numId="7">
    <w:abstractNumId w:val="2"/>
  </w:num>
  <w:num w:numId="8">
    <w:abstractNumId w:val="10"/>
  </w:num>
  <w:num w:numId="9">
    <w:abstractNumId w:val="11"/>
  </w:num>
  <w:num w:numId="10">
    <w:abstractNumId w:val="16"/>
  </w:num>
  <w:num w:numId="11">
    <w:abstractNumId w:val="5"/>
  </w:num>
  <w:num w:numId="12">
    <w:abstractNumId w:val="13"/>
  </w:num>
  <w:num w:numId="13">
    <w:abstractNumId w:val="4"/>
  </w:num>
  <w:num w:numId="14">
    <w:abstractNumId w:val="9"/>
  </w:num>
  <w:num w:numId="15">
    <w:abstractNumId w:val="3"/>
  </w:num>
  <w:num w:numId="16">
    <w:abstractNumId w:val="7"/>
  </w:num>
  <w:num w:numId="17">
    <w:abstractNumId w:val="8"/>
  </w:num>
  <w:num w:numId="18">
    <w:abstractNumId w:val="15"/>
  </w:num>
  <w:num w:numId="19">
    <w:abstractNumId w:val="19"/>
  </w:num>
  <w:num w:numId="20">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BD64E0"/>
    <w:rsid w:val="000825DA"/>
    <w:rsid w:val="000B2D32"/>
    <w:rsid w:val="000F3472"/>
    <w:rsid w:val="00160098"/>
    <w:rsid w:val="001736F3"/>
    <w:rsid w:val="001842C5"/>
    <w:rsid w:val="001A229E"/>
    <w:rsid w:val="00201B96"/>
    <w:rsid w:val="00217146"/>
    <w:rsid w:val="00223F61"/>
    <w:rsid w:val="00264BAC"/>
    <w:rsid w:val="00271671"/>
    <w:rsid w:val="002B128C"/>
    <w:rsid w:val="002F5A49"/>
    <w:rsid w:val="00323134"/>
    <w:rsid w:val="00337424"/>
    <w:rsid w:val="003727B9"/>
    <w:rsid w:val="004655DE"/>
    <w:rsid w:val="004745EA"/>
    <w:rsid w:val="005B4FE0"/>
    <w:rsid w:val="005C0193"/>
    <w:rsid w:val="005E29BA"/>
    <w:rsid w:val="0063243D"/>
    <w:rsid w:val="00694A75"/>
    <w:rsid w:val="007A7214"/>
    <w:rsid w:val="007E10AF"/>
    <w:rsid w:val="007E62E4"/>
    <w:rsid w:val="00824F8C"/>
    <w:rsid w:val="008676E3"/>
    <w:rsid w:val="00874B38"/>
    <w:rsid w:val="008C25A0"/>
    <w:rsid w:val="008E47C1"/>
    <w:rsid w:val="0090430C"/>
    <w:rsid w:val="00920EC2"/>
    <w:rsid w:val="009A204F"/>
    <w:rsid w:val="00A55C4A"/>
    <w:rsid w:val="00AE206B"/>
    <w:rsid w:val="00B25D40"/>
    <w:rsid w:val="00B41D38"/>
    <w:rsid w:val="00BD64E0"/>
    <w:rsid w:val="00C53C91"/>
    <w:rsid w:val="00C762E2"/>
    <w:rsid w:val="00CD1A1C"/>
    <w:rsid w:val="00D16F6D"/>
    <w:rsid w:val="00D72B94"/>
    <w:rsid w:val="00DB63D0"/>
    <w:rsid w:val="00DE5701"/>
    <w:rsid w:val="00E64239"/>
    <w:rsid w:val="00E74031"/>
    <w:rsid w:val="00EF460C"/>
    <w:rsid w:val="00FA113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B38"/>
  </w:style>
  <w:style w:type="paragraph" w:styleId="Titre2">
    <w:name w:val="heading 2"/>
    <w:basedOn w:val="Normal"/>
    <w:link w:val="Titre2Car"/>
    <w:uiPriority w:val="9"/>
    <w:qFormat/>
    <w:rsid w:val="00A55C4A"/>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BD64E0"/>
    <w:pPr>
      <w:ind w:left="720"/>
      <w:contextualSpacing/>
    </w:pPr>
  </w:style>
  <w:style w:type="paragraph" w:customStyle="1" w:styleId="Default">
    <w:name w:val="Default"/>
    <w:rsid w:val="00BD64E0"/>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A55C4A"/>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A55C4A"/>
  </w:style>
  <w:style w:type="paragraph" w:styleId="Pieddepage">
    <w:name w:val="footer"/>
    <w:basedOn w:val="Normal"/>
    <w:link w:val="PieddepageCar"/>
    <w:uiPriority w:val="99"/>
    <w:semiHidden/>
    <w:unhideWhenUsed/>
    <w:rsid w:val="00A55C4A"/>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A55C4A"/>
  </w:style>
  <w:style w:type="character" w:customStyle="1" w:styleId="Titre2Car">
    <w:name w:val="Titre 2 Car"/>
    <w:basedOn w:val="Policepardfaut"/>
    <w:link w:val="Titre2"/>
    <w:uiPriority w:val="9"/>
    <w:rsid w:val="00A55C4A"/>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A55C4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A55C4A"/>
    <w:rPr>
      <w:color w:val="0000FF"/>
      <w:u w:val="single"/>
    </w:rPr>
  </w:style>
  <w:style w:type="character" w:customStyle="1" w:styleId="file-with-file-info">
    <w:name w:val="file-with-file-info"/>
    <w:basedOn w:val="Policepardfaut"/>
    <w:rsid w:val="00A55C4A"/>
  </w:style>
  <w:style w:type="character" w:styleId="lev">
    <w:name w:val="Strong"/>
    <w:basedOn w:val="Policepardfaut"/>
    <w:uiPriority w:val="22"/>
    <w:qFormat/>
    <w:rsid w:val="008E47C1"/>
    <w:rPr>
      <w:b/>
      <w:bCs/>
    </w:rPr>
  </w:style>
  <w:style w:type="paragraph" w:styleId="Textedebulles">
    <w:name w:val="Balloon Text"/>
    <w:basedOn w:val="Normal"/>
    <w:link w:val="TextedebullesCar"/>
    <w:uiPriority w:val="99"/>
    <w:semiHidden/>
    <w:unhideWhenUsed/>
    <w:rsid w:val="00223F61"/>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23F6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2022666">
      <w:bodyDiv w:val="1"/>
      <w:marLeft w:val="0"/>
      <w:marRight w:val="0"/>
      <w:marTop w:val="0"/>
      <w:marBottom w:val="0"/>
      <w:divBdr>
        <w:top w:val="none" w:sz="0" w:space="0" w:color="auto"/>
        <w:left w:val="none" w:sz="0" w:space="0" w:color="auto"/>
        <w:bottom w:val="none" w:sz="0" w:space="0" w:color="auto"/>
        <w:right w:val="none" w:sz="0" w:space="0" w:color="auto"/>
      </w:divBdr>
    </w:div>
    <w:div w:id="666517022">
      <w:bodyDiv w:val="1"/>
      <w:marLeft w:val="0"/>
      <w:marRight w:val="0"/>
      <w:marTop w:val="0"/>
      <w:marBottom w:val="0"/>
      <w:divBdr>
        <w:top w:val="none" w:sz="0" w:space="0" w:color="auto"/>
        <w:left w:val="none" w:sz="0" w:space="0" w:color="auto"/>
        <w:bottom w:val="none" w:sz="0" w:space="0" w:color="auto"/>
        <w:right w:val="none" w:sz="0" w:space="0" w:color="auto"/>
      </w:divBdr>
      <w:divsChild>
        <w:div w:id="441806426">
          <w:marLeft w:val="533"/>
          <w:marRight w:val="0"/>
          <w:marTop w:val="350"/>
          <w:marBottom w:val="0"/>
          <w:divBdr>
            <w:top w:val="none" w:sz="0" w:space="0" w:color="auto"/>
            <w:left w:val="none" w:sz="0" w:space="0" w:color="auto"/>
            <w:bottom w:val="none" w:sz="0" w:space="0" w:color="auto"/>
            <w:right w:val="none" w:sz="0" w:space="0" w:color="auto"/>
          </w:divBdr>
        </w:div>
      </w:divsChild>
    </w:div>
    <w:div w:id="1153062344">
      <w:bodyDiv w:val="1"/>
      <w:marLeft w:val="0"/>
      <w:marRight w:val="0"/>
      <w:marTop w:val="0"/>
      <w:marBottom w:val="0"/>
      <w:divBdr>
        <w:top w:val="none" w:sz="0" w:space="0" w:color="auto"/>
        <w:left w:val="none" w:sz="0" w:space="0" w:color="auto"/>
        <w:bottom w:val="none" w:sz="0" w:space="0" w:color="auto"/>
        <w:right w:val="none" w:sz="0" w:space="0" w:color="auto"/>
      </w:divBdr>
    </w:div>
    <w:div w:id="1931961321">
      <w:bodyDiv w:val="1"/>
      <w:marLeft w:val="0"/>
      <w:marRight w:val="0"/>
      <w:marTop w:val="0"/>
      <w:marBottom w:val="0"/>
      <w:divBdr>
        <w:top w:val="none" w:sz="0" w:space="0" w:color="auto"/>
        <w:left w:val="none" w:sz="0" w:space="0" w:color="auto"/>
        <w:bottom w:val="none" w:sz="0" w:space="0" w:color="auto"/>
        <w:right w:val="none" w:sz="0" w:space="0" w:color="auto"/>
      </w:divBdr>
      <w:divsChild>
        <w:div w:id="918440164">
          <w:marLeft w:val="446"/>
          <w:marRight w:val="0"/>
          <w:marTop w:val="315"/>
          <w:marBottom w:val="0"/>
          <w:divBdr>
            <w:top w:val="none" w:sz="0" w:space="0" w:color="auto"/>
            <w:left w:val="none" w:sz="0" w:space="0" w:color="auto"/>
            <w:bottom w:val="none" w:sz="0" w:space="0" w:color="auto"/>
            <w:right w:val="none" w:sz="0" w:space="0" w:color="auto"/>
          </w:divBdr>
        </w:div>
      </w:divsChild>
    </w:div>
    <w:div w:id="2135707379">
      <w:bodyDiv w:val="1"/>
      <w:marLeft w:val="0"/>
      <w:marRight w:val="0"/>
      <w:marTop w:val="0"/>
      <w:marBottom w:val="0"/>
      <w:divBdr>
        <w:top w:val="none" w:sz="0" w:space="0" w:color="auto"/>
        <w:left w:val="none" w:sz="0" w:space="0" w:color="auto"/>
        <w:bottom w:val="none" w:sz="0" w:space="0" w:color="auto"/>
        <w:right w:val="none" w:sz="0" w:space="0" w:color="auto"/>
      </w:divBdr>
      <w:divsChild>
        <w:div w:id="364598008">
          <w:marLeft w:val="533"/>
          <w:marRight w:val="0"/>
          <w:marTop w:val="350"/>
          <w:marBottom w:val="0"/>
          <w:divBdr>
            <w:top w:val="none" w:sz="0" w:space="0" w:color="auto"/>
            <w:left w:val="none" w:sz="0" w:space="0" w:color="auto"/>
            <w:bottom w:val="none" w:sz="0" w:space="0" w:color="auto"/>
            <w:right w:val="none" w:sz="0" w:space="0" w:color="auto"/>
          </w:divBdr>
        </w:div>
        <w:div w:id="637299390">
          <w:marLeft w:val="1166"/>
          <w:marRight w:val="0"/>
          <w:marTop w:val="0"/>
          <w:marBottom w:val="0"/>
          <w:divBdr>
            <w:top w:val="none" w:sz="0" w:space="0" w:color="auto"/>
            <w:left w:val="none" w:sz="0" w:space="0" w:color="auto"/>
            <w:bottom w:val="none" w:sz="0" w:space="0" w:color="auto"/>
            <w:right w:val="none" w:sz="0" w:space="0" w:color="auto"/>
          </w:divBdr>
        </w:div>
        <w:div w:id="287973980">
          <w:marLeft w:val="1166"/>
          <w:marRight w:val="0"/>
          <w:marTop w:val="0"/>
          <w:marBottom w:val="0"/>
          <w:divBdr>
            <w:top w:val="none" w:sz="0" w:space="0" w:color="auto"/>
            <w:left w:val="none" w:sz="0" w:space="0" w:color="auto"/>
            <w:bottom w:val="none" w:sz="0" w:space="0" w:color="auto"/>
            <w:right w:val="none" w:sz="0" w:space="0" w:color="auto"/>
          </w:divBdr>
        </w:div>
        <w:div w:id="814377051">
          <w:marLeft w:val="1166"/>
          <w:marRight w:val="0"/>
          <w:marTop w:val="0"/>
          <w:marBottom w:val="0"/>
          <w:divBdr>
            <w:top w:val="none" w:sz="0" w:space="0" w:color="auto"/>
            <w:left w:val="none" w:sz="0" w:space="0" w:color="auto"/>
            <w:bottom w:val="none" w:sz="0" w:space="0" w:color="auto"/>
            <w:right w:val="none" w:sz="0" w:space="0" w:color="auto"/>
          </w:divBdr>
        </w:div>
        <w:div w:id="96604688">
          <w:marLeft w:val="116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conomie.fgov.be/fr/themes/qualite-securite/normalisation/les-centres-collectifs" TargetMode="External"/><Relationship Id="rId13" Type="http://schemas.openxmlformats.org/officeDocument/2006/relationships/hyperlink" Target="http://www.iso.org/iso/fr/home.htm" TargetMode="External"/><Relationship Id="rId18" Type="http://schemas.openxmlformats.org/officeDocument/2006/relationships/hyperlink" Target="https://economie.fgov.be/fr/themes/qualite-securite/normalisation/conseil-superieur-de"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economie.fgov.be/sites/default/files/Files/Quality-and-Security/Overeenkomst-FOD-Economie-NBN-Actieprogramma.pdf" TargetMode="External"/><Relationship Id="rId7" Type="http://schemas.openxmlformats.org/officeDocument/2006/relationships/hyperlink" Target="https://economie.fgov.be/fr/themes/qualite-securite/normalisation/les-etudes-de-prenormalisation" TargetMode="External"/><Relationship Id="rId12" Type="http://schemas.openxmlformats.org/officeDocument/2006/relationships/hyperlink" Target="http://www.etsi.org/WebSite/homepage.aspx" TargetMode="External"/><Relationship Id="rId17" Type="http://schemas.openxmlformats.org/officeDocument/2006/relationships/hyperlink" Target="https://economie.fgov.be/fr/themes/qualite-securite/normalisation/les-centres-collectif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nbn.be/fr/d%C3%A9velopper-des-normes/op%C3%A9rateurs-sectoriels" TargetMode="External"/><Relationship Id="rId20" Type="http://schemas.openxmlformats.org/officeDocument/2006/relationships/hyperlink" Target="https://economie.fgov.be/sites/default/files/Files/Quality-and-Security/Convention-SPF-economie-NBN.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enelec.eu/" TargetMode="External"/><Relationship Id="rId24"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hyperlink" Target="http://www.itu.int/fr/Pages/default.aspx" TargetMode="External"/><Relationship Id="rId23" Type="http://schemas.openxmlformats.org/officeDocument/2006/relationships/image" Target="media/image3.emf"/><Relationship Id="rId10" Type="http://schemas.openxmlformats.org/officeDocument/2006/relationships/hyperlink" Target="http://www.cen.eu/cen/pages/default.aspx" TargetMode="External"/><Relationship Id="rId19" Type="http://schemas.openxmlformats.org/officeDocument/2006/relationships/hyperlink" Target="https://www.nbn.be/fr" TargetMode="External"/><Relationship Id="rId4" Type="http://schemas.openxmlformats.org/officeDocument/2006/relationships/webSettings" Target="webSettings.xml"/><Relationship Id="rId9" Type="http://schemas.openxmlformats.org/officeDocument/2006/relationships/hyperlink" Target="http://www.nbn.be/fr" TargetMode="External"/><Relationship Id="rId14" Type="http://schemas.openxmlformats.org/officeDocument/2006/relationships/hyperlink" Target="http://www.iec.ch/" TargetMode="External"/><Relationship Id="rId22" Type="http://schemas.openxmlformats.org/officeDocument/2006/relationships/hyperlink" Target="https://economie.fgov.be/sites/default/files/Files/Quality-and-Security/Action-plan-2018-Dutch-translation-of-standards.pdf" TargetMode="Externa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1759</TotalTime>
  <Pages>13</Pages>
  <Words>3989</Words>
  <Characters>21940</Characters>
  <Application>Microsoft Office Word</Application>
  <DocSecurity>0</DocSecurity>
  <Lines>182</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21</cp:revision>
  <dcterms:created xsi:type="dcterms:W3CDTF">2018-10-12T22:00:00Z</dcterms:created>
  <dcterms:modified xsi:type="dcterms:W3CDTF">2020-11-08T05:49:00Z</dcterms:modified>
</cp:coreProperties>
</file>