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49D5" w14:textId="77777777" w:rsidR="00BA1C5C" w:rsidRPr="00E37D65" w:rsidRDefault="00631924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FBC39" wp14:editId="4CE4BB2F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333FA85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195F5E60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7AB45539" w14:textId="51C8F211"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7B0E5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التسيير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</w:t>
      </w:r>
      <w:r w:rsidR="007B0E5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7B0E5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ادارة الموارد البشرية</w:t>
      </w:r>
    </w:p>
    <w:p w14:paraId="73366F6E" w14:textId="799ED443" w:rsidR="00C77C87" w:rsidRPr="00E37D65" w:rsidRDefault="00F203DC" w:rsidP="007B0E5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7B0E5F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>د. دبلة فاتح</w:t>
      </w:r>
      <w:r w:rsidR="008A6DC0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86117B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</w:t>
      </w:r>
      <w:r w:rsidR="007B0E5F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</w:t>
      </w:r>
      <w:r w:rsidR="0086117B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</w:t>
      </w:r>
      <w:r w:rsidR="007B0E5F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                  </w:t>
      </w:r>
      <w:r w:rsidR="0086117B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</w:t>
      </w:r>
      <w:r w:rsidR="008A6DC0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  <w:r w:rsidR="00536A4D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7B0E5F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>تدقيق اجتماعي</w:t>
      </w:r>
    </w:p>
    <w:p w14:paraId="0A5DB564" w14:textId="19B146DA" w:rsidR="00EB59E2" w:rsidRPr="00E37D65" w:rsidRDefault="00536A4D" w:rsidP="008A6DC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B0E5F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>الثانية ماستر</w:t>
      </w:r>
      <w:r w:rsidR="00845F0B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</w:t>
      </w:r>
      <w:r w:rsidR="007B0E5F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                                   </w:t>
      </w:r>
      <w:r w:rsidR="00845F0B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7B0E5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: </w:t>
      </w:r>
      <w:r w:rsidR="007B0E5F" w:rsidRPr="007B0E5F">
        <w:rPr>
          <w:rFonts w:ascii="Sakkal Majalla" w:hAnsi="Sakkal Majalla" w:cs="Sakkal Majalla" w:hint="cs"/>
          <w:sz w:val="36"/>
          <w:szCs w:val="36"/>
          <w:rtl/>
          <w:lang w:bidi="ar-DZ"/>
        </w:rPr>
        <w:t>الثالث</w:t>
      </w:r>
    </w:p>
    <w:tbl>
      <w:tblPr>
        <w:tblStyle w:val="TableGrid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14:paraId="6F28CC55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48047C7E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4A4B37AD" w14:textId="77777777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0B33BB90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5AAF3F54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101D6651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14:paraId="52EADB03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16E0D4AA" w14:textId="77777777"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7B0E5F" w:rsidRPr="0086117B" w14:paraId="42502463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42A3D159" w14:textId="77777777" w:rsidR="007B0E5F" w:rsidRPr="0086117B" w:rsidRDefault="007B0E5F" w:rsidP="007B0E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14:paraId="35FC3F90" w14:textId="0F8C4F5A" w:rsidR="007B0E5F" w:rsidRPr="00BE3A83" w:rsidRDefault="007B0E5F" w:rsidP="00BF47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محاضرة تمهيدية</w:t>
            </w:r>
          </w:p>
          <w:p w14:paraId="21A31395" w14:textId="0C18D7B6" w:rsidR="007B0E5F" w:rsidRPr="00BE3A83" w:rsidRDefault="007B0E5F" w:rsidP="00BF47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254" w:type="dxa"/>
          </w:tcPr>
          <w:p w14:paraId="08634FAF" w14:textId="3503EAC1" w:rsidR="007B0E5F" w:rsidRPr="00BE3A83" w:rsidRDefault="007B0E5F" w:rsidP="00BE3A8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1- </w:t>
            </w: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تقديم المقياس </w:t>
            </w:r>
          </w:p>
          <w:p w14:paraId="62431381" w14:textId="4BA87E0E" w:rsidR="007B0E5F" w:rsidRPr="00BE3A83" w:rsidRDefault="007B0E5F" w:rsidP="00BE3A8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مراجعة المفاهيم المفتاحية لادارة الموارد البشرية</w:t>
            </w:r>
          </w:p>
        </w:tc>
      </w:tr>
      <w:tr w:rsidR="007B0E5F" w:rsidRPr="0086117B" w14:paraId="29AE851A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1790D2B8" w14:textId="77777777" w:rsidR="007B0E5F" w:rsidRPr="0086117B" w:rsidRDefault="007B0E5F" w:rsidP="007B0E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14:paraId="4FCDFCB3" w14:textId="78EB9508" w:rsidR="00BE3A83" w:rsidRPr="00504ADF" w:rsidRDefault="0042071C" w:rsidP="00BF472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تعريف </w:t>
            </w:r>
            <w:r w:rsidR="00BE3A83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التدقيق الاجتماعي</w:t>
            </w: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BE3A83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رهانات التدقيق الاجتماعي وفائدته بالنسبة للمؤسسة</w:t>
            </w:r>
          </w:p>
          <w:p w14:paraId="29F08DC6" w14:textId="1B3EF52F" w:rsidR="007B0E5F" w:rsidRPr="00504ADF" w:rsidRDefault="007B0E5F" w:rsidP="00BF4720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</w:tc>
        <w:tc>
          <w:tcPr>
            <w:tcW w:w="5254" w:type="dxa"/>
          </w:tcPr>
          <w:p w14:paraId="0C7BAFDD" w14:textId="41B647B9" w:rsidR="007B0E5F" w:rsidRPr="00504ADF" w:rsidRDefault="007B0E5F" w:rsidP="0042071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1- </w:t>
            </w:r>
            <w:r w:rsidR="00BE3A83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التعري</w:t>
            </w:r>
            <w:r w:rsidR="0042071C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</w:t>
            </w:r>
          </w:p>
          <w:p w14:paraId="6D619125" w14:textId="4B548859" w:rsidR="0042071C" w:rsidRPr="00504ADF" w:rsidRDefault="0042071C" w:rsidP="0042071C">
            <w:pPr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="007B0E5F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- </w:t>
            </w: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الغاية من التدقيق الاجتماعي وأثره على أداء المؤسسة</w:t>
            </w:r>
          </w:p>
          <w:p w14:paraId="7E9665B9" w14:textId="50C930D1" w:rsidR="00681674" w:rsidRPr="00504ADF" w:rsidRDefault="00681674" w:rsidP="003D61EA">
            <w:pPr>
              <w:pStyle w:val="NoSpacing"/>
              <w:bidi/>
              <w:rPr>
                <w:color w:val="000000" w:themeColor="text1"/>
                <w:rtl/>
              </w:rPr>
            </w:pPr>
            <w:r w:rsidRPr="00504ADF">
              <w:rPr>
                <w:rFonts w:hint="cs"/>
                <w:color w:val="000000" w:themeColor="text1"/>
                <w:rtl/>
                <w:lang w:bidi="ar-DZ"/>
              </w:rPr>
              <w:t>3</w:t>
            </w:r>
            <w:r w:rsidRPr="00504ADF">
              <w:rPr>
                <w:color w:val="000000" w:themeColor="text1"/>
                <w:rtl/>
                <w:lang w:bidi="ar-DZ"/>
              </w:rPr>
              <w:t xml:space="preserve">- </w:t>
            </w:r>
            <w:r w:rsidRPr="00504ADF">
              <w:rPr>
                <w:color w:val="000000" w:themeColor="text1"/>
                <w:rtl/>
              </w:rPr>
              <w:t>النشأة وتنوع الممارسات</w:t>
            </w:r>
          </w:p>
          <w:p w14:paraId="7413764E" w14:textId="1CD06B9D" w:rsidR="00681674" w:rsidRPr="00504ADF" w:rsidRDefault="00681674" w:rsidP="00397F7A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  <w:r w:rsidR="0042071C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071C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التدقيق الاجتماعي كأداة للتحليل وتحسين المناخ الاجتماعي</w:t>
            </w:r>
          </w:p>
        </w:tc>
      </w:tr>
      <w:tr w:rsidR="007B0E5F" w:rsidRPr="0086117B" w14:paraId="71147B97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2734F3D0" w14:textId="77777777" w:rsidR="007B0E5F" w:rsidRPr="0086117B" w:rsidRDefault="007B0E5F" w:rsidP="007B0E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14:paraId="6B56216E" w14:textId="68AA6810" w:rsidR="00681674" w:rsidRPr="00504ADF" w:rsidRDefault="00681674" w:rsidP="00BF472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منهجية </w:t>
            </w:r>
            <w:r w:rsidR="00BE3A83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التدقيق الاجتماعي</w:t>
            </w:r>
          </w:p>
          <w:p w14:paraId="357A4356" w14:textId="1A47CA4E" w:rsidR="00681674" w:rsidRPr="00504ADF" w:rsidRDefault="00681674" w:rsidP="00BF4720">
            <w:pPr>
              <w:bidi/>
              <w:ind w:left="360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</w:p>
        </w:tc>
        <w:tc>
          <w:tcPr>
            <w:tcW w:w="5254" w:type="dxa"/>
          </w:tcPr>
          <w:p w14:paraId="3CE82FD6" w14:textId="327FE7CE" w:rsidR="00931DC7" w:rsidRPr="00504ADF" w:rsidRDefault="00681674" w:rsidP="00504ADF">
            <w:pPr>
              <w:pStyle w:val="ListParagraph"/>
              <w:numPr>
                <w:ilvl w:val="0"/>
                <w:numId w:val="28"/>
              </w:numPr>
              <w:bidi/>
              <w:ind w:left="188" w:hanging="188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تحضير عملية تدقيق اجتماعي: استبانة، اختيار المدققين </w:t>
            </w:r>
            <w:r w:rsidR="00931DC7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631B4917" w14:textId="6A68F291" w:rsidR="00681674" w:rsidRPr="00504ADF" w:rsidRDefault="00931DC7" w:rsidP="00504ADF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681674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والمدققين</w:t>
            </w:r>
          </w:p>
          <w:p w14:paraId="28CFF05E" w14:textId="60B3E4AA" w:rsidR="00681674" w:rsidRPr="00504ADF" w:rsidRDefault="00931DC7" w:rsidP="00681674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681674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مباديء بناء دعامة منهجية للمدقق</w:t>
            </w:r>
          </w:p>
          <w:p w14:paraId="4C450709" w14:textId="6F8194CC" w:rsidR="00681674" w:rsidRPr="00504ADF" w:rsidRDefault="00931DC7" w:rsidP="00681674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681674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تقنيات القيام بمقابلات التدقيق </w:t>
            </w:r>
          </w:p>
          <w:p w14:paraId="41980C6A" w14:textId="77777777" w:rsidR="00931DC7" w:rsidRPr="00504ADF" w:rsidRDefault="00931DC7" w:rsidP="00931DC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4-ا</w:t>
            </w:r>
            <w:r w:rsidR="00681674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لأدوات الرئيسية للتدقيق الاجتماعي : مقابلات،</w:t>
            </w: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5EFED3E9" w14:textId="3114EA84" w:rsidR="007B0E5F" w:rsidRPr="00504ADF" w:rsidRDefault="00931DC7" w:rsidP="00931DC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681674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تحليل سوسيولوجي، تحليل احصائي.</w:t>
            </w:r>
          </w:p>
        </w:tc>
      </w:tr>
      <w:tr w:rsidR="00397F7A" w:rsidRPr="0086117B" w14:paraId="6136DFD1" w14:textId="77777777" w:rsidTr="00296D2F">
        <w:trPr>
          <w:jc w:val="center"/>
        </w:trPr>
        <w:tc>
          <w:tcPr>
            <w:tcW w:w="1305" w:type="dxa"/>
            <w:vAlign w:val="center"/>
            <w:hideMark/>
          </w:tcPr>
          <w:p w14:paraId="39D649EA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14:paraId="4A8D4755" w14:textId="77777777" w:rsidR="00397F7A" w:rsidRPr="00504ADF" w:rsidRDefault="00397F7A" w:rsidP="00BF472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قيادة مشروع التدقيق الاجتماعي</w:t>
            </w:r>
          </w:p>
          <w:p w14:paraId="6CDE6BCC" w14:textId="280971CC" w:rsidR="00397F7A" w:rsidRPr="00504ADF" w:rsidRDefault="00397F7A" w:rsidP="00BF472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</w:p>
        </w:tc>
        <w:tc>
          <w:tcPr>
            <w:tcW w:w="5254" w:type="dxa"/>
            <w:vAlign w:val="center"/>
          </w:tcPr>
          <w:p w14:paraId="1B5A8221" w14:textId="77777777" w:rsidR="00397F7A" w:rsidRPr="00504ADF" w:rsidRDefault="00397F7A" w:rsidP="00397F7A">
            <w:pPr>
              <w:pStyle w:val="ListParagraph"/>
              <w:numPr>
                <w:ilvl w:val="0"/>
                <w:numId w:val="29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تحليل الطلب وتحديد المخاطر الاجتماعية</w:t>
            </w:r>
          </w:p>
          <w:p w14:paraId="3EB85C67" w14:textId="77777777" w:rsidR="00397F7A" w:rsidRPr="00504ADF" w:rsidRDefault="00397F7A" w:rsidP="00397F7A">
            <w:pPr>
              <w:pStyle w:val="ListParagraph"/>
              <w:numPr>
                <w:ilvl w:val="0"/>
                <w:numId w:val="29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تحديد مجال التدخل</w:t>
            </w:r>
          </w:p>
          <w:p w14:paraId="7DA64004" w14:textId="77777777" w:rsidR="00397F7A" w:rsidRPr="00504ADF" w:rsidRDefault="00397F7A" w:rsidP="00397F7A">
            <w:pPr>
              <w:pStyle w:val="ListParagraph"/>
              <w:numPr>
                <w:ilvl w:val="0"/>
                <w:numId w:val="29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تعريف مؤشرات الأداء و وضع مرجعية للتدقيق الاجتماعي</w:t>
            </w:r>
          </w:p>
          <w:p w14:paraId="61848637" w14:textId="77777777" w:rsidR="00397F7A" w:rsidRPr="00504ADF" w:rsidRDefault="00397F7A" w:rsidP="00397F7A">
            <w:pPr>
              <w:pStyle w:val="ListParagraph"/>
              <w:numPr>
                <w:ilvl w:val="0"/>
                <w:numId w:val="29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نشر مسار التدقيق الاجتماعي: مقابلات، استبانات، تحقيقات.</w:t>
            </w:r>
          </w:p>
          <w:p w14:paraId="3C9C3C67" w14:textId="77777777" w:rsidR="00397F7A" w:rsidRPr="00504ADF" w:rsidRDefault="00397F7A" w:rsidP="00397F7A">
            <w:pPr>
              <w:pStyle w:val="ListParagraph"/>
              <w:numPr>
                <w:ilvl w:val="0"/>
                <w:numId w:val="29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تحليل ومناقشة النتائج: أداء، خطر، قيمة مضافة.</w:t>
            </w:r>
          </w:p>
          <w:p w14:paraId="6BA62DC5" w14:textId="24EE9571" w:rsidR="00397F7A" w:rsidRPr="00504ADF" w:rsidRDefault="00397F7A" w:rsidP="00397F7A">
            <w:pPr>
              <w:pStyle w:val="ListParagraph"/>
              <w:numPr>
                <w:ilvl w:val="0"/>
                <w:numId w:val="29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خلاصة التدقيق الاجتماعي وعرض </w:t>
            </w:r>
            <w:r w:rsid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ال</w:t>
            </w: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تقرير تبعا لأولويات التدخل.</w:t>
            </w:r>
          </w:p>
        </w:tc>
      </w:tr>
      <w:tr w:rsidR="00397F7A" w:rsidRPr="0086117B" w14:paraId="529CF079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11353B81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14:paraId="423890E4" w14:textId="761366F7" w:rsidR="00397F7A" w:rsidRPr="00504ADF" w:rsidRDefault="00397F7A" w:rsidP="00BF472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تنوع ممارسات التدقيق</w:t>
            </w:r>
          </w:p>
        </w:tc>
        <w:tc>
          <w:tcPr>
            <w:tcW w:w="5254" w:type="dxa"/>
          </w:tcPr>
          <w:p w14:paraId="61620F9C" w14:textId="77777777" w:rsidR="00397F7A" w:rsidRPr="00504ADF" w:rsidRDefault="00397F7A" w:rsidP="00397F7A">
            <w:pPr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1- </w:t>
            </w: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أدوات ومسار التدقيق الاجتماعي </w:t>
            </w:r>
          </w:p>
          <w:p w14:paraId="09FDB382" w14:textId="77777777" w:rsidR="00397F7A" w:rsidRPr="00504ADF" w:rsidRDefault="00397F7A" w:rsidP="00397F7A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2- التدقيق في اطار المصادقة</w:t>
            </w:r>
          </w:p>
          <w:p w14:paraId="2082BD17" w14:textId="64DC41EA" w:rsidR="00397F7A" w:rsidRPr="00504ADF" w:rsidRDefault="00397F7A" w:rsidP="00397F7A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- ممارسات التدقيق الاجتماعي خارج نطاق المصادقة والترخيص </w:t>
            </w:r>
          </w:p>
        </w:tc>
      </w:tr>
      <w:tr w:rsidR="00397F7A" w:rsidRPr="0086117B" w14:paraId="329F2A5A" w14:textId="77777777" w:rsidTr="00364A2B">
        <w:trPr>
          <w:jc w:val="center"/>
        </w:trPr>
        <w:tc>
          <w:tcPr>
            <w:tcW w:w="1305" w:type="dxa"/>
            <w:vAlign w:val="center"/>
          </w:tcPr>
          <w:p w14:paraId="69C238FB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14:paraId="0F40C42F" w14:textId="0C49167F" w:rsidR="00397F7A" w:rsidRPr="00504ADF" w:rsidRDefault="00397F7A" w:rsidP="00397F7A">
            <w:pPr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مختلف حقول التطبيق للتدقيق الاجتماعي</w:t>
            </w:r>
            <w:r w:rsidR="004B4407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14:paraId="5B10EC05" w14:textId="04F89526" w:rsidR="00397F7A" w:rsidRPr="00504ADF" w:rsidRDefault="004B4407" w:rsidP="004B4407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أولا، </w:t>
            </w:r>
            <w:r w:rsidR="00397F7A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تدقيق وظيفة الموارد البشرية</w:t>
            </w: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397F7A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تدقيق العمليات</w:t>
            </w:r>
          </w:p>
        </w:tc>
        <w:tc>
          <w:tcPr>
            <w:tcW w:w="5254" w:type="dxa"/>
          </w:tcPr>
          <w:p w14:paraId="76A3D54A" w14:textId="68AB4133" w:rsidR="004B4407" w:rsidRPr="00504ADF" w:rsidRDefault="004B4407" w:rsidP="004B4407">
            <w:pPr>
              <w:pStyle w:val="ListParagraph"/>
              <w:numPr>
                <w:ilvl w:val="0"/>
                <w:numId w:val="31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تدقيق وظيفة الموارد البشرية </w:t>
            </w:r>
          </w:p>
          <w:p w14:paraId="7F551D9E" w14:textId="3066E675" w:rsidR="004B4407" w:rsidRPr="00504ADF" w:rsidRDefault="00397F7A" w:rsidP="004B4407">
            <w:pPr>
              <w:pStyle w:val="ListParagraph"/>
              <w:numPr>
                <w:ilvl w:val="0"/>
                <w:numId w:val="31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تدقيق المطابقة واحترام الالتزامات القانونية والتعاقدية</w:t>
            </w:r>
          </w:p>
          <w:p w14:paraId="1F6750B7" w14:textId="77777777" w:rsidR="004B4407" w:rsidRPr="00504ADF" w:rsidRDefault="00397F7A" w:rsidP="004B4407">
            <w:pPr>
              <w:pStyle w:val="ListParagraph"/>
              <w:numPr>
                <w:ilvl w:val="0"/>
                <w:numId w:val="31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تدقيق اداء ممارسات تسيير ادارة الموارد البشرية </w:t>
            </w:r>
          </w:p>
          <w:p w14:paraId="5ADC6645" w14:textId="77777777" w:rsidR="004B4407" w:rsidRPr="00504ADF" w:rsidRDefault="00397F7A" w:rsidP="004B4407">
            <w:pPr>
              <w:pStyle w:val="ListParagraph"/>
              <w:numPr>
                <w:ilvl w:val="0"/>
                <w:numId w:val="31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تدقيق الاتصال الداخلي وتحديد النقائص ورهانات السلطة</w:t>
            </w:r>
          </w:p>
          <w:p w14:paraId="057C2BFD" w14:textId="77777777" w:rsidR="004B4407" w:rsidRPr="00504ADF" w:rsidRDefault="00397F7A" w:rsidP="004B4407">
            <w:pPr>
              <w:pStyle w:val="ListParagraph"/>
              <w:numPr>
                <w:ilvl w:val="0"/>
                <w:numId w:val="31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تدقيق المناخ الاجتماعي والمسؤولية الاجتماعية للمؤسسة</w:t>
            </w:r>
          </w:p>
          <w:p w14:paraId="0577C44C" w14:textId="77777777" w:rsidR="004B4407" w:rsidRPr="00504ADF" w:rsidRDefault="00397F7A" w:rsidP="004B4407">
            <w:pPr>
              <w:pStyle w:val="ListParagraph"/>
              <w:numPr>
                <w:ilvl w:val="0"/>
                <w:numId w:val="31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تدقيق التحفيز والاعتراف المهني</w:t>
            </w:r>
          </w:p>
          <w:p w14:paraId="353E5066" w14:textId="5717583F" w:rsidR="00397F7A" w:rsidRPr="00504ADF" w:rsidRDefault="00397F7A" w:rsidP="004B4407">
            <w:pPr>
              <w:pStyle w:val="ListParagraph"/>
              <w:numPr>
                <w:ilvl w:val="0"/>
                <w:numId w:val="31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تدقيق نوعية نظام التسيير وشروط العمل</w:t>
            </w:r>
          </w:p>
        </w:tc>
      </w:tr>
      <w:tr w:rsidR="00397F7A" w:rsidRPr="0086117B" w14:paraId="5AD1A45D" w14:textId="77777777" w:rsidTr="00364A2B">
        <w:trPr>
          <w:jc w:val="center"/>
        </w:trPr>
        <w:tc>
          <w:tcPr>
            <w:tcW w:w="1305" w:type="dxa"/>
            <w:vAlign w:val="center"/>
          </w:tcPr>
          <w:p w14:paraId="1F289B9C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14:paraId="73E66C23" w14:textId="6FE7D296" w:rsidR="00397F7A" w:rsidRPr="00504ADF" w:rsidRDefault="004B4407" w:rsidP="004B440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ثانيا، </w:t>
            </w: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تدقيق </w:t>
            </w:r>
            <w:r w:rsidR="00397F7A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العمليات</w:t>
            </w: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397F7A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تدقيق الأداء للموارد البشرية</w:t>
            </w:r>
          </w:p>
        </w:tc>
        <w:tc>
          <w:tcPr>
            <w:tcW w:w="5254" w:type="dxa"/>
          </w:tcPr>
          <w:p w14:paraId="2C369F0F" w14:textId="37C60BF6" w:rsidR="00397F7A" w:rsidRPr="00504ADF" w:rsidRDefault="00397F7A" w:rsidP="00397F7A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1- </w:t>
            </w:r>
            <w:r w:rsidR="00F95E8E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تدقيقات القيام بالتغيير (قيادة التغيير)</w:t>
            </w:r>
          </w:p>
          <w:p w14:paraId="4680D9AA" w14:textId="43C5A379" w:rsidR="00397F7A" w:rsidRPr="00504ADF" w:rsidRDefault="00397F7A" w:rsidP="00397F7A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2- </w:t>
            </w:r>
            <w:r w:rsidR="00F95E8E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تدقيقات التوافق الاستراتيجي والملائمة</w:t>
            </w:r>
          </w:p>
          <w:p w14:paraId="665D3975" w14:textId="7D451646" w:rsidR="00397F7A" w:rsidRPr="00504ADF" w:rsidRDefault="00397F7A" w:rsidP="004B440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3- </w:t>
            </w:r>
            <w:r w:rsidR="00F95E8E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تدقيق تفعيل استراتيجيات المكافآت</w:t>
            </w:r>
          </w:p>
          <w:p w14:paraId="710152C8" w14:textId="1BBBD445" w:rsidR="00F95E8E" w:rsidRPr="00504ADF" w:rsidRDefault="00F95E8E" w:rsidP="00F95E8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4- تدقيق استراتيجية التكوين والتدريب</w:t>
            </w:r>
          </w:p>
        </w:tc>
      </w:tr>
      <w:tr w:rsidR="00397F7A" w:rsidRPr="0086117B" w14:paraId="2F2A9912" w14:textId="77777777" w:rsidTr="00364A2B">
        <w:trPr>
          <w:jc w:val="center"/>
        </w:trPr>
        <w:tc>
          <w:tcPr>
            <w:tcW w:w="1305" w:type="dxa"/>
            <w:vAlign w:val="center"/>
          </w:tcPr>
          <w:p w14:paraId="379B583B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14:paraId="785A61F2" w14:textId="75736F49" w:rsidR="00397F7A" w:rsidRPr="00504ADF" w:rsidRDefault="00397F7A" w:rsidP="00F95E8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val="fr-CA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fr-CA"/>
              </w:rPr>
              <w:t>تدقيق المسؤولية الاجتماعية</w:t>
            </w:r>
            <w:r w:rsidR="00F95E8E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fr-CA"/>
              </w:rPr>
              <w:t xml:space="preserve"> والتزاماتها:</w:t>
            </w:r>
          </w:p>
          <w:p w14:paraId="5D949E1B" w14:textId="518F7853" w:rsidR="00397F7A" w:rsidRPr="00504ADF" w:rsidRDefault="008E63BF" w:rsidP="00F95E8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fr-CA"/>
              </w:rPr>
              <w:t xml:space="preserve">أولا دراسة حالة </w:t>
            </w:r>
            <w:r w:rsidR="00397F7A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fr-CA"/>
              </w:rPr>
              <w:t>شركة نايك ومجمع كارفور</w:t>
            </w:r>
          </w:p>
        </w:tc>
        <w:tc>
          <w:tcPr>
            <w:tcW w:w="5254" w:type="dxa"/>
          </w:tcPr>
          <w:p w14:paraId="62BF17C9" w14:textId="34300B6F" w:rsidR="00397F7A" w:rsidRPr="00504ADF" w:rsidRDefault="00397F7A" w:rsidP="00397F7A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1- </w:t>
            </w:r>
            <w:r w:rsidR="00F95E8E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حالة شركة نايك </w:t>
            </w:r>
            <w:r w:rsidR="00F95E8E"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val="en-US"/>
              </w:rPr>
              <w:t>Nike</w:t>
            </w:r>
            <w:r w:rsidR="00F95E8E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للألبسة الرياضية</w:t>
            </w:r>
          </w:p>
          <w:p w14:paraId="494B3B0C" w14:textId="54941FA9" w:rsidR="008E63BF" w:rsidRPr="00504ADF" w:rsidRDefault="008E63BF" w:rsidP="00F95E8E">
            <w:pPr>
              <w:pStyle w:val="ListParagraph"/>
              <w:numPr>
                <w:ilvl w:val="0"/>
                <w:numId w:val="28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</w:t>
            </w:r>
            <w:r w:rsidR="00F95E8E" w:rsidRPr="00504A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دقيق التزامات المسؤولية الاجتماعية</w:t>
            </w:r>
          </w:p>
          <w:p w14:paraId="398E0179" w14:textId="17DB568D" w:rsidR="008E63BF" w:rsidRPr="00504ADF" w:rsidRDefault="008E63BF" w:rsidP="008E63BF">
            <w:pPr>
              <w:pStyle w:val="ListParagraph"/>
              <w:numPr>
                <w:ilvl w:val="0"/>
                <w:numId w:val="28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fr-CA"/>
              </w:rPr>
              <w:t xml:space="preserve"> تدقيق سياسات وعمليات المسؤولية الاجتماعية</w:t>
            </w:r>
          </w:p>
          <w:p w14:paraId="5C5B21C0" w14:textId="277EE8EF" w:rsidR="00397F7A" w:rsidRPr="00504ADF" w:rsidRDefault="008E63BF" w:rsidP="008E63BF">
            <w:pPr>
              <w:pStyle w:val="ListParagraph"/>
              <w:numPr>
                <w:ilvl w:val="0"/>
                <w:numId w:val="28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</w:pP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fr-CA"/>
              </w:rPr>
              <w:t xml:space="preserve"> تدقيق اجتماعي وتنقيط غير مالي </w:t>
            </w:r>
            <w:r w:rsidRPr="00504A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val="en-US"/>
              </w:rPr>
              <w:t>La notation extra- financière</w:t>
            </w:r>
          </w:p>
        </w:tc>
      </w:tr>
      <w:tr w:rsidR="00397F7A" w:rsidRPr="0086117B" w14:paraId="7BDABBBB" w14:textId="77777777" w:rsidTr="00364A2B">
        <w:trPr>
          <w:jc w:val="center"/>
        </w:trPr>
        <w:tc>
          <w:tcPr>
            <w:tcW w:w="1305" w:type="dxa"/>
            <w:vAlign w:val="center"/>
          </w:tcPr>
          <w:p w14:paraId="103F049C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14:paraId="457F2672" w14:textId="55ADC027" w:rsidR="008E63BF" w:rsidRPr="00BE3A83" w:rsidRDefault="008E63BF" w:rsidP="008E63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val="fr-CA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val="fr-CA"/>
              </w:rPr>
              <w:t>تدقيق المسؤولية الاجتماعية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CA"/>
              </w:rPr>
              <w:t xml:space="preserve"> والتزاماتها:</w:t>
            </w:r>
          </w:p>
          <w:p w14:paraId="5F76E02B" w14:textId="7DC478D3" w:rsidR="00397F7A" w:rsidRPr="00BE3A83" w:rsidRDefault="008E63BF" w:rsidP="008E63BF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lang w:val="fr-C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CA"/>
              </w:rPr>
              <w:t xml:space="preserve">ثانيا دراسة حالة </w:t>
            </w: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val="fr-CA"/>
              </w:rPr>
              <w:t>مجمع كارفور</w:t>
            </w:r>
          </w:p>
          <w:p w14:paraId="5CA08992" w14:textId="33492F83" w:rsidR="00397F7A" w:rsidRPr="00BE3A83" w:rsidRDefault="00397F7A" w:rsidP="00397F7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val="fr-CA"/>
              </w:rPr>
              <w:t xml:space="preserve"> </w:t>
            </w:r>
          </w:p>
        </w:tc>
        <w:tc>
          <w:tcPr>
            <w:tcW w:w="5254" w:type="dxa"/>
          </w:tcPr>
          <w:p w14:paraId="223B0713" w14:textId="4D8B3187" w:rsidR="008E63BF" w:rsidRPr="008E63BF" w:rsidRDefault="008E63BF" w:rsidP="008E63BF">
            <w:pPr>
              <w:pStyle w:val="ListParagraph"/>
              <w:numPr>
                <w:ilvl w:val="0"/>
                <w:numId w:val="32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E63B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حالة مجمع  كارفور  </w:t>
            </w:r>
            <w:r w:rsidRPr="008E63BF">
              <w:rPr>
                <w:rFonts w:ascii="Sakkal Majalla" w:hAnsi="Sakkal Majalla" w:cs="Sakkal Majalla"/>
                <w:sz w:val="28"/>
                <w:szCs w:val="28"/>
                <w:lang w:val="en-US"/>
              </w:rPr>
              <w:t>Carrefour</w:t>
            </w:r>
            <w:r w:rsidRPr="008E63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8E63B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للبيع بالتجزئة</w:t>
            </w:r>
          </w:p>
          <w:p w14:paraId="35D2FE1A" w14:textId="77777777" w:rsidR="008E63BF" w:rsidRDefault="008E63BF" w:rsidP="008E63BF">
            <w:pPr>
              <w:pStyle w:val="ListParagraph"/>
              <w:numPr>
                <w:ilvl w:val="0"/>
                <w:numId w:val="32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E63B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تدقيق التزامات المسؤولية الاجتماعية</w:t>
            </w:r>
          </w:p>
          <w:p w14:paraId="1AA9F450" w14:textId="2B86A9B9" w:rsidR="008E63BF" w:rsidRPr="008E63BF" w:rsidRDefault="008E63BF" w:rsidP="008E63BF">
            <w:pPr>
              <w:pStyle w:val="ListParagraph"/>
              <w:numPr>
                <w:ilvl w:val="0"/>
                <w:numId w:val="32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E63BF">
              <w:rPr>
                <w:rFonts w:ascii="Sakkal Majalla" w:hAnsi="Sakkal Majalla" w:cs="Sakkal Majalla"/>
                <w:sz w:val="28"/>
                <w:szCs w:val="28"/>
                <w:rtl/>
                <w:lang w:val="fr-CA"/>
              </w:rPr>
              <w:t>تدقيق سياسات وعمليات المسؤولية الاجتماعي</w:t>
            </w:r>
            <w:r w:rsidR="00504ADF">
              <w:rPr>
                <w:rFonts w:ascii="Sakkal Majalla" w:hAnsi="Sakkal Majalla" w:cs="Sakkal Majalla" w:hint="cs"/>
                <w:sz w:val="28"/>
                <w:szCs w:val="28"/>
                <w:rtl/>
                <w:lang w:val="fr-CA"/>
              </w:rPr>
              <w:t>ة</w:t>
            </w:r>
          </w:p>
          <w:p w14:paraId="4DA98832" w14:textId="7C112E12" w:rsidR="00397F7A" w:rsidRPr="008E63BF" w:rsidRDefault="008E63BF" w:rsidP="008E63BF">
            <w:pPr>
              <w:pStyle w:val="ListParagraph"/>
              <w:numPr>
                <w:ilvl w:val="0"/>
                <w:numId w:val="32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E63BF">
              <w:rPr>
                <w:rFonts w:ascii="Sakkal Majalla" w:hAnsi="Sakkal Majalla" w:cs="Sakkal Majalla"/>
                <w:sz w:val="28"/>
                <w:szCs w:val="28"/>
                <w:rtl/>
                <w:lang w:val="fr-CA"/>
              </w:rPr>
              <w:t xml:space="preserve"> تدقيق اجتماعي وتنقيط غير مالي </w:t>
            </w:r>
            <w:r w:rsidRPr="008E63BF">
              <w:rPr>
                <w:rFonts w:ascii="Sakkal Majalla" w:hAnsi="Sakkal Majalla" w:cs="Sakkal Majalla"/>
                <w:sz w:val="28"/>
                <w:szCs w:val="28"/>
                <w:lang w:val="en-US"/>
              </w:rPr>
              <w:t>La notation extra- financière</w:t>
            </w:r>
          </w:p>
        </w:tc>
      </w:tr>
      <w:tr w:rsidR="00397F7A" w:rsidRPr="0086117B" w14:paraId="525CF2BB" w14:textId="77777777" w:rsidTr="00364A2B">
        <w:trPr>
          <w:jc w:val="center"/>
        </w:trPr>
        <w:tc>
          <w:tcPr>
            <w:tcW w:w="1305" w:type="dxa"/>
            <w:vAlign w:val="center"/>
          </w:tcPr>
          <w:p w14:paraId="1160DF69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14:paraId="4C6776F7" w14:textId="72DAB474" w:rsidR="00397F7A" w:rsidRPr="00BF4720" w:rsidRDefault="00BF4720" w:rsidP="00BF4720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صفات وخصائص </w:t>
            </w:r>
            <w:r w:rsidR="00397F7A" w:rsidRPr="00BE3A8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المدققين الاجتماعيين</w:t>
            </w:r>
          </w:p>
        </w:tc>
        <w:tc>
          <w:tcPr>
            <w:tcW w:w="5254" w:type="dxa"/>
          </w:tcPr>
          <w:p w14:paraId="65BF6687" w14:textId="3A216A3E" w:rsidR="00BF4720" w:rsidRPr="00BF4720" w:rsidRDefault="00BF4720" w:rsidP="00BF4720">
            <w:pPr>
              <w:pStyle w:val="ListParagraph"/>
              <w:numPr>
                <w:ilvl w:val="0"/>
                <w:numId w:val="33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F472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مجالات عمل و</w:t>
            </w:r>
            <w:r w:rsidRPr="00BF472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ميدان المدققين الاجتماعين</w:t>
            </w:r>
          </w:p>
          <w:p w14:paraId="3F8AFEC7" w14:textId="11D0A3D6" w:rsidR="00397F7A" w:rsidRPr="00BF4720" w:rsidRDefault="00BF4720" w:rsidP="00BF4720">
            <w:pPr>
              <w:pStyle w:val="ListParagraph"/>
              <w:numPr>
                <w:ilvl w:val="0"/>
                <w:numId w:val="33"/>
              </w:numPr>
              <w:bidi/>
              <w:ind w:left="188" w:hanging="188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BF472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أنواعهم، تكوينهم، </w:t>
            </w:r>
            <w:r w:rsidR="0064696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مرجعية </w:t>
            </w:r>
            <w:r w:rsidRPr="00BF472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الكفاءات والمهارات</w:t>
            </w:r>
          </w:p>
        </w:tc>
      </w:tr>
      <w:tr w:rsidR="00397F7A" w:rsidRPr="0086117B" w14:paraId="25CBAF53" w14:textId="77777777" w:rsidTr="00364A2B">
        <w:trPr>
          <w:jc w:val="center"/>
        </w:trPr>
        <w:tc>
          <w:tcPr>
            <w:tcW w:w="1305" w:type="dxa"/>
            <w:vAlign w:val="center"/>
          </w:tcPr>
          <w:p w14:paraId="52D8D2FD" w14:textId="77777777" w:rsidR="00397F7A" w:rsidRPr="0086117B" w:rsidRDefault="00397F7A" w:rsidP="00397F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14:paraId="74D7559A" w14:textId="661E34CE" w:rsidR="00397F7A" w:rsidRPr="00BC20BA" w:rsidRDefault="00397F7A" w:rsidP="0064696D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val="en-GB" w:bidi="ar-DZ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المدققين الاجتماعيين</w:t>
            </w:r>
            <w:r w:rsidR="00E63A5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</w:p>
          <w:p w14:paraId="632312B1" w14:textId="03FBF9CC" w:rsidR="00397F7A" w:rsidRPr="00BE3A83" w:rsidRDefault="00397F7A" w:rsidP="0064696D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</w:rPr>
              <w:t>الاعتمادات وأخلاقيات المهنة والتنظيم المهني، الدليل الأخلاقي</w:t>
            </w:r>
          </w:p>
        </w:tc>
        <w:tc>
          <w:tcPr>
            <w:tcW w:w="5254" w:type="dxa"/>
          </w:tcPr>
          <w:p w14:paraId="550F9ACD" w14:textId="56790893" w:rsidR="00397F7A" w:rsidRPr="00BE3A83" w:rsidRDefault="00397F7A" w:rsidP="0064696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1- </w:t>
            </w:r>
            <w:r w:rsidR="0064696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دليل الأخلاقيات </w:t>
            </w:r>
          </w:p>
          <w:p w14:paraId="77F24EF3" w14:textId="5F58AD7E" w:rsidR="00397F7A" w:rsidRPr="00BE3A83" w:rsidRDefault="00397F7A" w:rsidP="0064696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E3A8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="0064696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مصادقة المدققين الاجتماعين</w:t>
            </w:r>
          </w:p>
        </w:tc>
      </w:tr>
    </w:tbl>
    <w:p w14:paraId="04CCE059" w14:textId="77777777" w:rsidR="00BC20BA" w:rsidRDefault="00BC20BA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3E893B76" w14:textId="2D71E0E1" w:rsidR="00EB59E2" w:rsidRDefault="00364A2B" w:rsidP="00BC20BA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14:paraId="2A5187A5" w14:textId="77777777" w:rsidR="00BE3A83" w:rsidRPr="00BE3A83" w:rsidRDefault="00BE3A83" w:rsidP="00BE3A83">
      <w:pPr>
        <w:pStyle w:val="ListParagraph"/>
        <w:numPr>
          <w:ilvl w:val="0"/>
          <w:numId w:val="24"/>
        </w:numPr>
        <w:spacing w:after="160" w:line="259" w:lineRule="auto"/>
        <w:ind w:left="598" w:hanging="425"/>
        <w:jc w:val="both"/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</w:pPr>
      <w:proofErr w:type="spellStart"/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>Autona</w:t>
      </w:r>
      <w:proofErr w:type="spellEnd"/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>, J.P. (1993). Audit social et conformité, Dalloz, Paris.</w:t>
      </w:r>
    </w:p>
    <w:p w14:paraId="4E097CAE" w14:textId="77777777" w:rsidR="00BE3A83" w:rsidRPr="00BE3A83" w:rsidRDefault="00BE3A83" w:rsidP="00BE3A83">
      <w:pPr>
        <w:pStyle w:val="ListParagraph"/>
        <w:numPr>
          <w:ilvl w:val="0"/>
          <w:numId w:val="24"/>
        </w:numPr>
        <w:spacing w:after="160" w:line="259" w:lineRule="auto"/>
        <w:ind w:left="598" w:hanging="425"/>
        <w:jc w:val="both"/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</w:pPr>
      <w:proofErr w:type="spellStart"/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>Candau</w:t>
      </w:r>
      <w:proofErr w:type="spellEnd"/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>, P. (1985). L’audit social, méthodes et techniques pour un management efficace, Vuibert, Paris.</w:t>
      </w:r>
    </w:p>
    <w:p w14:paraId="7AE29381" w14:textId="77777777" w:rsidR="00BE3A83" w:rsidRPr="00BE3A83" w:rsidRDefault="00BE3A83" w:rsidP="00BE3A83">
      <w:pPr>
        <w:pStyle w:val="ListParagraph"/>
        <w:numPr>
          <w:ilvl w:val="0"/>
          <w:numId w:val="24"/>
        </w:numPr>
        <w:spacing w:after="160" w:line="259" w:lineRule="auto"/>
        <w:ind w:left="598" w:hanging="425"/>
        <w:jc w:val="both"/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</w:pPr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 xml:space="preserve">Peretti, J.M. (2006). Audit social, apprentissage stratégique des pratiques de GRH et responsabilité sociale, </w:t>
      </w:r>
      <w:hyperlink r:id="rId5" w:history="1">
        <w:r w:rsidRPr="00BE3A83">
          <w:rPr>
            <w:rStyle w:val="Hyperlink"/>
            <w:rFonts w:ascii="Traditional Arabic" w:hAnsi="Traditional Arabic" w:cs="Traditional Arabic"/>
            <w:sz w:val="24"/>
            <w:szCs w:val="24"/>
            <w:lang w:bidi="ar-DZ"/>
          </w:rPr>
          <w:t>http:</w:t>
        </w:r>
        <w:r w:rsidRPr="00BE3A83">
          <w:rPr>
            <w:rStyle w:val="Hyperlink"/>
            <w:rFonts w:ascii="Traditional Arabic" w:hAnsi="Traditional Arabic" w:cs="Traditional Arabic" w:hint="cs"/>
            <w:sz w:val="24"/>
            <w:szCs w:val="24"/>
            <w:rtl/>
            <w:lang w:bidi="ar-DZ"/>
          </w:rPr>
          <w:t>//</w:t>
        </w:r>
        <w:r w:rsidRPr="00BE3A83">
          <w:rPr>
            <w:rStyle w:val="Hyperlink"/>
            <w:rFonts w:ascii="Traditional Arabic" w:hAnsi="Traditional Arabic" w:cs="Traditional Arabic"/>
            <w:sz w:val="24"/>
            <w:szCs w:val="24"/>
            <w:lang w:bidi="ar-DZ"/>
          </w:rPr>
          <w:t>www.luxias.lu</w:t>
        </w:r>
        <w:r w:rsidRPr="00BE3A83">
          <w:rPr>
            <w:rStyle w:val="Hyperlink"/>
            <w:rFonts w:ascii="Traditional Arabic" w:hAnsi="Traditional Arabic" w:cs="Traditional Arabic" w:hint="cs"/>
            <w:sz w:val="24"/>
            <w:szCs w:val="24"/>
            <w:rtl/>
            <w:lang w:bidi="ar-DZ"/>
          </w:rPr>
          <w:t>/</w:t>
        </w:r>
        <w:r w:rsidRPr="00BE3A83">
          <w:rPr>
            <w:rStyle w:val="Hyperlink"/>
            <w:rFonts w:ascii="Traditional Arabic" w:hAnsi="Traditional Arabic" w:cs="Traditional Arabic"/>
            <w:sz w:val="24"/>
            <w:szCs w:val="24"/>
            <w:lang w:bidi="ar-DZ"/>
          </w:rPr>
          <w:t>PDF</w:t>
        </w:r>
        <w:r w:rsidRPr="00BE3A83">
          <w:rPr>
            <w:rStyle w:val="Hyperlink"/>
            <w:rFonts w:ascii="Traditional Arabic" w:hAnsi="Traditional Arabic" w:cs="Traditional Arabic" w:hint="cs"/>
            <w:sz w:val="24"/>
            <w:szCs w:val="24"/>
            <w:rtl/>
            <w:lang w:bidi="ar-DZ"/>
          </w:rPr>
          <w:t>/</w:t>
        </w:r>
        <w:r w:rsidRPr="00BE3A83">
          <w:rPr>
            <w:rStyle w:val="Hyperlink"/>
            <w:rFonts w:ascii="Traditional Arabic" w:hAnsi="Traditional Arabic" w:cs="Traditional Arabic"/>
            <w:sz w:val="24"/>
            <w:szCs w:val="24"/>
            <w:lang w:bidi="ar-DZ"/>
          </w:rPr>
          <w:t>PerettiFrimousse.pdf</w:t>
        </w:r>
      </w:hyperlink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>. Du 18</w:t>
      </w:r>
      <w:r w:rsidRPr="00BE3A83">
        <w:rPr>
          <w:rFonts w:ascii="Traditional Arabic" w:hAnsi="Traditional Arabic" w:cs="Traditional Arabic" w:hint="cs"/>
          <w:color w:val="000000" w:themeColor="text1"/>
          <w:sz w:val="24"/>
          <w:szCs w:val="24"/>
          <w:rtl/>
          <w:lang w:bidi="ar-DZ"/>
        </w:rPr>
        <w:t>/</w:t>
      </w:r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>11</w:t>
      </w:r>
      <w:r w:rsidRPr="00BE3A83">
        <w:rPr>
          <w:rFonts w:ascii="Traditional Arabic" w:hAnsi="Traditional Arabic" w:cs="Traditional Arabic" w:hint="cs"/>
          <w:color w:val="000000" w:themeColor="text1"/>
          <w:sz w:val="24"/>
          <w:szCs w:val="24"/>
          <w:rtl/>
          <w:lang w:bidi="ar-DZ"/>
        </w:rPr>
        <w:t>/</w:t>
      </w:r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>2006.</w:t>
      </w:r>
    </w:p>
    <w:p w14:paraId="5C01F0E4" w14:textId="02BD9C4E" w:rsidR="00BE3A83" w:rsidRPr="00BE3A83" w:rsidRDefault="00BE3A83" w:rsidP="00BE3A83">
      <w:pPr>
        <w:pStyle w:val="ListParagraph"/>
        <w:numPr>
          <w:ilvl w:val="0"/>
          <w:numId w:val="24"/>
        </w:numPr>
        <w:spacing w:after="160" w:line="259" w:lineRule="auto"/>
        <w:ind w:left="598" w:hanging="425"/>
        <w:jc w:val="both"/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</w:pPr>
      <w:r w:rsidRPr="00BE3A83">
        <w:rPr>
          <w:rFonts w:ascii="Traditional Arabic" w:hAnsi="Traditional Arabic" w:cs="Traditional Arabic"/>
          <w:color w:val="000000" w:themeColor="text1"/>
          <w:sz w:val="24"/>
          <w:szCs w:val="24"/>
          <w:lang w:bidi="ar-DZ"/>
        </w:rPr>
        <w:t xml:space="preserve">Peretti J.M, 2008. L’audit social, Eyrolles Editions d’Organisation, Paris, 155P. </w:t>
      </w:r>
      <w:r w:rsidRPr="00BE3A83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 xml:space="preserve"> متوفر في مكتبة الكلية برقم </w:t>
      </w:r>
      <w:r w:rsidRPr="00BE3A83">
        <w:rPr>
          <w:rFonts w:ascii="Traditional Arabic" w:hAnsi="Traditional Arabic" w:cs="Traditional Arabic"/>
          <w:color w:val="FF0000"/>
          <w:sz w:val="28"/>
          <w:szCs w:val="28"/>
          <w:lang w:bidi="ar-DZ"/>
        </w:rPr>
        <w:t>EG/ 1999</w:t>
      </w:r>
    </w:p>
    <w:p w14:paraId="655EEE40" w14:textId="762F50F4" w:rsidR="007B0E5F" w:rsidRPr="00BE3A83" w:rsidRDefault="00504ADF" w:rsidP="00BE3A83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بلبصير </w:t>
      </w:r>
      <w:r w:rsidR="007B0E5F" w:rsidRPr="00BE3A83">
        <w:rPr>
          <w:rFonts w:ascii="Sakkal Majalla" w:hAnsi="Sakkal Majalla" w:cs="Sakkal Majalla"/>
          <w:sz w:val="28"/>
          <w:szCs w:val="28"/>
          <w:rtl/>
          <w:lang w:bidi="ar-DZ"/>
        </w:rPr>
        <w:t>هند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</w:t>
      </w:r>
      <w:r w:rsidR="007B0E5F" w:rsidRPr="00BE3A8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2017-2018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 </w:t>
      </w:r>
      <w:r w:rsidR="007B0E5F" w:rsidRPr="00BE3A8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محاضرات في التدقيق الاجتماعي، جامعة بسكرة </w:t>
      </w:r>
    </w:p>
    <w:p w14:paraId="39ACDF59" w14:textId="5B71D34E" w:rsidR="00364A2B" w:rsidRPr="00BE3A83" w:rsidRDefault="007B0E5F" w:rsidP="00BE3A83">
      <w:pPr>
        <w:pStyle w:val="ListParagraph"/>
        <w:numPr>
          <w:ilvl w:val="0"/>
          <w:numId w:val="26"/>
        </w:num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BE3A83">
        <w:rPr>
          <w:rFonts w:ascii="Sakkal Majalla" w:hAnsi="Sakkal Majalla" w:cs="Sakkal Majalla"/>
          <w:sz w:val="28"/>
          <w:szCs w:val="28"/>
          <w:rtl/>
          <w:lang w:bidi="ar-DZ"/>
        </w:rPr>
        <w:t>سكاك مراد</w:t>
      </w:r>
      <w:r w:rsidR="00504AD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</w:t>
      </w:r>
      <w:r w:rsidRPr="00BE3A83">
        <w:rPr>
          <w:rFonts w:ascii="Sakkal Majalla" w:hAnsi="Sakkal Majalla" w:cs="Sakkal Majalla"/>
          <w:sz w:val="28"/>
          <w:szCs w:val="28"/>
          <w:rtl/>
          <w:lang w:bidi="ar-DZ"/>
        </w:rPr>
        <w:t>2011</w:t>
      </w:r>
      <w:r w:rsidR="00504AD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 </w:t>
      </w:r>
      <w:r w:rsidRPr="00BE3A83">
        <w:rPr>
          <w:rFonts w:ascii="Sakkal Majalla" w:hAnsi="Sakkal Majalla" w:cs="Sakkal Majalla"/>
          <w:sz w:val="28"/>
          <w:szCs w:val="28"/>
          <w:rtl/>
          <w:lang w:bidi="ar-DZ"/>
        </w:rPr>
        <w:t>نحو نمو</w:t>
      </w:r>
      <w:r w:rsidR="00504ADF">
        <w:rPr>
          <w:rFonts w:ascii="Sakkal Majalla" w:hAnsi="Sakkal Majalla" w:cs="Sakkal Majalla" w:hint="cs"/>
          <w:sz w:val="28"/>
          <w:szCs w:val="28"/>
          <w:rtl/>
          <w:lang w:bidi="ar-DZ"/>
        </w:rPr>
        <w:t>ذ</w:t>
      </w:r>
      <w:r w:rsidRPr="00BE3A83">
        <w:rPr>
          <w:rFonts w:ascii="Sakkal Majalla" w:hAnsi="Sakkal Majalla" w:cs="Sakkal Majalla"/>
          <w:sz w:val="28"/>
          <w:szCs w:val="28"/>
          <w:rtl/>
          <w:lang w:bidi="ar-DZ"/>
        </w:rPr>
        <w:t>ج للتدقيق الاجتماعي، رسالة ماجستير غير منشورة في العلوم الاقتصادية، جامعة سطيف</w:t>
      </w:r>
    </w:p>
    <w:p w14:paraId="27CD8B1D" w14:textId="42C76A2F" w:rsidR="007B0E5F" w:rsidRDefault="007B0E5F" w:rsidP="007B0E5F">
      <w:pPr>
        <w:pStyle w:val="ListParagraph"/>
        <w:spacing w:after="0"/>
        <w:ind w:left="426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p w14:paraId="77415B39" w14:textId="77777777" w:rsidR="00BC20BA" w:rsidRPr="007B0E5F" w:rsidRDefault="00BC20BA" w:rsidP="007B0E5F">
      <w:pPr>
        <w:pStyle w:val="ListParagraph"/>
        <w:spacing w:after="0"/>
        <w:ind w:left="426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012D2D" w14:textId="135E9368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أسلوب التقييم في المقياس: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00"/>
        <w:gridCol w:w="1168"/>
        <w:gridCol w:w="3053"/>
      </w:tblGrid>
      <w:tr w:rsidR="007B0E5F" w:rsidRPr="00026088" w14:paraId="57D19F25" w14:textId="77777777" w:rsidTr="00092E10">
        <w:tc>
          <w:tcPr>
            <w:tcW w:w="701" w:type="dxa"/>
            <w:shd w:val="clear" w:color="auto" w:fill="auto"/>
          </w:tcPr>
          <w:p w14:paraId="1EB6BE36" w14:textId="77777777" w:rsidR="007B0E5F" w:rsidRPr="001A296A" w:rsidRDefault="007B0E5F" w:rsidP="00092E10">
            <w:pPr>
              <w:bidi/>
              <w:spacing w:line="216" w:lineRule="auto"/>
              <w:jc w:val="center"/>
              <w:rPr>
                <w:rtl/>
              </w:rPr>
            </w:pPr>
            <w:r w:rsidRPr="001A296A">
              <w:rPr>
                <w:rFonts w:hint="cs"/>
                <w:rtl/>
              </w:rPr>
              <w:t>تسلسل</w:t>
            </w:r>
          </w:p>
          <w:p w14:paraId="63ABE639" w14:textId="77777777" w:rsidR="007B0E5F" w:rsidRPr="001A296A" w:rsidRDefault="007B0E5F" w:rsidP="00092E10">
            <w:pPr>
              <w:bidi/>
              <w:spacing w:line="216" w:lineRule="auto"/>
              <w:jc w:val="center"/>
              <w:rPr>
                <w:lang w:val="en-US"/>
              </w:rPr>
            </w:pPr>
            <w:r w:rsidRPr="001A296A">
              <w:rPr>
                <w:lang w:val="en-US"/>
              </w:rPr>
              <w:t>Sr.</w:t>
            </w:r>
          </w:p>
        </w:tc>
        <w:tc>
          <w:tcPr>
            <w:tcW w:w="3600" w:type="dxa"/>
            <w:shd w:val="clear" w:color="auto" w:fill="auto"/>
          </w:tcPr>
          <w:p w14:paraId="54ABF2EB" w14:textId="77777777" w:rsidR="007B0E5F" w:rsidRPr="001A296A" w:rsidRDefault="007B0E5F" w:rsidP="00092E10">
            <w:pPr>
              <w:bidi/>
              <w:spacing w:line="216" w:lineRule="auto"/>
              <w:jc w:val="center"/>
              <w:rPr>
                <w:lang w:bidi="ar-EG"/>
              </w:rPr>
            </w:pPr>
            <w:r w:rsidRPr="001A296A">
              <w:rPr>
                <w:rFonts w:hint="cs"/>
                <w:rtl/>
                <w:lang w:bidi="ar-EG"/>
              </w:rPr>
              <w:t>التقييم</w:t>
            </w:r>
          </w:p>
          <w:p w14:paraId="639315E2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1A296A">
              <w:rPr>
                <w:lang w:val="en-US"/>
              </w:rPr>
              <w:t>(Assignment Task)</w:t>
            </w:r>
          </w:p>
        </w:tc>
        <w:tc>
          <w:tcPr>
            <w:tcW w:w="1168" w:type="dxa"/>
            <w:shd w:val="clear" w:color="auto" w:fill="auto"/>
          </w:tcPr>
          <w:p w14:paraId="1CBB6A40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الدرجة</w:t>
            </w:r>
          </w:p>
        </w:tc>
        <w:tc>
          <w:tcPr>
            <w:tcW w:w="3053" w:type="dxa"/>
            <w:shd w:val="clear" w:color="auto" w:fill="auto"/>
          </w:tcPr>
          <w:p w14:paraId="5CE7E959" w14:textId="590DE36E" w:rsidR="007B0E5F" w:rsidRPr="001A296A" w:rsidRDefault="007B0E5F" w:rsidP="00092E10">
            <w:pPr>
              <w:bidi/>
              <w:spacing w:line="216" w:lineRule="auto"/>
              <w:jc w:val="center"/>
            </w:pPr>
            <w:r w:rsidRPr="001A296A">
              <w:rPr>
                <w:rFonts w:hint="cs"/>
                <w:rtl/>
              </w:rPr>
              <w:t>النسبة المئوية للتقويم</w:t>
            </w:r>
            <w:r>
              <w:rPr>
                <w:rFonts w:hint="cs"/>
                <w:rtl/>
              </w:rPr>
              <w:t xml:space="preserve"> </w:t>
            </w:r>
          </w:p>
          <w:p w14:paraId="47EFDBD7" w14:textId="77777777" w:rsidR="007B0E5F" w:rsidRPr="00937FAA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937FAA">
              <w:rPr>
                <w:lang w:val="en-US"/>
              </w:rPr>
              <w:t>(Proportion of Final Assessment)</w:t>
            </w:r>
          </w:p>
        </w:tc>
      </w:tr>
      <w:tr w:rsidR="007B0E5F" w:rsidRPr="00026088" w14:paraId="2985674B" w14:textId="77777777" w:rsidTr="00092E10">
        <w:trPr>
          <w:trHeight w:val="151"/>
        </w:trPr>
        <w:tc>
          <w:tcPr>
            <w:tcW w:w="701" w:type="dxa"/>
            <w:vMerge w:val="restart"/>
            <w:shd w:val="clear" w:color="auto" w:fill="auto"/>
          </w:tcPr>
          <w:p w14:paraId="1FD338B1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b/>
                <w:bCs/>
                <w:rtl/>
                <w:lang w:val="en-GB" w:bidi="ar-DZ"/>
              </w:rPr>
            </w:pPr>
            <w:r w:rsidRPr="00026088">
              <w:rPr>
                <w:rFonts w:hint="cs"/>
                <w:b/>
                <w:bCs/>
                <w:rtl/>
                <w:lang w:val="en-GB" w:bidi="ar-DZ"/>
              </w:rPr>
              <w:t>أولا</w:t>
            </w:r>
          </w:p>
        </w:tc>
        <w:tc>
          <w:tcPr>
            <w:tcW w:w="3600" w:type="dxa"/>
            <w:shd w:val="clear" w:color="auto" w:fill="auto"/>
          </w:tcPr>
          <w:p w14:paraId="0532A782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  <w:r w:rsidRPr="00026088">
              <w:rPr>
                <w:rFonts w:hint="cs"/>
                <w:b/>
                <w:bCs/>
                <w:rtl/>
                <w:lang w:val="en-GB" w:bidi="ar-DZ"/>
              </w:rPr>
              <w:t>الأعمال التطبيقية</w:t>
            </w:r>
          </w:p>
        </w:tc>
        <w:tc>
          <w:tcPr>
            <w:tcW w:w="1168" w:type="dxa"/>
            <w:shd w:val="clear" w:color="auto" w:fill="auto"/>
          </w:tcPr>
          <w:p w14:paraId="0350EB77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</w:p>
        </w:tc>
        <w:tc>
          <w:tcPr>
            <w:tcW w:w="3053" w:type="dxa"/>
            <w:shd w:val="clear" w:color="auto" w:fill="auto"/>
          </w:tcPr>
          <w:p w14:paraId="5265E169" w14:textId="77777777" w:rsidR="007B0E5F" w:rsidRPr="00026088" w:rsidRDefault="007B0E5F" w:rsidP="00092E10">
            <w:pPr>
              <w:tabs>
                <w:tab w:val="left" w:pos="2379"/>
              </w:tabs>
              <w:bidi/>
              <w:spacing w:line="360" w:lineRule="auto"/>
              <w:jc w:val="center"/>
              <w:rPr>
                <w:lang w:val="en-GB" w:bidi="ar-DZ"/>
              </w:rPr>
            </w:pPr>
          </w:p>
        </w:tc>
      </w:tr>
      <w:tr w:rsidR="007B0E5F" w:rsidRPr="00026088" w14:paraId="1F6F3BFE" w14:textId="77777777" w:rsidTr="00092E10">
        <w:trPr>
          <w:trHeight w:val="150"/>
        </w:trPr>
        <w:tc>
          <w:tcPr>
            <w:tcW w:w="701" w:type="dxa"/>
            <w:vMerge/>
            <w:shd w:val="clear" w:color="auto" w:fill="auto"/>
          </w:tcPr>
          <w:p w14:paraId="7DD8732C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b/>
                <w:bCs/>
                <w:rtl/>
                <w:lang w:val="en-GB" w:bidi="ar-DZ"/>
              </w:rPr>
            </w:pPr>
          </w:p>
        </w:tc>
        <w:tc>
          <w:tcPr>
            <w:tcW w:w="3600" w:type="dxa"/>
            <w:shd w:val="clear" w:color="auto" w:fill="auto"/>
          </w:tcPr>
          <w:p w14:paraId="73C75166" w14:textId="7102CBBD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الفرض الأول</w:t>
            </w:r>
            <w:r>
              <w:rPr>
                <w:rFonts w:hint="cs"/>
                <w:rtl/>
                <w:lang w:val="en-GB" w:bidi="ar-DZ"/>
              </w:rPr>
              <w:t xml:space="preserve"> -</w:t>
            </w:r>
            <w:r w:rsidRPr="00026088">
              <w:rPr>
                <w:rFonts w:hint="cs"/>
                <w:rtl/>
                <w:lang w:val="en-GB" w:bidi="ar-DZ"/>
              </w:rPr>
              <w:t xml:space="preserve"> الأسبوع </w:t>
            </w:r>
            <w:r w:rsidR="003D61EA">
              <w:rPr>
                <w:lang w:val="en-GB" w:bidi="ar-DZ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408A9DFB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4</w:t>
            </w:r>
          </w:p>
        </w:tc>
        <w:tc>
          <w:tcPr>
            <w:tcW w:w="3053" w:type="dxa"/>
            <w:shd w:val="clear" w:color="auto" w:fill="auto"/>
          </w:tcPr>
          <w:p w14:paraId="20DB7DA1" w14:textId="1DC55351" w:rsidR="007B0E5F" w:rsidRPr="00026088" w:rsidRDefault="007B0E5F" w:rsidP="00092E10">
            <w:pPr>
              <w:tabs>
                <w:tab w:val="left" w:pos="2379"/>
              </w:tabs>
              <w:bidi/>
              <w:spacing w:line="360" w:lineRule="auto"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10</w:t>
            </w:r>
            <w:r>
              <w:rPr>
                <w:rFonts w:hint="cs"/>
                <w:rtl/>
                <w:lang w:val="en-GB" w:bidi="ar-DZ"/>
              </w:rPr>
              <w:t xml:space="preserve"> </w:t>
            </w:r>
          </w:p>
        </w:tc>
      </w:tr>
      <w:tr w:rsidR="007B0E5F" w:rsidRPr="00026088" w14:paraId="21CD63E4" w14:textId="77777777" w:rsidTr="00092E10">
        <w:tc>
          <w:tcPr>
            <w:tcW w:w="701" w:type="dxa"/>
            <w:vMerge/>
            <w:shd w:val="clear" w:color="auto" w:fill="auto"/>
          </w:tcPr>
          <w:p w14:paraId="095D4316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</w:p>
        </w:tc>
        <w:tc>
          <w:tcPr>
            <w:tcW w:w="3600" w:type="dxa"/>
            <w:shd w:val="clear" w:color="auto" w:fill="auto"/>
          </w:tcPr>
          <w:p w14:paraId="59E3653A" w14:textId="57E96596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 xml:space="preserve">الفرض الثاني </w:t>
            </w:r>
            <w:r>
              <w:rPr>
                <w:rFonts w:hint="cs"/>
                <w:rtl/>
                <w:lang w:val="en-GB" w:bidi="ar-DZ"/>
              </w:rPr>
              <w:t xml:space="preserve">- </w:t>
            </w:r>
            <w:r w:rsidRPr="00026088">
              <w:rPr>
                <w:rFonts w:hint="cs"/>
                <w:rtl/>
                <w:lang w:val="en-GB" w:bidi="ar-DZ"/>
              </w:rPr>
              <w:t xml:space="preserve">الأسبوع </w:t>
            </w:r>
            <w:r w:rsidR="003D61EA">
              <w:rPr>
                <w:lang w:val="en-GB" w:bidi="ar-DZ"/>
              </w:rPr>
              <w:t>9</w:t>
            </w:r>
          </w:p>
        </w:tc>
        <w:tc>
          <w:tcPr>
            <w:tcW w:w="1168" w:type="dxa"/>
            <w:shd w:val="clear" w:color="auto" w:fill="auto"/>
          </w:tcPr>
          <w:p w14:paraId="03AF51CB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4</w:t>
            </w:r>
          </w:p>
        </w:tc>
        <w:tc>
          <w:tcPr>
            <w:tcW w:w="3053" w:type="dxa"/>
            <w:shd w:val="clear" w:color="auto" w:fill="auto"/>
          </w:tcPr>
          <w:p w14:paraId="77E1858D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10</w:t>
            </w:r>
          </w:p>
        </w:tc>
      </w:tr>
      <w:tr w:rsidR="007B0E5F" w:rsidRPr="00026088" w14:paraId="24D1F34F" w14:textId="77777777" w:rsidTr="00092E10">
        <w:tc>
          <w:tcPr>
            <w:tcW w:w="701" w:type="dxa"/>
            <w:vMerge/>
            <w:shd w:val="clear" w:color="auto" w:fill="auto"/>
          </w:tcPr>
          <w:p w14:paraId="5F7DEA6F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</w:p>
        </w:tc>
        <w:tc>
          <w:tcPr>
            <w:tcW w:w="3600" w:type="dxa"/>
            <w:shd w:val="clear" w:color="auto" w:fill="auto"/>
          </w:tcPr>
          <w:p w14:paraId="7C977E89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 xml:space="preserve">العمل الجماعي  خلال الفصل </w:t>
            </w:r>
          </w:p>
        </w:tc>
        <w:tc>
          <w:tcPr>
            <w:tcW w:w="1168" w:type="dxa"/>
            <w:shd w:val="clear" w:color="auto" w:fill="auto"/>
          </w:tcPr>
          <w:p w14:paraId="5ADE4248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4</w:t>
            </w:r>
          </w:p>
        </w:tc>
        <w:tc>
          <w:tcPr>
            <w:tcW w:w="3053" w:type="dxa"/>
            <w:shd w:val="clear" w:color="auto" w:fill="auto"/>
          </w:tcPr>
          <w:p w14:paraId="1BA1AF62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10</w:t>
            </w:r>
          </w:p>
        </w:tc>
      </w:tr>
      <w:tr w:rsidR="007B0E5F" w:rsidRPr="00026088" w14:paraId="0343C9FC" w14:textId="77777777" w:rsidTr="00092E10">
        <w:tc>
          <w:tcPr>
            <w:tcW w:w="701" w:type="dxa"/>
            <w:vMerge/>
            <w:shd w:val="clear" w:color="auto" w:fill="auto"/>
          </w:tcPr>
          <w:p w14:paraId="256FD3B9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</w:p>
        </w:tc>
        <w:tc>
          <w:tcPr>
            <w:tcW w:w="3600" w:type="dxa"/>
            <w:shd w:val="clear" w:color="auto" w:fill="auto"/>
          </w:tcPr>
          <w:p w14:paraId="4E1A389F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 xml:space="preserve">العمل الفردي خلال الفصل </w:t>
            </w:r>
          </w:p>
        </w:tc>
        <w:tc>
          <w:tcPr>
            <w:tcW w:w="1168" w:type="dxa"/>
            <w:shd w:val="clear" w:color="auto" w:fill="auto"/>
          </w:tcPr>
          <w:p w14:paraId="5EFB127D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4</w:t>
            </w:r>
          </w:p>
        </w:tc>
        <w:tc>
          <w:tcPr>
            <w:tcW w:w="3053" w:type="dxa"/>
            <w:shd w:val="clear" w:color="auto" w:fill="auto"/>
          </w:tcPr>
          <w:p w14:paraId="6101205F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10</w:t>
            </w:r>
          </w:p>
        </w:tc>
      </w:tr>
      <w:tr w:rsidR="007B0E5F" w:rsidRPr="00026088" w14:paraId="3F3B543F" w14:textId="77777777" w:rsidTr="00092E10">
        <w:tc>
          <w:tcPr>
            <w:tcW w:w="701" w:type="dxa"/>
            <w:vMerge/>
            <w:shd w:val="clear" w:color="auto" w:fill="auto"/>
          </w:tcPr>
          <w:p w14:paraId="5AA88A7C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</w:p>
        </w:tc>
        <w:tc>
          <w:tcPr>
            <w:tcW w:w="3600" w:type="dxa"/>
            <w:shd w:val="clear" w:color="auto" w:fill="auto"/>
          </w:tcPr>
          <w:p w14:paraId="0ED58AE6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المشاركة والحضور والانضباط والسلوك</w:t>
            </w:r>
          </w:p>
        </w:tc>
        <w:tc>
          <w:tcPr>
            <w:tcW w:w="1168" w:type="dxa"/>
            <w:shd w:val="clear" w:color="auto" w:fill="auto"/>
          </w:tcPr>
          <w:p w14:paraId="313E477D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4</w:t>
            </w:r>
          </w:p>
        </w:tc>
        <w:tc>
          <w:tcPr>
            <w:tcW w:w="3053" w:type="dxa"/>
            <w:shd w:val="clear" w:color="auto" w:fill="auto"/>
          </w:tcPr>
          <w:p w14:paraId="3D494726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10</w:t>
            </w:r>
          </w:p>
        </w:tc>
      </w:tr>
      <w:tr w:rsidR="007B0E5F" w:rsidRPr="00026088" w14:paraId="3749FAC1" w14:textId="77777777" w:rsidTr="00092E10">
        <w:tc>
          <w:tcPr>
            <w:tcW w:w="701" w:type="dxa"/>
            <w:shd w:val="clear" w:color="auto" w:fill="auto"/>
          </w:tcPr>
          <w:p w14:paraId="621BCDC0" w14:textId="77777777" w:rsidR="007B0E5F" w:rsidRPr="00026088" w:rsidRDefault="007B0E5F" w:rsidP="00092E10">
            <w:pPr>
              <w:tabs>
                <w:tab w:val="left" w:pos="2379"/>
              </w:tabs>
              <w:bidi/>
              <w:rPr>
                <w:b/>
                <w:bCs/>
                <w:rtl/>
                <w:lang w:val="en-GB" w:bidi="ar-DZ"/>
              </w:rPr>
            </w:pPr>
            <w:r w:rsidRPr="00026088">
              <w:rPr>
                <w:rFonts w:hint="cs"/>
                <w:b/>
                <w:bCs/>
                <w:rtl/>
                <w:lang w:val="en-GB" w:bidi="ar-DZ"/>
              </w:rPr>
              <w:t xml:space="preserve">ثانيا </w:t>
            </w:r>
          </w:p>
        </w:tc>
        <w:tc>
          <w:tcPr>
            <w:tcW w:w="3600" w:type="dxa"/>
            <w:shd w:val="clear" w:color="auto" w:fill="auto"/>
          </w:tcPr>
          <w:p w14:paraId="5FB128EC" w14:textId="40CBD12E" w:rsidR="007B0E5F" w:rsidRPr="00026088" w:rsidRDefault="007B0E5F" w:rsidP="00092E10">
            <w:pPr>
              <w:tabs>
                <w:tab w:val="left" w:pos="2379"/>
              </w:tabs>
              <w:bidi/>
              <w:rPr>
                <w:rtl/>
                <w:lang w:val="en-GB" w:bidi="ar-DZ"/>
              </w:rPr>
            </w:pPr>
            <w:r>
              <w:rPr>
                <w:rFonts w:hint="cs"/>
                <w:b/>
                <w:bCs/>
                <w:rtl/>
                <w:lang w:val="en-GB" w:bidi="ar-DZ"/>
              </w:rPr>
              <w:t>الاختبار النهائ</w:t>
            </w:r>
            <w:r>
              <w:rPr>
                <w:rFonts w:hint="eastAsia"/>
                <w:b/>
                <w:bCs/>
                <w:rtl/>
                <w:lang w:val="en-GB" w:bidi="ar-DZ"/>
              </w:rPr>
              <w:t>ي</w:t>
            </w:r>
            <w:r>
              <w:rPr>
                <w:rFonts w:hint="cs"/>
                <w:b/>
                <w:bCs/>
                <w:rtl/>
                <w:lang w:val="en-GB" w:bidi="ar-DZ"/>
              </w:rPr>
              <w:t xml:space="preserve"> </w:t>
            </w:r>
            <w:r w:rsidRPr="00026088">
              <w:rPr>
                <w:rFonts w:hint="cs"/>
                <w:b/>
                <w:bCs/>
                <w:rtl/>
                <w:lang w:val="en-GB" w:bidi="ar-DZ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14:paraId="2A7BCE56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20</w:t>
            </w:r>
          </w:p>
        </w:tc>
        <w:tc>
          <w:tcPr>
            <w:tcW w:w="3053" w:type="dxa"/>
            <w:shd w:val="clear" w:color="auto" w:fill="auto"/>
          </w:tcPr>
          <w:p w14:paraId="6AA78298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rtl/>
                <w:lang w:val="en-GB" w:bidi="ar-DZ"/>
              </w:rPr>
            </w:pPr>
            <w:r w:rsidRPr="00026088">
              <w:rPr>
                <w:rFonts w:hint="cs"/>
                <w:rtl/>
                <w:lang w:val="en-GB" w:bidi="ar-DZ"/>
              </w:rPr>
              <w:t>50</w:t>
            </w:r>
          </w:p>
        </w:tc>
      </w:tr>
      <w:tr w:rsidR="007B0E5F" w:rsidRPr="00026088" w14:paraId="3FE70C08" w14:textId="77777777" w:rsidTr="00092E10">
        <w:tc>
          <w:tcPr>
            <w:tcW w:w="4301" w:type="dxa"/>
            <w:gridSpan w:val="2"/>
            <w:shd w:val="clear" w:color="auto" w:fill="auto"/>
          </w:tcPr>
          <w:p w14:paraId="2C25896B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b/>
                <w:bCs/>
                <w:rtl/>
                <w:lang w:val="en-GB" w:bidi="ar-DZ"/>
              </w:rPr>
            </w:pPr>
            <w:r w:rsidRPr="00026088">
              <w:rPr>
                <w:rFonts w:hint="cs"/>
                <w:b/>
                <w:bCs/>
                <w:rtl/>
                <w:lang w:val="en-GB" w:bidi="ar-DZ"/>
              </w:rPr>
              <w:t>المجموع</w:t>
            </w:r>
          </w:p>
        </w:tc>
        <w:tc>
          <w:tcPr>
            <w:tcW w:w="1168" w:type="dxa"/>
            <w:shd w:val="clear" w:color="auto" w:fill="auto"/>
          </w:tcPr>
          <w:p w14:paraId="37159667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b/>
                <w:bCs/>
                <w:rtl/>
                <w:lang w:val="en-GB" w:bidi="ar-DZ"/>
              </w:rPr>
            </w:pPr>
            <w:r w:rsidRPr="00026088">
              <w:rPr>
                <w:rFonts w:hint="cs"/>
                <w:b/>
                <w:bCs/>
                <w:rtl/>
                <w:lang w:val="en-GB" w:bidi="ar-DZ"/>
              </w:rPr>
              <w:t>40</w:t>
            </w:r>
          </w:p>
        </w:tc>
        <w:tc>
          <w:tcPr>
            <w:tcW w:w="3053" w:type="dxa"/>
            <w:shd w:val="clear" w:color="auto" w:fill="auto"/>
          </w:tcPr>
          <w:p w14:paraId="5237C0AA" w14:textId="77777777" w:rsidR="007B0E5F" w:rsidRPr="00026088" w:rsidRDefault="007B0E5F" w:rsidP="00092E10">
            <w:pPr>
              <w:tabs>
                <w:tab w:val="left" w:pos="2379"/>
              </w:tabs>
              <w:bidi/>
              <w:jc w:val="center"/>
              <w:rPr>
                <w:b/>
                <w:bCs/>
                <w:rtl/>
                <w:lang w:val="en-GB" w:bidi="ar-DZ"/>
              </w:rPr>
            </w:pPr>
            <w:r w:rsidRPr="00026088">
              <w:rPr>
                <w:rFonts w:hint="cs"/>
                <w:b/>
                <w:bCs/>
                <w:rtl/>
                <w:lang w:val="en-GB" w:bidi="ar-DZ"/>
              </w:rPr>
              <w:t>100</w:t>
            </w:r>
          </w:p>
        </w:tc>
      </w:tr>
    </w:tbl>
    <w:p w14:paraId="2E49B547" w14:textId="550DCE61" w:rsidR="007B0E5F" w:rsidRDefault="007B0E5F" w:rsidP="007B0E5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0DB33662" w14:textId="5E040945" w:rsidR="00504ADF" w:rsidRDefault="00504ADF" w:rsidP="00504ADF">
      <w:pPr>
        <w:bidi/>
        <w:spacing w:after="0"/>
        <w:jc w:val="center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عام سعيد مكلل بالنجاح للجميع</w:t>
      </w:r>
    </w:p>
    <w:p w14:paraId="7F88A6AB" w14:textId="386EFC69" w:rsidR="00BE3A83" w:rsidRDefault="00BE3A83" w:rsidP="00BE3A83">
      <w:pPr>
        <w:bidi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</w:pPr>
    </w:p>
    <w:p w14:paraId="543A657E" w14:textId="221D2E19" w:rsidR="00BE3A83" w:rsidRPr="00681674" w:rsidRDefault="00BE3A83" w:rsidP="00681674">
      <w:pPr>
        <w:bidi/>
        <w:spacing w:after="160" w:line="259" w:lineRule="auto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DZ"/>
        </w:rPr>
      </w:pPr>
      <w:bookmarkStart w:id="0" w:name="_GoBack"/>
      <w:bookmarkEnd w:id="0"/>
    </w:p>
    <w:sectPr w:rsidR="00BE3A83" w:rsidRPr="00681674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2D2B"/>
    <w:multiLevelType w:val="hybridMultilevel"/>
    <w:tmpl w:val="1856DDE4"/>
    <w:lvl w:ilvl="0" w:tplc="C92C42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763CE"/>
    <w:multiLevelType w:val="hybridMultilevel"/>
    <w:tmpl w:val="2F704716"/>
    <w:lvl w:ilvl="0" w:tplc="C92C42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66AA9"/>
    <w:multiLevelType w:val="hybridMultilevel"/>
    <w:tmpl w:val="58CC1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F2A77"/>
    <w:multiLevelType w:val="hybridMultilevel"/>
    <w:tmpl w:val="66F2E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B8058A"/>
    <w:multiLevelType w:val="hybridMultilevel"/>
    <w:tmpl w:val="CF6AC6A0"/>
    <w:lvl w:ilvl="0" w:tplc="6EAC4B42">
      <w:start w:val="4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5A64"/>
    <w:multiLevelType w:val="hybridMultilevel"/>
    <w:tmpl w:val="4142EFC2"/>
    <w:lvl w:ilvl="0" w:tplc="6B4000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31705B"/>
    <w:multiLevelType w:val="hybridMultilevel"/>
    <w:tmpl w:val="6B88A17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FB25D8"/>
    <w:multiLevelType w:val="hybridMultilevel"/>
    <w:tmpl w:val="F21A75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B429D"/>
    <w:multiLevelType w:val="hybridMultilevel"/>
    <w:tmpl w:val="FB0ED588"/>
    <w:lvl w:ilvl="0" w:tplc="C92C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53D79"/>
    <w:multiLevelType w:val="hybridMultilevel"/>
    <w:tmpl w:val="485A3774"/>
    <w:lvl w:ilvl="0" w:tplc="C92C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42A32"/>
    <w:multiLevelType w:val="hybridMultilevel"/>
    <w:tmpl w:val="E4DA1A4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47CF7"/>
    <w:multiLevelType w:val="hybridMultilevel"/>
    <w:tmpl w:val="1B724E1C"/>
    <w:lvl w:ilvl="0" w:tplc="C92C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62F3E"/>
    <w:multiLevelType w:val="hybridMultilevel"/>
    <w:tmpl w:val="66B23F86"/>
    <w:lvl w:ilvl="0" w:tplc="65A49E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BB812CE"/>
    <w:multiLevelType w:val="hybridMultilevel"/>
    <w:tmpl w:val="5B3EE6F8"/>
    <w:lvl w:ilvl="0" w:tplc="C92C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7DD9"/>
    <w:multiLevelType w:val="hybridMultilevel"/>
    <w:tmpl w:val="86D29A84"/>
    <w:lvl w:ilvl="0" w:tplc="E20685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008CC"/>
    <w:multiLevelType w:val="hybridMultilevel"/>
    <w:tmpl w:val="6D4A2014"/>
    <w:lvl w:ilvl="0" w:tplc="C92C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B61D3"/>
    <w:multiLevelType w:val="hybridMultilevel"/>
    <w:tmpl w:val="DFD8E678"/>
    <w:lvl w:ilvl="0" w:tplc="C92C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714A9"/>
    <w:multiLevelType w:val="hybridMultilevel"/>
    <w:tmpl w:val="C25E095C"/>
    <w:lvl w:ilvl="0" w:tplc="C92C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7"/>
  </w:num>
  <w:num w:numId="4">
    <w:abstractNumId w:val="3"/>
  </w:num>
  <w:num w:numId="5">
    <w:abstractNumId w:val="6"/>
  </w:num>
  <w:num w:numId="6">
    <w:abstractNumId w:val="21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20"/>
  </w:num>
  <w:num w:numId="12">
    <w:abstractNumId w:val="29"/>
  </w:num>
  <w:num w:numId="13">
    <w:abstractNumId w:val="32"/>
  </w:num>
  <w:num w:numId="14">
    <w:abstractNumId w:val="7"/>
  </w:num>
  <w:num w:numId="15">
    <w:abstractNumId w:val="2"/>
  </w:num>
  <w:num w:numId="16">
    <w:abstractNumId w:val="9"/>
  </w:num>
  <w:num w:numId="17">
    <w:abstractNumId w:val="5"/>
  </w:num>
  <w:num w:numId="18">
    <w:abstractNumId w:val="28"/>
  </w:num>
  <w:num w:numId="19">
    <w:abstractNumId w:val="0"/>
  </w:num>
  <w:num w:numId="20">
    <w:abstractNumId w:val="4"/>
  </w:num>
  <w:num w:numId="21">
    <w:abstractNumId w:val="26"/>
  </w:num>
  <w:num w:numId="22">
    <w:abstractNumId w:val="24"/>
  </w:num>
  <w:num w:numId="23">
    <w:abstractNumId w:val="13"/>
  </w:num>
  <w:num w:numId="24">
    <w:abstractNumId w:val="18"/>
  </w:num>
  <w:num w:numId="25">
    <w:abstractNumId w:val="14"/>
  </w:num>
  <w:num w:numId="26">
    <w:abstractNumId w:val="15"/>
  </w:num>
  <w:num w:numId="27">
    <w:abstractNumId w:val="10"/>
  </w:num>
  <w:num w:numId="28">
    <w:abstractNumId w:val="30"/>
  </w:num>
  <w:num w:numId="29">
    <w:abstractNumId w:val="23"/>
  </w:num>
  <w:num w:numId="30">
    <w:abstractNumId w:val="25"/>
  </w:num>
  <w:num w:numId="31">
    <w:abstractNumId w:val="16"/>
  </w:num>
  <w:num w:numId="32">
    <w:abstractNumId w:val="3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0318F"/>
    <w:rsid w:val="0004094B"/>
    <w:rsid w:val="00091D13"/>
    <w:rsid w:val="000A202B"/>
    <w:rsid w:val="000E0EB2"/>
    <w:rsid w:val="000E496A"/>
    <w:rsid w:val="001365A5"/>
    <w:rsid w:val="00162924"/>
    <w:rsid w:val="00224E76"/>
    <w:rsid w:val="002532DB"/>
    <w:rsid w:val="00260F8E"/>
    <w:rsid w:val="00284996"/>
    <w:rsid w:val="003468EE"/>
    <w:rsid w:val="00346C48"/>
    <w:rsid w:val="00364A2B"/>
    <w:rsid w:val="00397F7A"/>
    <w:rsid w:val="003D61EA"/>
    <w:rsid w:val="0042071C"/>
    <w:rsid w:val="004566DF"/>
    <w:rsid w:val="004619E6"/>
    <w:rsid w:val="00492485"/>
    <w:rsid w:val="004B4407"/>
    <w:rsid w:val="00504ADF"/>
    <w:rsid w:val="00533525"/>
    <w:rsid w:val="00534678"/>
    <w:rsid w:val="00536A4D"/>
    <w:rsid w:val="005F0D2D"/>
    <w:rsid w:val="00615D2E"/>
    <w:rsid w:val="00631924"/>
    <w:rsid w:val="0064089D"/>
    <w:rsid w:val="0064696D"/>
    <w:rsid w:val="00681674"/>
    <w:rsid w:val="00703C06"/>
    <w:rsid w:val="00715943"/>
    <w:rsid w:val="00761E0A"/>
    <w:rsid w:val="007671BD"/>
    <w:rsid w:val="0077347A"/>
    <w:rsid w:val="007B0E5F"/>
    <w:rsid w:val="00807669"/>
    <w:rsid w:val="00845F0B"/>
    <w:rsid w:val="0086117B"/>
    <w:rsid w:val="008A3C4F"/>
    <w:rsid w:val="008A4EEE"/>
    <w:rsid w:val="008A6DC0"/>
    <w:rsid w:val="008E63BF"/>
    <w:rsid w:val="008F34F7"/>
    <w:rsid w:val="00931DC7"/>
    <w:rsid w:val="009417FD"/>
    <w:rsid w:val="00950A44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70F58"/>
    <w:rsid w:val="00B84A55"/>
    <w:rsid w:val="00BA1C5C"/>
    <w:rsid w:val="00BC20BA"/>
    <w:rsid w:val="00BE34BB"/>
    <w:rsid w:val="00BE3A83"/>
    <w:rsid w:val="00BE4A40"/>
    <w:rsid w:val="00BF4720"/>
    <w:rsid w:val="00C77C87"/>
    <w:rsid w:val="00C87AC5"/>
    <w:rsid w:val="00C9477E"/>
    <w:rsid w:val="00CB2207"/>
    <w:rsid w:val="00E37D65"/>
    <w:rsid w:val="00E429C6"/>
    <w:rsid w:val="00E46F95"/>
    <w:rsid w:val="00E63A51"/>
    <w:rsid w:val="00EB02A6"/>
    <w:rsid w:val="00EB59E2"/>
    <w:rsid w:val="00F203DC"/>
    <w:rsid w:val="00F53A1C"/>
    <w:rsid w:val="00F7539F"/>
    <w:rsid w:val="00F91E81"/>
    <w:rsid w:val="00F95E8E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2324"/>
  <w15:docId w15:val="{E301F88B-0282-4D96-96B8-3E8A3D6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417FD"/>
    <w:rPr>
      <w:rFonts w:ascii="Verdana" w:hAnsi="Verdana" w:cs="Simplified Arabic"/>
      <w:color w:val="000000"/>
      <w:sz w:val="28"/>
      <w:szCs w:val="28"/>
    </w:rPr>
  </w:style>
  <w:style w:type="character" w:styleId="Hyperlink">
    <w:name w:val="Hyperlink"/>
    <w:uiPriority w:val="99"/>
    <w:unhideWhenUsed/>
    <w:rsid w:val="007B0E5F"/>
    <w:rPr>
      <w:strike w:val="0"/>
      <w:dstrike w:val="0"/>
      <w:color w:val="0000FF"/>
      <w:u w:val="none"/>
      <w:effect w:val="none"/>
    </w:rPr>
  </w:style>
  <w:style w:type="paragraph" w:styleId="NoSpacing">
    <w:name w:val="No Spacing"/>
    <w:uiPriority w:val="1"/>
    <w:qFormat/>
    <w:rsid w:val="003D6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xias.lu/PDF/PerettiFrimouss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Nawel Debla</cp:lastModifiedBy>
  <cp:revision>9</cp:revision>
  <cp:lastPrinted>2019-10-29T12:40:00Z</cp:lastPrinted>
  <dcterms:created xsi:type="dcterms:W3CDTF">2020-12-07T13:42:00Z</dcterms:created>
  <dcterms:modified xsi:type="dcterms:W3CDTF">2020-12-07T20:38:00Z</dcterms:modified>
</cp:coreProperties>
</file>