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كلية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0472615F" wp14:editId="330E298B">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B0527E"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77AE890A" wp14:editId="7DCC3326">
                    <wp:simplePos x="0" y="0"/>
                    <wp:positionH relativeFrom="column">
                      <wp:posOffset>154940</wp:posOffset>
                    </wp:positionH>
                    <wp:positionV relativeFrom="paragraph">
                      <wp:posOffset>232883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471052"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bookmarkStart w:id="0" w:name="_GoBack"/>
                                <w:bookmarkEnd w:id="0"/>
                                <w:r w:rsidR="00560911">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471052"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bookmarkStart w:id="1" w:name="_GoBack"/>
                          <w:bookmarkEnd w:id="1"/>
                          <w:r w:rsidR="00560911">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E90D3D" w:rsidRPr="005B6617" w:rsidRDefault="005B6617" w:rsidP="005B661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B0527E" w:rsidRDefault="00B0527E" w:rsidP="0085782B">
      <w:pPr>
        <w:spacing w:line="276" w:lineRule="auto"/>
        <w:jc w:val="center"/>
        <w:rPr>
          <w:rFonts w:ascii="Simplified Arabic" w:eastAsiaTheme="minorHAnsi" w:hAnsi="Simplified Arabic" w:cs="Simplified Arabic"/>
          <w:b/>
          <w:bCs/>
          <w:sz w:val="48"/>
          <w:szCs w:val="48"/>
          <w:rtl/>
          <w:lang w:val="en-US" w:eastAsia="en-US" w:bidi="ar-DZ"/>
        </w:rPr>
      </w:pPr>
    </w:p>
    <w:p w:rsidR="003E6A5D" w:rsidRDefault="0085782B" w:rsidP="0085782B">
      <w:pPr>
        <w:spacing w:line="276" w:lineRule="auto"/>
        <w:jc w:val="center"/>
        <w:rPr>
          <w:rFonts w:ascii="Simplified Arabic" w:eastAsiaTheme="minorHAnsi" w:hAnsi="Simplified Arabic" w:cs="Simplified Arabic"/>
          <w:b/>
          <w:bCs/>
          <w:sz w:val="32"/>
          <w:szCs w:val="32"/>
          <w:lang w:val="en-US" w:eastAsia="en-US"/>
        </w:rPr>
      </w:pPr>
      <w:r w:rsidRPr="0098166D">
        <w:rPr>
          <w:rFonts w:ascii="Simplified Arabic" w:eastAsiaTheme="minorHAnsi" w:hAnsi="Simplified Arabic" w:cs="Simplified Arabic"/>
          <w:b/>
          <w:bCs/>
          <w:sz w:val="32"/>
          <w:szCs w:val="32"/>
          <w:rtl/>
          <w:lang w:val="en-US" w:eastAsia="en-US"/>
        </w:rPr>
        <w:lastRenderedPageBreak/>
        <w:t xml:space="preserve"> </w:t>
      </w:r>
      <w:r w:rsidRPr="005B6617">
        <w:rPr>
          <w:rFonts w:ascii="Simplified Arabic" w:eastAsiaTheme="minorHAnsi" w:hAnsi="Simplified Arabic" w:cs="Simplified Arabic"/>
          <w:b/>
          <w:bCs/>
          <w:sz w:val="32"/>
          <w:szCs w:val="32"/>
          <w:rtl/>
          <w:lang w:val="en-US" w:eastAsia="en-US"/>
        </w:rPr>
        <w:t>التطور التاريخي للمجتمع الدولي</w:t>
      </w:r>
      <w:r>
        <w:rPr>
          <w:rFonts w:ascii="Simplified Arabic" w:eastAsiaTheme="minorHAnsi" w:hAnsi="Simplified Arabic" w:cs="Simplified Arabic" w:hint="cs"/>
          <w:b/>
          <w:bCs/>
          <w:sz w:val="32"/>
          <w:szCs w:val="32"/>
          <w:rtl/>
          <w:lang w:val="en-US" w:eastAsia="en-US"/>
        </w:rPr>
        <w:t>:</w:t>
      </w:r>
    </w:p>
    <w:p w:rsidR="0098166D" w:rsidRDefault="0085782B" w:rsidP="00B0527E">
      <w:pPr>
        <w:pStyle w:val="Paragraphedeliste"/>
        <w:spacing w:line="276" w:lineRule="auto"/>
        <w:ind w:left="282"/>
        <w:jc w:val="center"/>
        <w:rPr>
          <w:rFonts w:ascii="Simplified Arabic" w:eastAsiaTheme="minorHAnsi" w:hAnsi="Simplified Arabic" w:cs="Simplified Arabic"/>
          <w:b/>
          <w:bCs/>
          <w:sz w:val="32"/>
          <w:szCs w:val="32"/>
          <w:lang w:val="en-US" w:eastAsia="en-US" w:bidi="ar-DZ"/>
        </w:rPr>
      </w:pPr>
      <w:r w:rsidRPr="003E6A5D">
        <w:rPr>
          <w:rFonts w:ascii="Simplified Arabic" w:eastAsiaTheme="minorHAnsi" w:hAnsi="Simplified Arabic" w:cs="Simplified Arabic"/>
          <w:b/>
          <w:bCs/>
          <w:sz w:val="32"/>
          <w:szCs w:val="32"/>
          <w:rtl/>
          <w:lang w:val="en-US" w:eastAsia="en-US" w:bidi="ar-DZ"/>
        </w:rPr>
        <w:t>المجتمع الدولي خلال العصر الحديث</w:t>
      </w:r>
    </w:p>
    <w:p w:rsidR="003E6A5D" w:rsidRPr="003E6A5D" w:rsidRDefault="00D14103" w:rsidP="00D14103">
      <w:pPr>
        <w:pStyle w:val="Paragraphedeliste"/>
        <w:spacing w:line="276" w:lineRule="auto"/>
        <w:ind w:left="282"/>
        <w:rPr>
          <w:rFonts w:ascii="Simplified Arabic" w:eastAsiaTheme="minorHAnsi" w:hAnsi="Simplified Arabic" w:cs="Simplified Arabic"/>
          <w:b/>
          <w:bCs/>
          <w:sz w:val="32"/>
          <w:szCs w:val="32"/>
          <w:rtl/>
          <w:lang w:val="en-US" w:eastAsia="en-US" w:bidi="ar-DZ"/>
        </w:rPr>
      </w:pPr>
      <w:r>
        <w:rPr>
          <w:rFonts w:ascii="Simplified Arabic" w:eastAsiaTheme="minorHAnsi" w:hAnsi="Simplified Arabic" w:cs="Simplified Arabic" w:hint="cs"/>
          <w:sz w:val="28"/>
          <w:szCs w:val="28"/>
          <w:rtl/>
          <w:lang w:val="en-US" w:eastAsia="en-US" w:bidi="ar-DZ"/>
        </w:rPr>
        <w:tab/>
      </w:r>
      <w:r w:rsidRPr="00D14103">
        <w:rPr>
          <w:rFonts w:ascii="Simplified Arabic" w:eastAsiaTheme="minorHAnsi" w:hAnsi="Simplified Arabic" w:cs="Simplified Arabic" w:hint="cs"/>
          <w:sz w:val="28"/>
          <w:szCs w:val="28"/>
          <w:rtl/>
          <w:lang w:val="en-US" w:eastAsia="en-US" w:bidi="ar-DZ"/>
        </w:rPr>
        <w:t>يعتبر كل من مؤتمر فيينا 1815 وكذا عام 1914 حدثين هامين في تاريخ تشكيل المجتمع الدولي خلال العصر الحديث</w:t>
      </w:r>
      <w:r>
        <w:rPr>
          <w:rFonts w:ascii="Simplified Arabic" w:eastAsiaTheme="minorHAnsi" w:hAnsi="Simplified Arabic" w:cs="Simplified Arabic" w:hint="cs"/>
          <w:sz w:val="28"/>
          <w:szCs w:val="28"/>
          <w:rtl/>
          <w:lang w:val="en-US" w:eastAsia="en-US" w:bidi="ar-DZ"/>
        </w:rPr>
        <w:t>.</w:t>
      </w:r>
      <w:r>
        <w:rPr>
          <w:rFonts w:ascii="Simplified Arabic" w:eastAsiaTheme="minorHAnsi" w:hAnsi="Simplified Arabic" w:cs="Simplified Arabic" w:hint="cs"/>
          <w:b/>
          <w:bCs/>
          <w:sz w:val="32"/>
          <w:szCs w:val="32"/>
          <w:rtl/>
          <w:lang w:eastAsia="en-US" w:bidi="ar-DZ"/>
        </w:rPr>
        <w:t xml:space="preserve"> </w:t>
      </w:r>
    </w:p>
    <w:p w:rsidR="00E90D3D" w:rsidRPr="003E6A5D" w:rsidRDefault="00AF494F" w:rsidP="003E6A5D">
      <w:pPr>
        <w:pStyle w:val="Paragraphedeliste"/>
        <w:numPr>
          <w:ilvl w:val="0"/>
          <w:numId w:val="33"/>
        </w:numPr>
        <w:spacing w:line="276" w:lineRule="auto"/>
        <w:jc w:val="center"/>
        <w:rPr>
          <w:rFonts w:ascii="Simplified Arabic" w:eastAsiaTheme="minorHAnsi" w:hAnsi="Simplified Arabic" w:cs="Simplified Arabic"/>
          <w:b/>
          <w:bCs/>
          <w:sz w:val="32"/>
          <w:szCs w:val="32"/>
          <w:rtl/>
          <w:lang w:val="en-US" w:eastAsia="en-US" w:bidi="ar-DZ"/>
        </w:rPr>
      </w:pPr>
      <w:r w:rsidRPr="003E6A5D">
        <w:rPr>
          <w:rFonts w:ascii="Simplified Arabic" w:eastAsiaTheme="minorHAnsi" w:hAnsi="Simplified Arabic" w:cs="Simplified Arabic"/>
          <w:b/>
          <w:bCs/>
          <w:sz w:val="32"/>
          <w:szCs w:val="32"/>
          <w:rtl/>
          <w:lang w:val="en-US" w:eastAsia="en-US" w:bidi="ar-DZ"/>
        </w:rPr>
        <w:t xml:space="preserve">المجتمع الدولي بين </w:t>
      </w:r>
      <w:r w:rsidR="00680FEF" w:rsidRPr="003E6A5D">
        <w:rPr>
          <w:rFonts w:ascii="Simplified Arabic" w:eastAsiaTheme="minorHAnsi" w:hAnsi="Simplified Arabic" w:cs="Simplified Arabic"/>
          <w:b/>
          <w:bCs/>
          <w:sz w:val="32"/>
          <w:szCs w:val="32"/>
          <w:rtl/>
          <w:lang w:val="en-US" w:eastAsia="en-US" w:bidi="ar-DZ"/>
        </w:rPr>
        <w:t>(1815-1914)</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تميزت هذه المرحلة بعقد المؤتمرات واستعمال </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لمعاهدات،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وتحرير القانون الدولي من الط</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بع الأوروبي مطلع القرن التاسع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عندما شمل المجتمع الدولي دولا غير 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كالولايات المتحدة الأمريكية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 وفي منتصف نفس القرن تحرر من صفته المسيحية عندما انضم لميدان العلاقات الدولية كل من الدولة العثمانية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والصين واليابان.</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لقد انبثق عن مؤتمر "في</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نا" 1815 تحالفا أوروبي</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لضمان الاستقرار السياسي في أوروبا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خاصة بعد الحرب النابوليونية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بالمحافظة على الأنظمة الملكية القائمة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 xml:space="preserve">ردع الثورات الشعبية ضد </w:t>
      </w:r>
      <w:r w:rsidRPr="00BD4C56">
        <w:rPr>
          <w:rFonts w:ascii="Simplified Arabic" w:eastAsiaTheme="minorHAnsi" w:hAnsi="Simplified Arabic" w:cs="Simplified Arabic" w:hint="cs"/>
          <w:sz w:val="28"/>
          <w:szCs w:val="28"/>
          <w:rtl/>
          <w:lang w:val="en-US" w:eastAsia="en-US" w:bidi="ar-DZ"/>
        </w:rPr>
        <w:t xml:space="preserve">هذه </w:t>
      </w:r>
      <w:r w:rsidRPr="00BD4C56">
        <w:rPr>
          <w:rFonts w:ascii="Simplified Arabic" w:eastAsiaTheme="minorHAnsi" w:hAnsi="Simplified Arabic" w:cs="Simplified Arabic"/>
          <w:sz w:val="28"/>
          <w:szCs w:val="28"/>
          <w:rtl/>
          <w:lang w:val="en-US" w:eastAsia="en-US" w:bidi="ar-DZ"/>
        </w:rPr>
        <w:t>الأنظمة.</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كما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مؤتمر "ف</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 xml:space="preserve">ينا" كان يهدف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التوازن الدولي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انهار بسبب الحروب النابوليونية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ساس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الاستقرار الاجتماعي يتوقف على السلم والنظام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اللذين يعتمدان بدورهما على نظام توازن القوى،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فكرة التوازن الدولي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ضحت بعد الحرب النابوليونية وفي مفهوم الدول الحليفة ضد فرنسا تعني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رجاع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سر المالكة إلى عروشها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وتقسيم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بشكل يتلاءم ورغبات الدول الكبرى، ويحافظ على توازن القوى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ويحفظ السلام عن طريق المحافظة ع</w:t>
      </w:r>
      <w:r w:rsidRPr="00BD4C56">
        <w:rPr>
          <w:rFonts w:ascii="Simplified Arabic" w:eastAsiaTheme="minorHAnsi" w:hAnsi="Simplified Arabic" w:cs="Simplified Arabic" w:hint="cs"/>
          <w:sz w:val="28"/>
          <w:szCs w:val="28"/>
          <w:rtl/>
          <w:lang w:val="en-US" w:eastAsia="en-US" w:bidi="ar-DZ"/>
        </w:rPr>
        <w:t>ـ</w:t>
      </w:r>
      <w:r w:rsidRPr="00BD4C56">
        <w:rPr>
          <w:rFonts w:ascii="Simplified Arabic" w:eastAsiaTheme="minorHAnsi" w:hAnsi="Simplified Arabic" w:cs="Simplified Arabic"/>
          <w:sz w:val="28"/>
          <w:szCs w:val="28"/>
          <w:rtl/>
          <w:lang w:val="en-US" w:eastAsia="en-US" w:bidi="ar-DZ"/>
        </w:rPr>
        <w:t>لى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وضاع القائمة </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وأهم قرارات مؤتمر فينا نلخصها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عادة تنظيم التوازن الأوروبي، وقد اختلفت وجهات النظر حول كيفية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التوازن بين الجهة الفرنسية المنادية بالأخذ بمبدأ المشروعية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يعني احترام الحق الشرعي للملك في السيادة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قليمه ورعاياه،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ووجهة نظر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"بروسيا"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المبنية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ساس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المؤتمر ذو طابع 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لذلك يجب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ينصب عمله على معالجة مبدأ التوازن السياسي ورغبات الدول المشاركة،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تبنى المؤتمر في الأخير التوجه الفرنسي.</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اقرار مبدأ التدخل قصد القضاء على الحركات الثورية "الشعبية"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نجم عنه زوال مبدأ الاستقلال والمساواة بين الدول في السيادة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وعليه تم تشكيل ما سمي بالحلف المقدس بين كل من "روسيا، النمسا، بروسيا، بريطانيا" ثم انضمت اسبانيا 1820،</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وايطاليا 1821 </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 xml:space="preserve">فرنسا 1818، وتركيا </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(4)</w:t>
      </w:r>
      <w:r w:rsidRPr="00BD4C56">
        <w:rPr>
          <w:rFonts w:ascii="Simplified Arabic" w:eastAsiaTheme="minorHAnsi" w:hAnsi="Simplified Arabic" w:cs="Simplified Arabic" w:hint="cs"/>
          <w:sz w:val="28"/>
          <w:szCs w:val="28"/>
          <w:rtl/>
          <w:lang w:val="en-US" w:eastAsia="en-US" w:bidi="ar-DZ"/>
        </w:rPr>
        <w:t>1856،</w:t>
      </w:r>
      <w:r w:rsidRPr="00BD4C56">
        <w:rPr>
          <w:rFonts w:ascii="Simplified Arabic" w:eastAsiaTheme="minorHAnsi" w:hAnsi="Simplified Arabic" w:cs="Simplified Arabic"/>
          <w:sz w:val="28"/>
          <w:szCs w:val="28"/>
          <w:rtl/>
          <w:lang w:val="en-US" w:eastAsia="en-US" w:bidi="ar-DZ"/>
        </w:rPr>
        <w:t xml:space="preserve"> لكن انهار هذا الحلف</w:t>
      </w:r>
      <w:r w:rsidRPr="00BD4C56">
        <w:rPr>
          <w:rFonts w:ascii="Simplified Arabic" w:eastAsiaTheme="minorHAnsi" w:hAnsi="Simplified Arabic" w:cs="Simplified Arabic" w:hint="cs"/>
          <w:sz w:val="28"/>
          <w:szCs w:val="28"/>
          <w:rtl/>
          <w:lang w:val="en-US" w:eastAsia="en-US" w:bidi="ar-DZ"/>
        </w:rPr>
        <w:t xml:space="preserve"> بعد</w:t>
      </w:r>
      <w:r w:rsidRPr="00BD4C56">
        <w:rPr>
          <w:rFonts w:ascii="Simplified Arabic" w:eastAsiaTheme="minorHAnsi" w:hAnsi="Simplified Arabic" w:cs="Simplified Arabic"/>
          <w:sz w:val="28"/>
          <w:szCs w:val="28"/>
          <w:rtl/>
          <w:lang w:val="en-US" w:eastAsia="en-US" w:bidi="ar-DZ"/>
        </w:rPr>
        <w:t xml:space="preserve"> رفضه من قبل" و م أ"</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واعتباره يمثل خطرا على سلامة امريكا الجنوبية الحديثة الاستقلال،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دى هذا الانهيار إلى انتشار الأفكار التحررية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القوميات.</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اقرار بعض المبادئ القانونية الدولية مثل تحديد وضعية خاصة بالمبعوثين الديبلوماسيين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وتنظيم الملاحة في الأنهار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ووضع سويسرا في الحياد الدائم،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بالإضافة إلى تحريم تجارة الرقيق</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تميزت هذه الفترة بالإضافة لعقد المؤتمرات بإنشاء بعض الاتحادات الدولية الإدارية مثل الاتحاد الدولي للمواصلات السلكية واللاسلكية 1865، يهتم بوسائل الاتصال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كذلك اتحاد البريد العالمي 1874</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ب</w:t>
      </w:r>
      <w:r w:rsidRPr="00BD4C56">
        <w:rPr>
          <w:rFonts w:ascii="Simplified Arabic" w:eastAsiaTheme="minorHAnsi" w:hAnsi="Simplified Arabic" w:cs="Simplified Arabic"/>
          <w:sz w:val="28"/>
          <w:szCs w:val="28"/>
          <w:rtl/>
          <w:lang w:val="en-US" w:eastAsia="en-US" w:bidi="ar-DZ"/>
        </w:rPr>
        <w:t>هدف إلزام الدول باحترام قواعد البريد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مكتب دولي للبريد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الاتحاد الدولي للنقل بالسكك الحديدي</w:t>
      </w:r>
      <w:r w:rsidRPr="00BD4C56">
        <w:rPr>
          <w:rFonts w:ascii="Simplified Arabic" w:eastAsiaTheme="minorHAnsi" w:hAnsi="Simplified Arabic" w:cs="Simplified Arabic" w:hint="cs"/>
          <w:sz w:val="28"/>
          <w:szCs w:val="28"/>
          <w:rtl/>
          <w:lang w:val="en-US" w:eastAsia="en-US" w:bidi="ar-DZ"/>
        </w:rPr>
        <w:t>ة سنة</w:t>
      </w:r>
      <w:r w:rsidRPr="00BD4C56">
        <w:rPr>
          <w:rFonts w:ascii="Simplified Arabic" w:eastAsiaTheme="minorHAnsi" w:hAnsi="Simplified Arabic" w:cs="Simplified Arabic"/>
          <w:sz w:val="28"/>
          <w:szCs w:val="28"/>
          <w:rtl/>
          <w:lang w:val="en-US" w:eastAsia="en-US" w:bidi="ar-DZ"/>
        </w:rPr>
        <w:t xml:space="preserve"> 1892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هدافه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قرار مبدأ النقل الإلزامي للبضائع بين الدول.</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اتسع خلال هذه الفترة استعمال المعاهدات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صبحت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سلوبا قانونيا تتجه نحوه مختلف الدول في معاملاتها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مما ساعد على خلق مجتمع 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كثر تنظيما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واستقرارا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سبيل المثال معاهدة باريس</w:t>
      </w:r>
      <w:r w:rsidRPr="00BD4C56">
        <w:rPr>
          <w:rFonts w:ascii="Simplified Arabic" w:eastAsiaTheme="minorHAnsi" w:hAnsi="Simplified Arabic" w:cs="Simplified Arabic" w:hint="cs"/>
          <w:sz w:val="28"/>
          <w:szCs w:val="28"/>
          <w:rtl/>
          <w:lang w:val="en-US" w:eastAsia="en-US" w:bidi="ar-DZ"/>
        </w:rPr>
        <w:t xml:space="preserve"> سنة </w:t>
      </w:r>
      <w:r w:rsidRPr="00BD4C56">
        <w:rPr>
          <w:rFonts w:ascii="Simplified Arabic" w:eastAsiaTheme="minorHAnsi" w:hAnsi="Simplified Arabic" w:cs="Simplified Arabic"/>
          <w:sz w:val="28"/>
          <w:szCs w:val="28"/>
          <w:rtl/>
          <w:lang w:val="en-US" w:eastAsia="en-US" w:bidi="ar-DZ"/>
        </w:rPr>
        <w:t>1856</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بشأن قانون البحار،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اتفاقية جنيف بشأن اسرى الحروب1864،</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واتفاقية بروسل1890 المتعلقة بحضر تجارة الرقيق،</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معاهدة لاهاي 1899 المتعلقة بإنشاء محكمة دائمة للتحكيم ومعاهدة "لاهاي" 1907</w:t>
      </w:r>
      <w:r w:rsidRPr="00BD4C56">
        <w:rPr>
          <w:rFonts w:ascii="Simplified Arabic" w:eastAsiaTheme="minorHAnsi" w:hAnsi="Simplified Arabic" w:cs="Simplified Arabic" w:hint="cs"/>
          <w:sz w:val="28"/>
          <w:szCs w:val="28"/>
          <w:rtl/>
          <w:lang w:val="en-US" w:eastAsia="en-US" w:bidi="ar-DZ"/>
        </w:rPr>
        <w:t xml:space="preserve"> لإقامة</w:t>
      </w:r>
      <w:r w:rsidRPr="00BD4C56">
        <w:rPr>
          <w:rFonts w:ascii="Simplified Arabic" w:eastAsiaTheme="minorHAnsi" w:hAnsi="Simplified Arabic" w:cs="Simplified Arabic"/>
          <w:sz w:val="28"/>
          <w:szCs w:val="28"/>
          <w:rtl/>
          <w:lang w:val="en-US" w:eastAsia="en-US" w:bidi="ar-DZ"/>
        </w:rPr>
        <w:t xml:space="preserve"> محكمة دولية </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المبحث الثالث</w:t>
      </w:r>
    </w:p>
    <w:p w:rsidR="00D14103" w:rsidRPr="00BD4C56" w:rsidRDefault="00D14103" w:rsidP="00D14103">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المجتمع الدولي بين (1914-</w:t>
      </w:r>
      <w:r w:rsidRPr="00BD4C56">
        <w:rPr>
          <w:rFonts w:ascii="Simplified Arabic" w:eastAsiaTheme="minorHAnsi" w:hAnsi="Simplified Arabic" w:cs="Simplified Arabic"/>
          <w:b/>
          <w:bCs/>
          <w:sz w:val="28"/>
          <w:szCs w:val="28"/>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1990)</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تميزت هذه المرحلة </w:t>
      </w:r>
      <w:r w:rsidRPr="00BD4C56">
        <w:rPr>
          <w:rFonts w:ascii="Simplified Arabic" w:eastAsiaTheme="minorHAnsi" w:hAnsi="Simplified Arabic" w:cs="Simplified Arabic" w:hint="cs"/>
          <w:sz w:val="28"/>
          <w:szCs w:val="28"/>
          <w:rtl/>
          <w:lang w:val="en-US" w:eastAsia="en-US" w:bidi="ar-DZ"/>
        </w:rPr>
        <w:t xml:space="preserve">( بين اندلاع الحرب العالمية الأولى، وسقوط الاتحاد السوفياتي) </w:t>
      </w:r>
      <w:r w:rsidRPr="00BD4C56">
        <w:rPr>
          <w:rFonts w:ascii="Simplified Arabic" w:eastAsiaTheme="minorHAnsi" w:hAnsi="Simplified Arabic" w:cs="Simplified Arabic"/>
          <w:sz w:val="28"/>
          <w:szCs w:val="28"/>
          <w:rtl/>
          <w:lang w:val="en-US" w:eastAsia="en-US" w:bidi="ar-DZ"/>
        </w:rPr>
        <w:t>بظهور المنظمات الدولية كأشخاص جديدة في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وحدوث تغيرات هامة على الساحة الدولية</w:t>
      </w:r>
      <w:r w:rsidRPr="00BD4C56">
        <w:rPr>
          <w:rFonts w:ascii="Simplified Arabic" w:eastAsiaTheme="minorHAnsi" w:hAnsi="Simplified Arabic" w:cs="Simplified Arabic" w:hint="cs"/>
          <w:sz w:val="28"/>
          <w:szCs w:val="28"/>
          <w:rtl/>
          <w:lang w:val="en-US" w:eastAsia="en-US" w:bidi="ar-DZ"/>
        </w:rPr>
        <w:t xml:space="preserve"> بعد الحربين العالميتين،</w:t>
      </w:r>
      <w:r w:rsidRPr="00BD4C56">
        <w:rPr>
          <w:rFonts w:ascii="Simplified Arabic" w:eastAsiaTheme="minorHAnsi" w:hAnsi="Simplified Arabic" w:cs="Simplified Arabic"/>
          <w:sz w:val="28"/>
          <w:szCs w:val="28"/>
          <w:rtl/>
          <w:lang w:val="en-US" w:eastAsia="en-US" w:bidi="ar-DZ"/>
        </w:rPr>
        <w:t xml:space="preserve"> اثرت في تطور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ومنه في قواعد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ويمكن </w:t>
      </w:r>
      <w:r w:rsidRPr="00BD4C56">
        <w:rPr>
          <w:rFonts w:ascii="Simplified Arabic" w:eastAsiaTheme="minorHAnsi" w:hAnsi="Simplified Arabic" w:cs="Simplified Arabic" w:hint="cs"/>
          <w:sz w:val="28"/>
          <w:szCs w:val="28"/>
          <w:rtl/>
          <w:lang w:val="en-US" w:eastAsia="en-US" w:bidi="ar-DZ"/>
        </w:rPr>
        <w:t>ذكر بعضها</w:t>
      </w:r>
      <w:r w:rsidRPr="00BD4C56">
        <w:rPr>
          <w:rFonts w:ascii="Simplified Arabic" w:eastAsiaTheme="minorHAnsi" w:hAnsi="Simplified Arabic" w:cs="Simplified Arabic"/>
          <w:sz w:val="28"/>
          <w:szCs w:val="28"/>
          <w:rtl/>
          <w:lang w:val="en-US" w:eastAsia="en-US" w:bidi="ar-DZ"/>
        </w:rPr>
        <w:t xml:space="preserve"> في</w:t>
      </w:r>
      <w:r w:rsidRPr="00BD4C56">
        <w:rPr>
          <w:rFonts w:ascii="Simplified Arabic" w:eastAsiaTheme="minorHAnsi" w:hAnsi="Simplified Arabic" w:cs="Simplified Arabic" w:hint="cs"/>
          <w:sz w:val="28"/>
          <w:szCs w:val="28"/>
          <w:rtl/>
          <w:lang w:val="en-US" w:eastAsia="en-US" w:bidi="ar-DZ"/>
        </w:rPr>
        <w:t>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6"/>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تبلور ظاهرة التنظيم الدولي من خلال تسجيل عدة معاهدات واتفاقيات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هدفها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رساء وتطوير التعاون الدولي.</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شركات متعددة الجنسيات.</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عصبة الأمم بعد الحرب العالمية الأولى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لحفظ السلم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وتنظيم العلاقات الدولية</w:t>
      </w:r>
      <w:r w:rsidRPr="00BD4C56">
        <w:rPr>
          <w:rFonts w:ascii="Simplified Arabic" w:eastAsiaTheme="minorHAnsi" w:hAnsi="Simplified Arabic" w:cs="Simplified Arabic" w:hint="cs"/>
          <w:sz w:val="28"/>
          <w:szCs w:val="28"/>
          <w:rtl/>
          <w:lang w:val="en-US"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هيئة الأمم المتحدة الأمريكية بعد الحرب العالمية الثانية</w:t>
      </w:r>
      <w:r w:rsidRPr="00BD4C56">
        <w:rPr>
          <w:rFonts w:ascii="Simplified Arabic" w:eastAsiaTheme="minorHAnsi" w:hAnsi="Simplified Arabic" w:cs="Simplified Arabic" w:hint="cs"/>
          <w:sz w:val="28"/>
          <w:szCs w:val="28"/>
          <w:rtl/>
          <w:lang w:val="en-US" w:eastAsia="en-US" w:bidi="ar-DZ"/>
        </w:rPr>
        <w:t>، في محاولة جديدة لحفظ السلم الدولي، وتنظيم جديد للعلاقات الدولية في شكل جديد مختلف عن أسلوب عصبة الامم.</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بروز دول جديدة بفعل خسائر النظام الاستعماري بفعل حركات التحرر</w:t>
      </w:r>
      <w:r w:rsidRPr="00BD4C56">
        <w:rPr>
          <w:rFonts w:ascii="Simplified Arabic" w:eastAsiaTheme="minorHAnsi" w:hAnsi="Simplified Arabic" w:cs="Simplified Arabic" w:hint="cs"/>
          <w:sz w:val="28"/>
          <w:szCs w:val="28"/>
          <w:rtl/>
          <w:lang w:val="en-US" w:eastAsia="en-US" w:bidi="ar-DZ"/>
        </w:rPr>
        <w:t>، وت</w:t>
      </w:r>
      <w:r w:rsidRPr="00BD4C56">
        <w:rPr>
          <w:rFonts w:ascii="Simplified Arabic" w:eastAsiaTheme="minorHAnsi" w:hAnsi="Simplified Arabic" w:cs="Simplified Arabic"/>
          <w:sz w:val="28"/>
          <w:szCs w:val="28"/>
          <w:rtl/>
          <w:lang w:val="en-US" w:eastAsia="en-US" w:bidi="ar-DZ"/>
        </w:rPr>
        <w:t>كتل الدول الحديثة الاستقلال للدفاع عن مصالحها</w:t>
      </w:r>
      <w:r w:rsidRPr="00BD4C56">
        <w:rPr>
          <w:rFonts w:ascii="Simplified Arabic" w:eastAsiaTheme="minorHAnsi" w:hAnsi="Simplified Arabic" w:cs="Simplified Arabic" w:hint="cs"/>
          <w:sz w:val="28"/>
          <w:szCs w:val="28"/>
          <w:rtl/>
          <w:lang w:val="en-US" w:eastAsia="en-US" w:bidi="ar-DZ"/>
        </w:rPr>
        <w:t>، مع اتخاذ موقف عدم الانحياز في ظل الحرب الباردة، والتي سيطرت على الاستقطابات الدولية.</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بروز ظاهرة الوعي القومي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الشرقية بعد سقوط الاتحاد السوفياتي</w:t>
      </w:r>
      <w:r w:rsidRPr="00BD4C56">
        <w:rPr>
          <w:rFonts w:ascii="Simplified Arabic" w:eastAsiaTheme="minorHAnsi" w:hAnsi="Simplified Arabic" w:cs="Simplified Arabic" w:hint="cs"/>
          <w:sz w:val="28"/>
          <w:szCs w:val="28"/>
          <w:rtl/>
          <w:lang w:val="en-US" w:eastAsia="en-US" w:bidi="ar-DZ"/>
        </w:rPr>
        <w:t>، وظهور عوامل التفكك في هذا الاتحاد.</w:t>
      </w:r>
    </w:p>
    <w:p w:rsidR="00D14103" w:rsidRPr="00BD4C56" w:rsidRDefault="00D14103" w:rsidP="00D14103">
      <w:pPr>
        <w:spacing w:line="276" w:lineRule="auto"/>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val="en-US" w:eastAsia="en-US" w:bidi="ar-DZ"/>
        </w:rPr>
        <w:t xml:space="preserve">- عودة بعض الدول للاتحاد </w:t>
      </w:r>
      <w:r w:rsidRPr="00BD4C56">
        <w:rPr>
          <w:rFonts w:ascii="Simplified Arabic" w:eastAsiaTheme="minorHAnsi" w:hAnsi="Simplified Arabic" w:cs="Simplified Arabic" w:hint="cs"/>
          <w:sz w:val="28"/>
          <w:szCs w:val="28"/>
          <w:rtl/>
          <w:lang w:val="en-US" w:eastAsia="en-US" w:bidi="ar-DZ"/>
        </w:rPr>
        <w:t>ك</w:t>
      </w:r>
      <w:r w:rsidRPr="00BD4C56">
        <w:rPr>
          <w:rFonts w:ascii="Simplified Arabic" w:eastAsiaTheme="minorHAnsi" w:hAnsi="Simplified Arabic" w:cs="Simplified Arabic"/>
          <w:sz w:val="28"/>
          <w:szCs w:val="28"/>
          <w:rtl/>
          <w:lang w:val="en-US" w:eastAsia="en-US" w:bidi="ar-DZ"/>
        </w:rPr>
        <w:t>الألمانيتين واليمنيتين</w:t>
      </w:r>
      <w:r w:rsidRPr="00BD4C56">
        <w:rPr>
          <w:rFonts w:ascii="Simplified Arabic" w:eastAsiaTheme="minorHAnsi" w:hAnsi="Simplified Arabic" w:cs="Simplified Arabic"/>
          <w:sz w:val="28"/>
          <w:szCs w:val="28"/>
          <w:rtl/>
          <w:lang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hint="cs"/>
          <w:sz w:val="28"/>
          <w:szCs w:val="28"/>
          <w:rtl/>
          <w:lang w:eastAsia="en-US" w:bidi="ar-DZ"/>
        </w:rPr>
        <w:t>إ</w:t>
      </w:r>
      <w:r w:rsidRPr="00BD4C56">
        <w:rPr>
          <w:rFonts w:ascii="Simplified Arabic" w:eastAsiaTheme="minorHAnsi" w:hAnsi="Simplified Arabic" w:cs="Simplified Arabic"/>
          <w:sz w:val="28"/>
          <w:szCs w:val="28"/>
          <w:rtl/>
          <w:lang w:eastAsia="en-US" w:bidi="ar-DZ"/>
        </w:rPr>
        <w:t>ن كل هذه المتغيرات وغيرها كثير أثرت في تطور المجتمع الدولي، ولا يمكن أن تكون واحدة قد أدت هذا الدور لوحدها، أو شمل تأثيرها كل العالم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وإنما كل منها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ثر في جانب، وبفضلها أصبح للمجتمع الدولي عدة خصائص نوجزها فيما يلي</w:t>
      </w:r>
      <w:r w:rsidRPr="00BD4C56">
        <w:rPr>
          <w:rStyle w:val="Appelnotedebasdep"/>
          <w:rFonts w:ascii="Simplified Arabic" w:eastAsiaTheme="minorHAnsi" w:hAnsi="Simplified Arabic" w:cs="Simplified Arabic"/>
          <w:sz w:val="28"/>
          <w:szCs w:val="28"/>
          <w:rtl/>
          <w:lang w:eastAsia="en-US" w:bidi="ar-DZ"/>
        </w:rPr>
        <w:footnoteReference w:customMarkFollows="1" w:id="7"/>
        <w:t>(</w:t>
      </w:r>
      <w:r w:rsidRPr="00BD4C56">
        <w:rPr>
          <w:rStyle w:val="Appelnotedebasdep"/>
          <w:rFonts w:ascii="Simplified Arabic" w:eastAsiaTheme="minorHAnsi" w:hAnsi="Simplified Arabic" w:cs="Simplified Arabic" w:hint="cs"/>
          <w:sz w:val="28"/>
          <w:szCs w:val="28"/>
          <w:rtl/>
          <w:lang w:eastAsia="en-US" w:bidi="ar-DZ"/>
        </w:rPr>
        <w:t>3</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w:t>
      </w:r>
    </w:p>
    <w:p w:rsidR="00D14103" w:rsidRPr="003B7785"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t xml:space="preserve">أولا: </w:t>
      </w:r>
      <w:r w:rsidRPr="003B7785">
        <w:rPr>
          <w:rFonts w:ascii="Simplified Arabic" w:eastAsiaTheme="minorHAnsi" w:hAnsi="Simplified Arabic" w:cs="Simplified Arabic"/>
          <w:b/>
          <w:bCs/>
          <w:sz w:val="28"/>
          <w:szCs w:val="28"/>
          <w:rtl/>
          <w:lang w:eastAsia="en-US" w:bidi="ar-DZ"/>
        </w:rPr>
        <w:t xml:space="preserve">عالمية المجتمع الدولي: </w:t>
      </w:r>
      <w:r w:rsidRPr="003B7785">
        <w:rPr>
          <w:rFonts w:ascii="Simplified Arabic" w:eastAsiaTheme="minorHAnsi" w:hAnsi="Simplified Arabic" w:cs="Simplified Arabic"/>
          <w:sz w:val="28"/>
          <w:szCs w:val="28"/>
          <w:rtl/>
          <w:lang w:eastAsia="en-US" w:bidi="ar-DZ"/>
        </w:rPr>
        <w:t>تخلص المجتمع الدولي من أوروبيتة</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ومسيحيته التي تميز بها في ظل القانون الدولي التقليدي، وأصبح يضم دولا تنتمي إلى ثقافات وحضارات مختلفة، ومع ازدياد مد التحرر أصبحت هذه الدول تحاول التكتل بينها للدفاع عن مصالحها المشتركة</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في مواجهة الدول الكبرى، ذات الماضي الاستعماري خاصة</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والتي ورثتها التخلف في جميع المجالات</w:t>
      </w:r>
      <w:r w:rsidRPr="003B7785">
        <w:rPr>
          <w:rStyle w:val="Appelnotedebasdep"/>
          <w:rFonts w:ascii="Simplified Arabic" w:eastAsiaTheme="minorHAnsi" w:hAnsi="Simplified Arabic" w:cs="Simplified Arabic"/>
          <w:sz w:val="28"/>
          <w:szCs w:val="28"/>
          <w:rtl/>
          <w:lang w:eastAsia="en-US" w:bidi="ar-DZ"/>
        </w:rPr>
        <w:footnoteReference w:customMarkFollows="1" w:id="8"/>
        <w:t>(</w:t>
      </w:r>
      <w:r w:rsidRPr="003B7785">
        <w:rPr>
          <w:rStyle w:val="Appelnotedebasdep"/>
          <w:rFonts w:ascii="Simplified Arabic" w:eastAsiaTheme="minorHAnsi" w:hAnsi="Simplified Arabic" w:cs="Simplified Arabic" w:hint="cs"/>
          <w:sz w:val="28"/>
          <w:szCs w:val="28"/>
          <w:rtl/>
          <w:lang w:eastAsia="en-US" w:bidi="ar-DZ"/>
        </w:rPr>
        <w:t>1</w:t>
      </w:r>
      <w:r w:rsidRPr="003B7785">
        <w:rPr>
          <w:rStyle w:val="Appelnotedebasdep"/>
          <w:rFonts w:ascii="Simplified Arabic" w:eastAsiaTheme="minorHAnsi" w:hAnsi="Simplified Arabic" w:cs="Simplified Arabic"/>
          <w:sz w:val="28"/>
          <w:szCs w:val="28"/>
          <w:rtl/>
          <w:lang w:eastAsia="en-US" w:bidi="ar-DZ"/>
        </w:rPr>
        <w:t>)</w:t>
      </w:r>
      <w:r w:rsidRPr="003B7785">
        <w:rPr>
          <w:rFonts w:ascii="Simplified Arabic" w:eastAsiaTheme="minorHAnsi" w:hAnsi="Simplified Arabic" w:cs="Simplified Arabic"/>
          <w:sz w:val="28"/>
          <w:szCs w:val="28"/>
          <w:rtl/>
          <w:lang w:eastAsia="en-US" w:bidi="ar-DZ"/>
        </w:rPr>
        <w:t>.</w:t>
      </w:r>
    </w:p>
    <w:p w:rsidR="00D14103" w:rsidRPr="003B7785"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t xml:space="preserve">ثانيا: </w:t>
      </w:r>
      <w:r w:rsidRPr="003B7785">
        <w:rPr>
          <w:rFonts w:ascii="Simplified Arabic" w:eastAsiaTheme="minorHAnsi" w:hAnsi="Simplified Arabic" w:cs="Simplified Arabic"/>
          <w:b/>
          <w:bCs/>
          <w:sz w:val="28"/>
          <w:szCs w:val="28"/>
          <w:rtl/>
          <w:lang w:eastAsia="en-US" w:bidi="ar-DZ"/>
        </w:rPr>
        <w:t>مجتمع دولي منظم:</w:t>
      </w:r>
      <w:r w:rsidRPr="003B7785">
        <w:rPr>
          <w:rFonts w:ascii="Simplified Arabic" w:eastAsiaTheme="minorHAnsi" w:hAnsi="Simplified Arabic" w:cs="Simplified Arabic"/>
          <w:sz w:val="28"/>
          <w:szCs w:val="28"/>
          <w:rtl/>
          <w:lang w:eastAsia="en-US" w:bidi="ar-DZ"/>
        </w:rPr>
        <w:t xml:space="preserve"> لأنه أصبح محكوما بنظام قانوني مشكل من مجموعة قواعد تسري على أشخاصه لتنظيم العلاقات فيما بينها، خاصة مع ظهور وحدات </w:t>
      </w:r>
      <w:r w:rsidRPr="003B7785">
        <w:rPr>
          <w:rFonts w:ascii="Simplified Arabic" w:eastAsiaTheme="minorHAnsi" w:hAnsi="Simplified Arabic" w:cs="Simplified Arabic" w:hint="cs"/>
          <w:sz w:val="28"/>
          <w:szCs w:val="28"/>
          <w:rtl/>
          <w:lang w:eastAsia="en-US" w:bidi="ar-DZ"/>
        </w:rPr>
        <w:t>أ</w:t>
      </w:r>
      <w:r w:rsidRPr="003B7785">
        <w:rPr>
          <w:rFonts w:ascii="Simplified Arabic" w:eastAsiaTheme="minorHAnsi" w:hAnsi="Simplified Arabic" w:cs="Simplified Arabic"/>
          <w:sz w:val="28"/>
          <w:szCs w:val="28"/>
          <w:rtl/>
          <w:lang w:eastAsia="en-US" w:bidi="ar-DZ"/>
        </w:rPr>
        <w:t>خرى لا يقل تأثيرها في مجال العلاقات الدولية عن تأثير الدول، نذكر منها المنظمات الدولية والشركات متعددة الجنسيات.</w:t>
      </w:r>
    </w:p>
    <w:p w:rsidR="00D14103" w:rsidRPr="00BD4C56"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lastRenderedPageBreak/>
        <w:t xml:space="preserve">ثالثا: </w:t>
      </w:r>
      <w:r w:rsidRPr="003B7785">
        <w:rPr>
          <w:rFonts w:ascii="Simplified Arabic" w:eastAsiaTheme="minorHAnsi" w:hAnsi="Simplified Arabic" w:cs="Simplified Arabic"/>
          <w:b/>
          <w:bCs/>
          <w:sz w:val="28"/>
          <w:szCs w:val="28"/>
          <w:rtl/>
          <w:lang w:eastAsia="en-US" w:bidi="ar-DZ"/>
        </w:rPr>
        <w:t>التقدم العلمي والتكنولوجي:</w:t>
      </w:r>
      <w:r w:rsidRPr="003B7785">
        <w:rPr>
          <w:rFonts w:ascii="Simplified Arabic" w:eastAsiaTheme="minorHAnsi" w:hAnsi="Simplified Arabic" w:cs="Simplified Arabic"/>
          <w:sz w:val="28"/>
          <w:szCs w:val="28"/>
          <w:rtl/>
          <w:lang w:eastAsia="en-US" w:bidi="ar-DZ"/>
        </w:rPr>
        <w:t xml:space="preserve"> أصبح من أهم ميزات المجتمع الدولي في هذه المرحلة، حيث أضحى العالم يعيش انفجارا تكنولوجيا في كل الميادين</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من الاتصالات إلى غزو الفضاء</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بل والصراع في ذلك، وصولا إلى التنافس</w:t>
      </w:r>
      <w:r w:rsidRPr="00BD4C56">
        <w:rPr>
          <w:rFonts w:ascii="Simplified Arabic" w:eastAsiaTheme="minorHAnsi" w:hAnsi="Simplified Arabic" w:cs="Simplified Arabic"/>
          <w:sz w:val="28"/>
          <w:szCs w:val="28"/>
          <w:rtl/>
          <w:lang w:eastAsia="en-US" w:bidi="ar-DZ"/>
        </w:rPr>
        <w:t xml:space="preserve"> حول استغلال الثروات الباطنية والبحرية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كلها لأجل رفاهية الانسان.</w:t>
      </w:r>
    </w:p>
    <w:p w:rsidR="00D14103" w:rsidRPr="00BD4C56" w:rsidRDefault="00D14103" w:rsidP="00D14103">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b/>
          <w:bCs/>
          <w:sz w:val="28"/>
          <w:szCs w:val="28"/>
          <w:rtl/>
          <w:lang w:eastAsia="en-US" w:bidi="ar-DZ"/>
        </w:rPr>
        <w:tab/>
      </w:r>
      <w:r w:rsidRPr="00BD4C56">
        <w:rPr>
          <w:rFonts w:ascii="Simplified Arabic" w:eastAsiaTheme="minorHAnsi" w:hAnsi="Simplified Arabic" w:cs="Simplified Arabic" w:hint="cs"/>
          <w:b/>
          <w:bCs/>
          <w:sz w:val="28"/>
          <w:szCs w:val="28"/>
          <w:rtl/>
          <w:lang w:eastAsia="en-US" w:bidi="ar-DZ"/>
        </w:rPr>
        <w:tab/>
      </w:r>
      <w:r w:rsidRPr="00BD4C56">
        <w:rPr>
          <w:rFonts w:ascii="Simplified Arabic" w:eastAsiaTheme="minorHAnsi" w:hAnsi="Simplified Arabic" w:cs="Simplified Arabic"/>
          <w:sz w:val="28"/>
          <w:szCs w:val="28"/>
          <w:rtl/>
          <w:lang w:eastAsia="en-US" w:bidi="ar-DZ"/>
        </w:rPr>
        <w:t>ولكن الملاحظ أن ما توصل إليه الانسان من تقدم سخره لفائدة نسبة قليلة من المجتمع الانساني، وأضحى هناك عالم متقدم يعيش الرفاهية، وآخر متخلف تسوده الأمية والجهل، وتنتشر فيه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مراض والأوبئة وتنتهك فيه الانسانية ذاتها، بل وأصبح الانسان في حد ذاته مهدد بسبب نتائج التسابق غير المدروس، وفي مجالات قد تؤدي إلى دمار الانسان كالذرة، وابتكار الاسلحة التدميرية وغيرها، إضافة إلى استنزاف الانسان السريع للثروات</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والاخلال بالتوازن البيئي وانتشار التلوث، وكلها عوامل ناتجة عن هذا التقدم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ولكنها تهدد الحياة على الارض.</w:t>
      </w:r>
    </w:p>
    <w:p w:rsidR="00D14103" w:rsidRPr="00BD4C56" w:rsidRDefault="00D14103" w:rsidP="00B0527E">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hint="cs"/>
          <w:b/>
          <w:bCs/>
          <w:sz w:val="28"/>
          <w:szCs w:val="28"/>
          <w:rtl/>
          <w:lang w:eastAsia="en-US" w:bidi="ar-DZ"/>
        </w:rPr>
        <w:t xml:space="preserve">رابعا: </w:t>
      </w:r>
      <w:r w:rsidRPr="00BD4C56">
        <w:rPr>
          <w:rFonts w:ascii="Simplified Arabic" w:eastAsiaTheme="minorHAnsi" w:hAnsi="Simplified Arabic" w:cs="Simplified Arabic"/>
          <w:b/>
          <w:bCs/>
          <w:sz w:val="28"/>
          <w:szCs w:val="28"/>
          <w:rtl/>
          <w:lang w:eastAsia="en-US" w:bidi="ar-DZ"/>
        </w:rPr>
        <w:t xml:space="preserve">الاتساع الموضوعي للعلاقات الدولية: </w:t>
      </w:r>
      <w:r w:rsidRPr="00BD4C56">
        <w:rPr>
          <w:rFonts w:ascii="Simplified Arabic" w:eastAsiaTheme="minorHAnsi" w:hAnsi="Simplified Arabic" w:cs="Simplified Arabic"/>
          <w:sz w:val="28"/>
          <w:szCs w:val="28"/>
          <w:rtl/>
          <w:lang w:eastAsia="en-US" w:bidi="ar-DZ"/>
        </w:rPr>
        <w:t>امتدت الصلات بين الدول إلى مجالات كانت تعتبر من صميم الشؤون الداخلية للدول</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كالاستثمارات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جنبية ونشاط الشركات متعددة الجنسيات</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وكذلك مجالات حقوق الانسان</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وحماية الاجانب</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ومنع ابادة الجنس البشري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ومناهضة التمييز العنصري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وتنظيم شؤون العمل</w:t>
      </w:r>
      <w:r w:rsidRPr="00BD4C56">
        <w:rPr>
          <w:rStyle w:val="Appelnotedebasdep"/>
          <w:rFonts w:ascii="Simplified Arabic" w:eastAsiaTheme="minorHAnsi" w:hAnsi="Simplified Arabic" w:cs="Simplified Arabic"/>
          <w:sz w:val="28"/>
          <w:szCs w:val="28"/>
          <w:rtl/>
          <w:lang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eastAsia="en-US" w:bidi="ar-DZ"/>
        </w:rPr>
        <w:t>2</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 .</w:t>
      </w:r>
    </w:p>
    <w:p w:rsidR="00746B25" w:rsidRPr="00DB2EB4" w:rsidRDefault="00746B25" w:rsidP="00DB2EB4">
      <w:pPr>
        <w:spacing w:line="276" w:lineRule="auto"/>
        <w:jc w:val="both"/>
        <w:rPr>
          <w:rFonts w:ascii="Simplified Arabic" w:eastAsiaTheme="minorHAnsi" w:hAnsi="Simplified Arabic" w:cs="Simplified Arabic"/>
          <w:sz w:val="32"/>
          <w:szCs w:val="32"/>
          <w:rtl/>
          <w:lang w:eastAsia="en-US" w:bidi="ar-DZ"/>
        </w:rPr>
      </w:pPr>
      <w:r w:rsidRPr="005B6617">
        <w:rPr>
          <w:noProof/>
          <w:lang w:eastAsia="fr-FR"/>
        </w:rPr>
        <mc:AlternateContent>
          <mc:Choice Requires="wps">
            <w:drawing>
              <wp:anchor distT="0" distB="0" distL="114300" distR="114300" simplePos="0" relativeHeight="251662336" behindDoc="0" locked="0" layoutInCell="1" allowOverlap="1" wp14:anchorId="4FD6C71B" wp14:editId="7DA14819">
                <wp:simplePos x="0" y="0"/>
                <wp:positionH relativeFrom="column">
                  <wp:posOffset>735522</wp:posOffset>
                </wp:positionH>
                <wp:positionV relativeFrom="paragraph">
                  <wp:posOffset>157820</wp:posOffset>
                </wp:positionV>
                <wp:extent cx="5200650" cy="1063255"/>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5200650" cy="1063255"/>
                        </a:xfrm>
                        <a:prstGeom prst="rect">
                          <a:avLst/>
                        </a:prstGeom>
                        <a:noFill/>
                        <a:ln>
                          <a:noFill/>
                        </a:ln>
                        <a:effectLst/>
                      </wps:spPr>
                      <wps:txbx>
                        <w:txbxContent>
                          <w:p w:rsidR="0098166D" w:rsidRPr="00B0527E" w:rsidRDefault="0098166D" w:rsidP="00B0527E">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 المراجع</w:t>
                            </w:r>
                            <w:r w:rsid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45pt;width:409.5pt;height: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" filled="f" stroked="f">
                <v:textbox>
                  <w:txbxContent>
                    <w:p w:rsidR="0098166D" w:rsidRPr="00B0527E" w:rsidRDefault="0098166D" w:rsidP="00B0527E">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تونسي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جهاد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فرانكل،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r w:rsidRPr="00F42F7B">
        <w:rPr>
          <w:rFonts w:ascii="Simplified Arabic" w:hAnsi="Simplified Arabic" w:cs="Simplified Arabic"/>
          <w:b/>
          <w:bCs/>
          <w:sz w:val="32"/>
          <w:szCs w:val="32"/>
          <w:u w:val="single"/>
          <w:rtl/>
          <w:lang w:val="en-US"/>
        </w:rPr>
        <w:t>دليل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بقنيش،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سعد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الجزائر،1994.</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محمود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AD6" w:rsidRDefault="00CF6AD6" w:rsidP="00E90D3D">
      <w:r>
        <w:separator/>
      </w:r>
    </w:p>
  </w:endnote>
  <w:endnote w:type="continuationSeparator" w:id="0">
    <w:p w:rsidR="00CF6AD6" w:rsidRDefault="00CF6AD6"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471052">
          <w:rPr>
            <w:noProof/>
            <w:rtl/>
          </w:rPr>
          <w:t>5</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AD6" w:rsidRDefault="00CF6AD6" w:rsidP="00E90D3D">
      <w:r>
        <w:separator/>
      </w:r>
    </w:p>
  </w:footnote>
  <w:footnote w:type="continuationSeparator" w:id="0">
    <w:p w:rsidR="00CF6AD6" w:rsidRDefault="00CF6AD6" w:rsidP="00E90D3D">
      <w:r>
        <w:continuationSeparator/>
      </w:r>
    </w:p>
  </w:footnote>
  <w:footnote w:id="1">
    <w:p w:rsidR="00D14103" w:rsidRPr="00A9515E" w:rsidRDefault="00D14103" w:rsidP="00D14103">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311424">
        <w:rPr>
          <w:rStyle w:val="Appelnotedebasdep"/>
          <w:rFonts w:ascii="Simplified Arabic" w:hAnsi="Simplified Arabic" w:cs="Simplified Arabic"/>
          <w:sz w:val="24"/>
          <w:szCs w:val="24"/>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 xml:space="preserve">محمد المجذوب، </w:t>
      </w:r>
      <w:r>
        <w:rPr>
          <w:rFonts w:ascii="Simplified Arabic" w:hAnsi="Simplified Arabic" w:cs="Simplified Arabic" w:hint="cs"/>
          <w:sz w:val="24"/>
          <w:szCs w:val="24"/>
          <w:rtl/>
        </w:rPr>
        <w:t>المرجع السابق</w:t>
      </w:r>
      <w:r w:rsidRPr="00A9515E">
        <w:rPr>
          <w:rFonts w:ascii="Simplified Arabic" w:hAnsi="Simplified Arabic" w:cs="Simplified Arabic"/>
          <w:sz w:val="24"/>
          <w:szCs w:val="24"/>
          <w:rtl/>
        </w:rPr>
        <w:t>، ص 39.</w:t>
      </w:r>
    </w:p>
  </w:footnote>
  <w:footnote w:id="2">
    <w:p w:rsidR="00D14103" w:rsidRDefault="00D14103" w:rsidP="00D14103">
      <w:pPr>
        <w:pStyle w:val="Notedebasdepage"/>
      </w:pPr>
      <w:r w:rsidRPr="0083287A">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83287A">
        <w:rPr>
          <w:rFonts w:ascii="Simplified Arabic" w:hAnsi="Simplified Arabic" w:cs="Simplified Arabic"/>
          <w:sz w:val="24"/>
          <w:szCs w:val="24"/>
          <w:vertAlign w:val="superscript"/>
          <w:rtl/>
        </w:rPr>
        <w:t>)</w:t>
      </w:r>
      <w:r w:rsidRPr="0083287A">
        <w:rPr>
          <w:rFonts w:ascii="Simplified Arabic" w:hAnsi="Simplified Arabic" w:cs="Simplified Arabic"/>
          <w:sz w:val="24"/>
          <w:szCs w:val="24"/>
          <w:rtl/>
        </w:rPr>
        <w:t xml:space="preserve"> </w:t>
      </w:r>
      <w:r w:rsidRPr="0083287A">
        <w:rPr>
          <w:rFonts w:ascii="Simplified Arabic" w:hAnsi="Simplified Arabic" w:cs="Simplified Arabic" w:hint="cs"/>
          <w:sz w:val="24"/>
          <w:szCs w:val="24"/>
          <w:rtl/>
        </w:rPr>
        <w:t>عثمان بقنيش، المرجع السابق، ص23، 24.</w:t>
      </w:r>
    </w:p>
  </w:footnote>
  <w:footnote w:id="3">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BC214F">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محمد المجذوب</w:t>
      </w:r>
      <w:r>
        <w:rPr>
          <w:rFonts w:ascii="Simplified Arabic" w:hAnsi="Simplified Arabic" w:cs="Simplified Arabic" w:hint="cs"/>
          <w:sz w:val="24"/>
          <w:szCs w:val="24"/>
          <w:rtl/>
        </w:rPr>
        <w:t>،</w:t>
      </w:r>
      <w:r w:rsidRPr="00A9515E">
        <w:rPr>
          <w:rFonts w:ascii="Simplified Arabic" w:hAnsi="Simplified Arabic" w:cs="Simplified Arabic"/>
          <w:sz w:val="24"/>
          <w:szCs w:val="24"/>
          <w:rtl/>
        </w:rPr>
        <w:t xml:space="preserve"> المرجع </w:t>
      </w:r>
      <w:r>
        <w:rPr>
          <w:rFonts w:ascii="Simplified Arabic" w:hAnsi="Simplified Arabic" w:cs="Simplified Arabic" w:hint="cs"/>
          <w:sz w:val="24"/>
          <w:szCs w:val="24"/>
          <w:rtl/>
        </w:rPr>
        <w:t>السابق</w:t>
      </w:r>
      <w:r w:rsidRPr="00A9515E">
        <w:rPr>
          <w:rFonts w:ascii="Simplified Arabic" w:hAnsi="Simplified Arabic" w:cs="Simplified Arabic"/>
          <w:sz w:val="24"/>
          <w:szCs w:val="24"/>
          <w:rtl/>
        </w:rPr>
        <w:t>، ص39.</w:t>
      </w:r>
    </w:p>
  </w:footnote>
  <w:footnote w:id="4">
    <w:p w:rsidR="00D14103" w:rsidRPr="006D1CAB" w:rsidRDefault="00D14103" w:rsidP="00D14103">
      <w:pPr>
        <w:pStyle w:val="Notedebasdepage"/>
        <w:rPr>
          <w:rFonts w:ascii="Simplified Arabic" w:hAnsi="Simplified Arabic" w:cs="Simplified Arabic"/>
          <w:sz w:val="24"/>
          <w:szCs w:val="24"/>
        </w:rPr>
      </w:pPr>
      <w:r w:rsidRPr="006D1CAB">
        <w:rPr>
          <w:rStyle w:val="Appelnotedebasdep"/>
          <w:rFonts w:ascii="Simplified Arabic" w:hAnsi="Simplified Arabic" w:cs="Simplified Arabic"/>
          <w:sz w:val="24"/>
          <w:szCs w:val="24"/>
          <w:rtl/>
        </w:rPr>
        <w:t>(4)</w:t>
      </w:r>
      <w:r w:rsidRPr="006D1CAB">
        <w:rPr>
          <w:rFonts w:ascii="Simplified Arabic" w:hAnsi="Simplified Arabic" w:cs="Simplified Arabic"/>
          <w:sz w:val="24"/>
          <w:szCs w:val="24"/>
          <w:rtl/>
        </w:rPr>
        <w:t xml:space="preserve"> عمر صدوق، المرجع السابق، ص25.</w:t>
      </w:r>
    </w:p>
  </w:footnote>
  <w:footnote w:id="5">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BC214F">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جمال عبد الناصر مانع، المرجع السابق، ص23.</w:t>
      </w:r>
    </w:p>
  </w:footnote>
  <w:footnote w:id="6">
    <w:p w:rsidR="00D14103" w:rsidRPr="006D6020" w:rsidRDefault="00D14103" w:rsidP="00D14103">
      <w:pPr>
        <w:pStyle w:val="Notedebasdepage"/>
        <w:rPr>
          <w:rFonts w:ascii="Simplified Arabic" w:hAnsi="Simplified Arabic" w:cs="Simplified Arabic"/>
          <w:sz w:val="24"/>
          <w:szCs w:val="24"/>
        </w:rPr>
      </w:pPr>
      <w:r w:rsidRPr="006D6020">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6D6020">
        <w:rPr>
          <w:rStyle w:val="Appelnotedebasdep"/>
          <w:rFonts w:ascii="Simplified Arabic" w:hAnsi="Simplified Arabic" w:cs="Simplified Arabic"/>
          <w:sz w:val="24"/>
          <w:szCs w:val="24"/>
          <w:rtl/>
        </w:rPr>
        <w:t>)</w:t>
      </w:r>
      <w:r w:rsidRPr="006D6020">
        <w:rPr>
          <w:rFonts w:ascii="Simplified Arabic" w:hAnsi="Simplified Arabic" w:cs="Simplified Arabic"/>
          <w:sz w:val="24"/>
          <w:szCs w:val="24"/>
          <w:rtl/>
        </w:rPr>
        <w:t xml:space="preserve">  </w:t>
      </w:r>
      <w:r w:rsidRPr="006D6020">
        <w:rPr>
          <w:rFonts w:ascii="Simplified Arabic" w:hAnsi="Simplified Arabic" w:cs="Simplified Arabic"/>
          <w:b/>
          <w:bCs/>
          <w:sz w:val="24"/>
          <w:szCs w:val="24"/>
          <w:u w:val="single"/>
          <w:rtl/>
        </w:rPr>
        <w:t>في ذلك انظر</w:t>
      </w:r>
      <w:r w:rsidRPr="006D6020">
        <w:rPr>
          <w:rFonts w:ascii="Simplified Arabic" w:hAnsi="Simplified Arabic" w:cs="Simplified Arabic"/>
          <w:sz w:val="24"/>
          <w:szCs w:val="24"/>
          <w:rtl/>
        </w:rPr>
        <w:t>: عمر صدوق، المرجع السابق، ص29-33.</w:t>
      </w:r>
    </w:p>
  </w:footnote>
  <w:footnote w:id="7">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BC214F">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تونسي بن عامر، المرجع السابق، ص48.</w:t>
      </w:r>
    </w:p>
  </w:footnote>
  <w:footnote w:id="8">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BC214F">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w:t>
      </w:r>
      <w:r w:rsidRPr="00BC214F">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عثمان بقنيش، المرجع السابق، ص35.</w:t>
      </w:r>
    </w:p>
  </w:footnote>
  <w:footnote w:id="9">
    <w:p w:rsidR="00D14103" w:rsidRPr="00A9515E" w:rsidRDefault="00D14103" w:rsidP="00D14103">
      <w:pPr>
        <w:pStyle w:val="Notedebasdepage"/>
        <w:rPr>
          <w:rFonts w:ascii="Simplified Arabic" w:hAnsi="Simplified Arabic" w:cs="Simplified Arabic"/>
          <w:sz w:val="24"/>
          <w:szCs w:val="24"/>
        </w:rPr>
      </w:pPr>
      <w:r w:rsidRPr="00BC214F">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BC214F">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مبروك غضبان، </w:t>
      </w:r>
      <w:r w:rsidRPr="00E352A3">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الاول، المرجع السابق، ص93.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6D" w:rsidRPr="00B0527E" w:rsidRDefault="00CF6AD6" w:rsidP="00B0527E">
    <w:pPr>
      <w:pStyle w:val="En-tte"/>
      <w:pBdr>
        <w:bottom w:val="thickThinSmallGap" w:sz="24" w:space="1" w:color="622423" w:themeColor="accent2" w:themeShade="7F"/>
      </w:pBdr>
      <w:tabs>
        <w:tab w:val="clear" w:pos="4536"/>
        <w:tab w:val="clear" w:pos="9072"/>
        <w:tab w:val="left" w:pos="2378"/>
      </w:tabs>
      <w:rPr>
        <w:rFonts w:asciiTheme="majorHAnsi" w:eastAsiaTheme="majorEastAsia" w:hAnsiTheme="majorHAnsi" w:cstheme="majorBidi"/>
        <w:b/>
        <w:bCs/>
        <w:sz w:val="32"/>
        <w:szCs w:val="32"/>
      </w:rPr>
    </w:pPr>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r w:rsidR="00B0527E" w:rsidRPr="00B0527E">
          <w:rPr>
            <w:rFonts w:ascii="Sakkal Majalla" w:eastAsia="Calibri" w:hAnsi="Sakkal Majalla" w:cs="Sakkal Majalla" w:hint="cs"/>
            <w:b/>
            <w:bCs/>
            <w:sz w:val="32"/>
            <w:szCs w:val="32"/>
            <w:rtl/>
            <w:lang w:bidi="ar-DZ"/>
          </w:rPr>
          <w:t xml:space="preserve">الدرس رقم: 05                 </w:t>
        </w:r>
        <w:r w:rsidR="00B0527E">
          <w:rPr>
            <w:rFonts w:ascii="Sakkal Majalla" w:eastAsia="Calibri" w:hAnsi="Sakkal Majalla" w:cs="Sakkal Majalla" w:hint="cs"/>
            <w:b/>
            <w:bCs/>
            <w:sz w:val="32"/>
            <w:szCs w:val="32"/>
            <w:rtl/>
            <w:lang w:bidi="ar-DZ"/>
          </w:rPr>
          <w:t xml:space="preserve">                               </w:t>
        </w:r>
        <w:r w:rsidR="00B0527E" w:rsidRPr="00B0527E">
          <w:rPr>
            <w:rFonts w:ascii="Sakkal Majalla" w:eastAsia="Calibri" w:hAnsi="Sakkal Majalla" w:cs="Sakkal Majalla" w:hint="cs"/>
            <w:b/>
            <w:bCs/>
            <w:sz w:val="32"/>
            <w:szCs w:val="32"/>
            <w:rtl/>
            <w:lang w:bidi="ar-DZ"/>
          </w:rPr>
          <w:t xml:space="preserve">                                            </w:t>
        </w:r>
        <w:r w:rsidR="0098166D" w:rsidRPr="00B0527E">
          <w:rPr>
            <w:rFonts w:ascii="Sakkal Majalla" w:eastAsia="Calibri" w:hAnsi="Sakkal Majalla" w:cs="Sakkal Majalla"/>
            <w:b/>
            <w:bCs/>
            <w:sz w:val="32"/>
            <w:szCs w:val="32"/>
            <w:rtl/>
            <w:lang w:bidi="ar-DZ"/>
          </w:rPr>
          <w:t>مجتمع الدولي</w:t>
        </w:r>
      </w:sdtContent>
    </w:sdt>
    <w:r w:rsidR="00B0527E" w:rsidRPr="00B0527E">
      <w:rPr>
        <w:rFonts w:ascii="Sakkal Majalla" w:eastAsia="Calibri" w:hAnsi="Sakkal Majalla" w:cs="Sakkal Majalla"/>
        <w:b/>
        <w:bCs/>
        <w:sz w:val="32"/>
        <w:szCs w:val="32"/>
        <w:lang w:val="en-US" w:bidi="ar-DZ"/>
      </w:rPr>
      <w:tab/>
    </w:r>
  </w:p>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201C2"/>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71052"/>
    <w:rsid w:val="004A3FE6"/>
    <w:rsid w:val="004B487F"/>
    <w:rsid w:val="004B51BF"/>
    <w:rsid w:val="004C01BF"/>
    <w:rsid w:val="004D633F"/>
    <w:rsid w:val="004E27BE"/>
    <w:rsid w:val="004E3F2C"/>
    <w:rsid w:val="004E4A76"/>
    <w:rsid w:val="00517C7C"/>
    <w:rsid w:val="00522194"/>
    <w:rsid w:val="00545FE5"/>
    <w:rsid w:val="00556FB4"/>
    <w:rsid w:val="00560911"/>
    <w:rsid w:val="00562125"/>
    <w:rsid w:val="0057583F"/>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527E"/>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24E26"/>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CF6AD6"/>
    <w:rsid w:val="00D0099F"/>
    <w:rsid w:val="00D03182"/>
    <w:rsid w:val="00D10B16"/>
    <w:rsid w:val="00D14103"/>
    <w:rsid w:val="00D168A2"/>
    <w:rsid w:val="00D202AA"/>
    <w:rsid w:val="00D3128B"/>
    <w:rsid w:val="00D32BDD"/>
    <w:rsid w:val="00D32CE5"/>
    <w:rsid w:val="00D5359C"/>
    <w:rsid w:val="00D547C4"/>
    <w:rsid w:val="00D612A9"/>
    <w:rsid w:val="00D66E18"/>
    <w:rsid w:val="00D808EF"/>
    <w:rsid w:val="00D969E0"/>
    <w:rsid w:val="00DB1A67"/>
    <w:rsid w:val="00DB2EB4"/>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8622A"/>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A4A4-B8FE-4F71-A7EF-9811CD86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3153</TotalTime>
  <Pages>1</Pages>
  <Words>1212</Words>
  <Characters>6666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قانون المجتمع الدولي</vt:lpstr>
    </vt:vector>
  </TitlesOfParts>
  <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05                                                                                            مجتمع الدولي</dc:title>
  <dc:creator>H.MERZOUGUI</dc:creator>
  <cp:lastModifiedBy>H.MERZOUGUI</cp:lastModifiedBy>
  <cp:revision>114</cp:revision>
  <cp:lastPrinted>2016-11-26T18:48:00Z</cp:lastPrinted>
  <dcterms:created xsi:type="dcterms:W3CDTF">2016-02-10T19:12:00Z</dcterms:created>
  <dcterms:modified xsi:type="dcterms:W3CDTF">2020-12-15T09:23:00Z</dcterms:modified>
</cp:coreProperties>
</file>