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E61C7E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536A4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BE34D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التسيير</w:t>
      </w:r>
      <w:r w:rsidR="00845F0B">
        <w:rPr>
          <w:rFonts w:ascii="Sakkal Majalla" w:hAnsi="Sakkal Majalla" w:cs="Sakkal Majalla"/>
          <w:color w:val="FFFFFF" w:themeColor="background1"/>
          <w:sz w:val="44"/>
          <w:szCs w:val="44"/>
          <w:lang w:bidi="ar-DZ"/>
        </w:rPr>
        <w:t>.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A217E8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تسيير الموارد البشرية</w:t>
      </w:r>
    </w:p>
    <w:p w:rsidR="00C77C87" w:rsidRPr="00E37D65" w:rsidRDefault="00F203DC" w:rsidP="00BE34DF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تذة: </w:t>
      </w:r>
      <w:proofErr w:type="spellStart"/>
      <w:r w:rsidR="00A217E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علالي</w:t>
      </w:r>
      <w:proofErr w:type="spellEnd"/>
      <w:r w:rsidR="00A217E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A217E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مليكة</w:t>
      </w:r>
      <w:proofErr w:type="spellEnd"/>
      <w:r w:rsidR="00A217E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-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عبد السميع </w:t>
      </w:r>
      <w:proofErr w:type="spellStart"/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روينة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</w:t>
      </w:r>
      <w:proofErr w:type="spellEnd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95444F" w:rsidRPr="0095444F">
        <w:rPr>
          <w:sz w:val="32"/>
          <w:szCs w:val="32"/>
          <w:rtl/>
          <w:lang w:bidi="ar-DZ"/>
        </w:rPr>
        <w:t>اليقظة الاجتماعية</w:t>
      </w:r>
      <w:r w:rsidR="00822069">
        <w:rPr>
          <w:rFonts w:hint="cs"/>
          <w:sz w:val="32"/>
          <w:szCs w:val="32"/>
          <w:rtl/>
          <w:lang w:bidi="ar-DZ"/>
        </w:rPr>
        <w:t xml:space="preserve"> وتسيير النزاعات</w:t>
      </w:r>
    </w:p>
    <w:p w:rsidR="00EB59E2" w:rsidRPr="00E37D65" w:rsidRDefault="00536A4D" w:rsidP="008A6DC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الثالثة                           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BE34D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الأول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179"/>
        <w:gridCol w:w="4395"/>
        <w:gridCol w:w="4529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822069">
        <w:trPr>
          <w:trHeight w:val="654"/>
          <w:jc w:val="center"/>
        </w:trPr>
        <w:tc>
          <w:tcPr>
            <w:tcW w:w="1179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4529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</w:t>
            </w:r>
            <w:r w:rsidR="00C1388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لدرس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</w:tr>
      <w:tr w:rsidR="005618C1" w:rsidRPr="002B6FB2" w:rsidTr="00822069">
        <w:trPr>
          <w:jc w:val="center"/>
        </w:trPr>
        <w:tc>
          <w:tcPr>
            <w:tcW w:w="1179" w:type="dxa"/>
            <w:vAlign w:val="center"/>
          </w:tcPr>
          <w:p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4395" w:type="dxa"/>
            <w:vAlign w:val="center"/>
          </w:tcPr>
          <w:p w:rsidR="0095444F" w:rsidRPr="0095444F" w:rsidRDefault="0095444F" w:rsidP="0095444F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مدخل </w:t>
            </w:r>
            <w:r w:rsidR="004B19B7">
              <w:rPr>
                <w:rFonts w:hint="cs"/>
                <w:sz w:val="32"/>
                <w:szCs w:val="32"/>
                <w:rtl/>
              </w:rPr>
              <w:t>لليقظة</w:t>
            </w:r>
            <w:r>
              <w:rPr>
                <w:rFonts w:hint="cs"/>
                <w:sz w:val="32"/>
                <w:szCs w:val="32"/>
                <w:rtl/>
              </w:rPr>
              <w:t xml:space="preserve"> الاجتماعية وتسيير النزاعات</w:t>
            </w:r>
          </w:p>
          <w:p w:rsidR="005618C1" w:rsidRPr="0095444F" w:rsidRDefault="005618C1" w:rsidP="0095444F">
            <w:pPr>
              <w:bidi/>
              <w:ind w:left="360"/>
              <w:rPr>
                <w:sz w:val="32"/>
                <w:szCs w:val="32"/>
              </w:rPr>
            </w:pPr>
          </w:p>
        </w:tc>
        <w:tc>
          <w:tcPr>
            <w:tcW w:w="4529" w:type="dxa"/>
          </w:tcPr>
          <w:p w:rsidR="005618C1" w:rsidRDefault="004B19B7" w:rsidP="0095444F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التعريف</w:t>
            </w:r>
            <w:r w:rsidR="0095444F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بالمح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</w:t>
            </w:r>
            <w:r w:rsidR="0095444F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ور الكبرى للمقياس.</w:t>
            </w:r>
          </w:p>
          <w:p w:rsidR="0095444F" w:rsidRPr="0095444F" w:rsidRDefault="0095444F" w:rsidP="0095444F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مفاهيم عامة عن المصطلحات المستخدمة.</w:t>
            </w:r>
          </w:p>
        </w:tc>
      </w:tr>
      <w:tr w:rsidR="005618C1" w:rsidRPr="002B6FB2" w:rsidTr="00822069">
        <w:trPr>
          <w:jc w:val="center"/>
        </w:trPr>
        <w:tc>
          <w:tcPr>
            <w:tcW w:w="1179" w:type="dxa"/>
            <w:vAlign w:val="center"/>
          </w:tcPr>
          <w:p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02</w:t>
            </w:r>
          </w:p>
        </w:tc>
        <w:tc>
          <w:tcPr>
            <w:tcW w:w="4395" w:type="dxa"/>
            <w:vAlign w:val="center"/>
          </w:tcPr>
          <w:p w:rsidR="005618C1" w:rsidRPr="00822069" w:rsidRDefault="0095444F" w:rsidP="00822069">
            <w:pPr>
              <w:bidi/>
              <w:rPr>
                <w:sz w:val="32"/>
                <w:szCs w:val="32"/>
              </w:rPr>
            </w:pPr>
            <w:r w:rsidRPr="0095444F">
              <w:rPr>
                <w:sz w:val="32"/>
                <w:szCs w:val="32"/>
                <w:rtl/>
                <w:lang w:bidi="ar-DZ"/>
              </w:rPr>
              <w:t>التدقيق الاجتماعي للمؤسسة</w:t>
            </w:r>
          </w:p>
        </w:tc>
        <w:tc>
          <w:tcPr>
            <w:tcW w:w="4529" w:type="dxa"/>
          </w:tcPr>
          <w:p w:rsidR="005618C1" w:rsidRDefault="0095444F" w:rsidP="0095444F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تعاريف.</w:t>
            </w:r>
          </w:p>
          <w:p w:rsidR="0095444F" w:rsidRDefault="0095444F" w:rsidP="0095444F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أهدافه.</w:t>
            </w:r>
          </w:p>
          <w:p w:rsidR="0095444F" w:rsidRDefault="0095444F" w:rsidP="0095444F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أنواعه</w:t>
            </w:r>
          </w:p>
          <w:p w:rsidR="0095444F" w:rsidRPr="0095444F" w:rsidRDefault="0095444F" w:rsidP="0095444F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أدواته</w:t>
            </w:r>
          </w:p>
        </w:tc>
      </w:tr>
      <w:tr w:rsidR="005618C1" w:rsidRPr="002B6FB2" w:rsidTr="00822069">
        <w:trPr>
          <w:jc w:val="center"/>
        </w:trPr>
        <w:tc>
          <w:tcPr>
            <w:tcW w:w="1179" w:type="dxa"/>
            <w:vAlign w:val="center"/>
          </w:tcPr>
          <w:p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03</w:t>
            </w:r>
          </w:p>
        </w:tc>
        <w:tc>
          <w:tcPr>
            <w:tcW w:w="4395" w:type="dxa"/>
            <w:vAlign w:val="center"/>
          </w:tcPr>
          <w:p w:rsidR="005618C1" w:rsidRPr="0095444F" w:rsidRDefault="00822069" w:rsidP="00822069">
            <w:pPr>
              <w:bidi/>
              <w:rPr>
                <w:sz w:val="32"/>
                <w:szCs w:val="32"/>
              </w:rPr>
            </w:pPr>
            <w:r w:rsidRPr="00822069">
              <w:rPr>
                <w:rFonts w:hint="cs"/>
                <w:sz w:val="32"/>
                <w:szCs w:val="32"/>
                <w:rtl/>
              </w:rPr>
              <w:t xml:space="preserve">ماهية </w:t>
            </w:r>
            <w:bookmarkStart w:id="0" w:name="_Hlk59826052"/>
            <w:r w:rsidR="0095444F" w:rsidRPr="0095444F">
              <w:rPr>
                <w:sz w:val="32"/>
                <w:szCs w:val="32"/>
                <w:rtl/>
                <w:lang w:bidi="ar-DZ"/>
              </w:rPr>
              <w:t>اليقظة الاجتماعية</w:t>
            </w:r>
            <w:bookmarkEnd w:id="0"/>
          </w:p>
        </w:tc>
        <w:tc>
          <w:tcPr>
            <w:tcW w:w="4529" w:type="dxa"/>
          </w:tcPr>
          <w:p w:rsidR="005618C1" w:rsidRDefault="0095444F" w:rsidP="0095444F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تعاريف.</w:t>
            </w:r>
          </w:p>
          <w:p w:rsidR="0095444F" w:rsidRDefault="0095444F" w:rsidP="0095444F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أهدافها</w:t>
            </w:r>
            <w:r w:rsidR="004312C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  <w:p w:rsidR="004312C5" w:rsidRDefault="004312C5" w:rsidP="004312C5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الفرق بينها وبين التدقيق الاجتماعي</w:t>
            </w:r>
          </w:p>
          <w:p w:rsidR="004312C5" w:rsidRPr="0095444F" w:rsidRDefault="004312C5" w:rsidP="004312C5">
            <w:pPr>
              <w:pStyle w:val="Paragraphedeliste"/>
              <w:numPr>
                <w:ilvl w:val="0"/>
                <w:numId w:val="24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كيفياتها.</w:t>
            </w:r>
          </w:p>
        </w:tc>
      </w:tr>
      <w:tr w:rsidR="005618C1" w:rsidRPr="002B6FB2" w:rsidTr="00822069">
        <w:trPr>
          <w:jc w:val="center"/>
        </w:trPr>
        <w:tc>
          <w:tcPr>
            <w:tcW w:w="1179" w:type="dxa"/>
            <w:vAlign w:val="center"/>
          </w:tcPr>
          <w:p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04</w:t>
            </w:r>
          </w:p>
        </w:tc>
        <w:tc>
          <w:tcPr>
            <w:tcW w:w="4395" w:type="dxa"/>
            <w:vAlign w:val="center"/>
          </w:tcPr>
          <w:p w:rsidR="005618C1" w:rsidRPr="0095444F" w:rsidRDefault="0095444F" w:rsidP="00822069">
            <w:pPr>
              <w:bidi/>
              <w:rPr>
                <w:sz w:val="32"/>
                <w:szCs w:val="32"/>
              </w:rPr>
            </w:pPr>
            <w:r w:rsidRPr="0095444F">
              <w:rPr>
                <w:sz w:val="32"/>
                <w:szCs w:val="32"/>
                <w:rtl/>
                <w:lang w:bidi="ar-DZ"/>
              </w:rPr>
              <w:t xml:space="preserve">المقاربة النظرية </w:t>
            </w:r>
            <w:r w:rsidR="004312C5" w:rsidRPr="00822069">
              <w:rPr>
                <w:rFonts w:hint="cs"/>
                <w:sz w:val="32"/>
                <w:szCs w:val="32"/>
                <w:rtl/>
              </w:rPr>
              <w:t>لليقظة الاجتماعية</w:t>
            </w:r>
          </w:p>
        </w:tc>
        <w:tc>
          <w:tcPr>
            <w:tcW w:w="4529" w:type="dxa"/>
          </w:tcPr>
          <w:p w:rsidR="005618C1" w:rsidRPr="004312C5" w:rsidRDefault="0095444F" w:rsidP="004312C5">
            <w:pPr>
              <w:pStyle w:val="Paragraphedeliste"/>
              <w:numPr>
                <w:ilvl w:val="0"/>
                <w:numId w:val="26"/>
              </w:numPr>
              <w:bidi/>
              <w:ind w:left="732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4312C5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العلاقة بين الموارد البشرية</w:t>
            </w:r>
            <w:r w:rsidR="004312C5" w:rsidRPr="004312C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و</w:t>
            </w:r>
            <w:r w:rsidRPr="004312C5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اليقظة الاجتماعية و</w:t>
            </w:r>
            <w:r w:rsidR="004312C5" w:rsidRPr="004312C5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المسؤولية الاجتماعية</w:t>
            </w:r>
          </w:p>
        </w:tc>
      </w:tr>
      <w:tr w:rsidR="005618C1" w:rsidRPr="002B6FB2" w:rsidTr="00822069">
        <w:trPr>
          <w:jc w:val="center"/>
        </w:trPr>
        <w:tc>
          <w:tcPr>
            <w:tcW w:w="1179" w:type="dxa"/>
            <w:vAlign w:val="center"/>
            <w:hideMark/>
          </w:tcPr>
          <w:p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05</w:t>
            </w:r>
          </w:p>
        </w:tc>
        <w:tc>
          <w:tcPr>
            <w:tcW w:w="4395" w:type="dxa"/>
            <w:vAlign w:val="center"/>
          </w:tcPr>
          <w:p w:rsidR="005618C1" w:rsidRPr="00822069" w:rsidRDefault="0095444F" w:rsidP="004312C5">
            <w:pPr>
              <w:bidi/>
              <w:rPr>
                <w:sz w:val="32"/>
                <w:szCs w:val="32"/>
              </w:rPr>
            </w:pPr>
            <w:r w:rsidRPr="0095444F">
              <w:rPr>
                <w:sz w:val="32"/>
                <w:szCs w:val="32"/>
                <w:rtl/>
                <w:lang w:bidi="ar-DZ"/>
              </w:rPr>
              <w:t xml:space="preserve">لوحة القيادة لليقظة الاجتماعية </w:t>
            </w:r>
          </w:p>
        </w:tc>
        <w:tc>
          <w:tcPr>
            <w:tcW w:w="4529" w:type="dxa"/>
          </w:tcPr>
          <w:p w:rsidR="005618C1" w:rsidRDefault="004312C5" w:rsidP="004312C5">
            <w:pPr>
              <w:pStyle w:val="Paragraphedeliste"/>
              <w:numPr>
                <w:ilvl w:val="0"/>
                <w:numId w:val="27"/>
              </w:num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تعريفها.</w:t>
            </w:r>
          </w:p>
          <w:p w:rsidR="004312C5" w:rsidRDefault="00A217E8" w:rsidP="004312C5">
            <w:pPr>
              <w:pStyle w:val="Paragraphedeliste"/>
              <w:numPr>
                <w:ilvl w:val="0"/>
                <w:numId w:val="27"/>
              </w:num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أهدافها</w:t>
            </w:r>
          </w:p>
          <w:p w:rsidR="004312C5" w:rsidRPr="004312C5" w:rsidRDefault="004312C5" w:rsidP="004312C5">
            <w:pPr>
              <w:pStyle w:val="Paragraphedeliste"/>
              <w:numPr>
                <w:ilvl w:val="0"/>
                <w:numId w:val="27"/>
              </w:numPr>
              <w:bidi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المؤشرات</w:t>
            </w:r>
          </w:p>
        </w:tc>
      </w:tr>
      <w:tr w:rsidR="005618C1" w:rsidRPr="002B6FB2" w:rsidTr="00822069">
        <w:trPr>
          <w:jc w:val="center"/>
        </w:trPr>
        <w:tc>
          <w:tcPr>
            <w:tcW w:w="1179" w:type="dxa"/>
            <w:vAlign w:val="center"/>
            <w:hideMark/>
          </w:tcPr>
          <w:p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06</w:t>
            </w:r>
          </w:p>
        </w:tc>
        <w:tc>
          <w:tcPr>
            <w:tcW w:w="4395" w:type="dxa"/>
            <w:vAlign w:val="center"/>
          </w:tcPr>
          <w:p w:rsidR="005618C1" w:rsidRPr="00822069" w:rsidRDefault="004312C5" w:rsidP="004312C5">
            <w:pPr>
              <w:bidi/>
              <w:rPr>
                <w:sz w:val="32"/>
                <w:szCs w:val="32"/>
              </w:rPr>
            </w:pPr>
            <w:r w:rsidRPr="00822069">
              <w:rPr>
                <w:rFonts w:hint="cs"/>
                <w:sz w:val="32"/>
                <w:szCs w:val="32"/>
                <w:rtl/>
              </w:rPr>
              <w:t xml:space="preserve">مؤشرات لوحة القيادة لليقظة الاجتماعية </w:t>
            </w:r>
          </w:p>
        </w:tc>
        <w:tc>
          <w:tcPr>
            <w:tcW w:w="4529" w:type="dxa"/>
          </w:tcPr>
          <w:p w:rsidR="005618C1" w:rsidRDefault="00A217E8" w:rsidP="004C6A90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أنواعها.</w:t>
            </w:r>
          </w:p>
          <w:p w:rsidR="00A217E8" w:rsidRPr="00A217E8" w:rsidRDefault="00A217E8" w:rsidP="00A217E8">
            <w:pPr>
              <w:pStyle w:val="Paragraphedeliste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كيفية اعدادها</w:t>
            </w:r>
          </w:p>
        </w:tc>
      </w:tr>
      <w:tr w:rsidR="005618C1" w:rsidRPr="002B6FB2" w:rsidTr="00822069">
        <w:trPr>
          <w:jc w:val="center"/>
        </w:trPr>
        <w:tc>
          <w:tcPr>
            <w:tcW w:w="1179" w:type="dxa"/>
            <w:vAlign w:val="center"/>
            <w:hideMark/>
          </w:tcPr>
          <w:p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07</w:t>
            </w:r>
          </w:p>
        </w:tc>
        <w:tc>
          <w:tcPr>
            <w:tcW w:w="4395" w:type="dxa"/>
            <w:vAlign w:val="center"/>
          </w:tcPr>
          <w:p w:rsidR="0095444F" w:rsidRPr="0095444F" w:rsidRDefault="0095444F" w:rsidP="004C6A90">
            <w:pPr>
              <w:bidi/>
              <w:rPr>
                <w:sz w:val="32"/>
                <w:szCs w:val="32"/>
              </w:rPr>
            </w:pPr>
            <w:r w:rsidRPr="0095444F">
              <w:rPr>
                <w:sz w:val="32"/>
                <w:szCs w:val="32"/>
                <w:rtl/>
                <w:lang w:bidi="ar-DZ"/>
              </w:rPr>
              <w:t xml:space="preserve"> النزاعات </w:t>
            </w:r>
            <w:r w:rsidR="004C6A90" w:rsidRPr="00822069">
              <w:rPr>
                <w:rFonts w:hint="cs"/>
                <w:sz w:val="32"/>
                <w:szCs w:val="32"/>
                <w:rtl/>
              </w:rPr>
              <w:t xml:space="preserve">الوظيفية </w:t>
            </w:r>
          </w:p>
          <w:p w:rsidR="005618C1" w:rsidRPr="00822069" w:rsidRDefault="005618C1" w:rsidP="005618C1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529" w:type="dxa"/>
          </w:tcPr>
          <w:p w:rsidR="005618C1" w:rsidRPr="004C6A90" w:rsidRDefault="004C6A90" w:rsidP="004C6A90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proofErr w:type="spellStart"/>
            <w:r w:rsidRPr="004C6A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تعاربف</w:t>
            </w:r>
            <w:proofErr w:type="spellEnd"/>
            <w:r w:rsidRPr="004C6A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ومفاهيم</w:t>
            </w:r>
          </w:p>
          <w:p w:rsidR="004C6A90" w:rsidRPr="004C6A90" w:rsidRDefault="004C6A90" w:rsidP="004C6A90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4C6A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أسبابها</w:t>
            </w:r>
          </w:p>
          <w:p w:rsidR="004C6A90" w:rsidRPr="004C6A90" w:rsidRDefault="004C6A90" w:rsidP="004C6A90">
            <w:pPr>
              <w:pStyle w:val="Paragraphedeliste"/>
              <w:numPr>
                <w:ilvl w:val="0"/>
                <w:numId w:val="30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4C6A90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أثارها</w:t>
            </w:r>
          </w:p>
        </w:tc>
      </w:tr>
      <w:tr w:rsidR="005618C1" w:rsidRPr="002B6FB2" w:rsidTr="00822069">
        <w:trPr>
          <w:jc w:val="center"/>
        </w:trPr>
        <w:tc>
          <w:tcPr>
            <w:tcW w:w="1179" w:type="dxa"/>
            <w:vAlign w:val="center"/>
            <w:hideMark/>
          </w:tcPr>
          <w:p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08</w:t>
            </w:r>
          </w:p>
        </w:tc>
        <w:tc>
          <w:tcPr>
            <w:tcW w:w="4395" w:type="dxa"/>
            <w:vAlign w:val="center"/>
          </w:tcPr>
          <w:p w:rsidR="005618C1" w:rsidRPr="00822069" w:rsidRDefault="0095444F" w:rsidP="00822069">
            <w:pPr>
              <w:bidi/>
              <w:rPr>
                <w:sz w:val="32"/>
                <w:szCs w:val="32"/>
              </w:rPr>
            </w:pPr>
            <w:r w:rsidRPr="0095444F">
              <w:rPr>
                <w:sz w:val="32"/>
                <w:szCs w:val="32"/>
                <w:rtl/>
                <w:lang w:bidi="ar-DZ"/>
              </w:rPr>
              <w:t xml:space="preserve">مصادر </w:t>
            </w:r>
            <w:r w:rsidR="004C6A90" w:rsidRPr="00822069">
              <w:rPr>
                <w:rFonts w:hint="cs"/>
                <w:sz w:val="32"/>
                <w:szCs w:val="32"/>
                <w:rtl/>
              </w:rPr>
              <w:t>وأنواعها</w:t>
            </w:r>
          </w:p>
        </w:tc>
        <w:tc>
          <w:tcPr>
            <w:tcW w:w="4529" w:type="dxa"/>
          </w:tcPr>
          <w:p w:rsidR="005618C1" w:rsidRDefault="004C6A90" w:rsidP="00822069">
            <w:pPr>
              <w:pStyle w:val="Paragraphedeliste"/>
              <w:numPr>
                <w:ilvl w:val="0"/>
                <w:numId w:val="33"/>
              </w:numPr>
              <w:bidi/>
              <w:ind w:left="597" w:hanging="283"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أنواعها.</w:t>
            </w:r>
          </w:p>
          <w:p w:rsidR="004C6A90" w:rsidRPr="004C6A90" w:rsidRDefault="004C6A90" w:rsidP="00822069">
            <w:pPr>
              <w:pStyle w:val="Paragraphedeliste"/>
              <w:numPr>
                <w:ilvl w:val="0"/>
                <w:numId w:val="33"/>
              </w:numPr>
              <w:bidi/>
              <w:ind w:left="597"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مصادرها</w:t>
            </w:r>
          </w:p>
        </w:tc>
      </w:tr>
      <w:tr w:rsidR="005618C1" w:rsidRPr="002B6FB2" w:rsidTr="00822069">
        <w:trPr>
          <w:jc w:val="center"/>
        </w:trPr>
        <w:tc>
          <w:tcPr>
            <w:tcW w:w="1179" w:type="dxa"/>
            <w:vAlign w:val="center"/>
          </w:tcPr>
          <w:p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4395" w:type="dxa"/>
            <w:vAlign w:val="center"/>
          </w:tcPr>
          <w:p w:rsidR="005618C1" w:rsidRPr="00822069" w:rsidRDefault="00822069" w:rsidP="00822069">
            <w:pPr>
              <w:bidi/>
              <w:rPr>
                <w:sz w:val="32"/>
                <w:szCs w:val="32"/>
              </w:rPr>
            </w:pPr>
            <w:r w:rsidRPr="00822069">
              <w:rPr>
                <w:rFonts w:hint="cs"/>
                <w:sz w:val="32"/>
                <w:szCs w:val="32"/>
                <w:rtl/>
              </w:rPr>
              <w:t>م</w:t>
            </w:r>
            <w:r w:rsidR="002F0279" w:rsidRPr="002F0279">
              <w:rPr>
                <w:sz w:val="32"/>
                <w:szCs w:val="32"/>
                <w:rtl/>
              </w:rPr>
              <w:t>نهجية جمع و تحليل ال</w:t>
            </w:r>
            <w:r w:rsidRPr="00822069">
              <w:rPr>
                <w:rFonts w:hint="cs"/>
                <w:sz w:val="32"/>
                <w:szCs w:val="32"/>
                <w:rtl/>
              </w:rPr>
              <w:t xml:space="preserve">بيانات </w:t>
            </w:r>
            <w:r w:rsidR="002F0279" w:rsidRPr="002F0279">
              <w:rPr>
                <w:sz w:val="32"/>
                <w:szCs w:val="32"/>
                <w:rtl/>
              </w:rPr>
              <w:t>الاجتماعية</w:t>
            </w:r>
          </w:p>
        </w:tc>
        <w:tc>
          <w:tcPr>
            <w:tcW w:w="4529" w:type="dxa"/>
          </w:tcPr>
          <w:p w:rsidR="005618C1" w:rsidRPr="00822069" w:rsidRDefault="002F0279" w:rsidP="00822069">
            <w:pPr>
              <w:pStyle w:val="Paragraphedeliste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r w:rsidRPr="0082206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</w:t>
            </w:r>
            <w:r w:rsidR="00822069" w:rsidRPr="0082206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طرق </w:t>
            </w:r>
            <w:r w:rsidRPr="0082206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</w:t>
            </w:r>
            <w:r w:rsidR="00822069" w:rsidRPr="0082206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م</w:t>
            </w:r>
            <w:r w:rsidRPr="0082206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تبعة </w:t>
            </w:r>
            <w:r w:rsidR="00822069" w:rsidRPr="0082206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 xml:space="preserve"> في الجمع.</w:t>
            </w:r>
          </w:p>
          <w:p w:rsidR="00822069" w:rsidRPr="00822069" w:rsidRDefault="00822069" w:rsidP="00822069">
            <w:pPr>
              <w:pStyle w:val="Paragraphedeliste"/>
              <w:numPr>
                <w:ilvl w:val="0"/>
                <w:numId w:val="34"/>
              </w:numPr>
              <w:bidi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82206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lastRenderedPageBreak/>
              <w:t xml:space="preserve">تحليل </w:t>
            </w:r>
            <w:proofErr w:type="spellStart"/>
            <w:r w:rsidRPr="0082206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البياانات</w:t>
            </w:r>
            <w:proofErr w:type="spellEnd"/>
            <w:r w:rsidRPr="0082206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.</w:t>
            </w:r>
          </w:p>
        </w:tc>
      </w:tr>
      <w:tr w:rsidR="005618C1" w:rsidRPr="002B6FB2" w:rsidTr="00822069">
        <w:trPr>
          <w:jc w:val="center"/>
        </w:trPr>
        <w:tc>
          <w:tcPr>
            <w:tcW w:w="1179" w:type="dxa"/>
            <w:vAlign w:val="center"/>
          </w:tcPr>
          <w:p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10</w:t>
            </w:r>
          </w:p>
        </w:tc>
        <w:tc>
          <w:tcPr>
            <w:tcW w:w="4395" w:type="dxa"/>
            <w:vAlign w:val="center"/>
          </w:tcPr>
          <w:p w:rsidR="005618C1" w:rsidRPr="00822069" w:rsidRDefault="002F0279" w:rsidP="00822069">
            <w:pPr>
              <w:bidi/>
              <w:rPr>
                <w:sz w:val="32"/>
                <w:szCs w:val="32"/>
              </w:rPr>
            </w:pPr>
            <w:r w:rsidRPr="002F0279">
              <w:rPr>
                <w:sz w:val="32"/>
                <w:szCs w:val="32"/>
                <w:rtl/>
              </w:rPr>
              <w:t>الوضعية العامة للعمل</w:t>
            </w:r>
          </w:p>
        </w:tc>
        <w:tc>
          <w:tcPr>
            <w:tcW w:w="4529" w:type="dxa"/>
          </w:tcPr>
          <w:p w:rsidR="002F0279" w:rsidRPr="002F0279" w:rsidRDefault="002F0279" w:rsidP="00822069">
            <w:pPr>
              <w:pStyle w:val="Paragraphedeliste"/>
              <w:numPr>
                <w:ilvl w:val="0"/>
                <w:numId w:val="35"/>
              </w:numPr>
              <w:bidi/>
              <w:ind w:left="597"/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</w:pPr>
            <w:proofErr w:type="spellStart"/>
            <w:r w:rsidRPr="002F0279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التنازعية</w:t>
            </w:r>
            <w:proofErr w:type="spellEnd"/>
            <w:r w:rsidRPr="002F0279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الكامنة</w:t>
            </w:r>
          </w:p>
          <w:p w:rsidR="005618C1" w:rsidRPr="00822069" w:rsidRDefault="002F0279" w:rsidP="00822069">
            <w:pPr>
              <w:pStyle w:val="Paragraphedeliste"/>
              <w:numPr>
                <w:ilvl w:val="0"/>
                <w:numId w:val="35"/>
              </w:numPr>
              <w:bidi/>
              <w:ind w:left="597"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proofErr w:type="spellStart"/>
            <w:r w:rsidRPr="002F0279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التنازعية</w:t>
            </w:r>
            <w:proofErr w:type="spellEnd"/>
            <w:r w:rsidRPr="002F0279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 xml:space="preserve"> الجماعية المفتوحة</w:t>
            </w:r>
          </w:p>
        </w:tc>
      </w:tr>
      <w:tr w:rsidR="005618C1" w:rsidRPr="002B6FB2" w:rsidTr="00822069">
        <w:trPr>
          <w:jc w:val="center"/>
        </w:trPr>
        <w:tc>
          <w:tcPr>
            <w:tcW w:w="1179" w:type="dxa"/>
            <w:vAlign w:val="center"/>
          </w:tcPr>
          <w:p w:rsidR="005618C1" w:rsidRPr="0086117B" w:rsidRDefault="005618C1" w:rsidP="005618C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11</w:t>
            </w:r>
          </w:p>
        </w:tc>
        <w:tc>
          <w:tcPr>
            <w:tcW w:w="4395" w:type="dxa"/>
            <w:vAlign w:val="center"/>
          </w:tcPr>
          <w:p w:rsidR="0095444F" w:rsidRPr="0095444F" w:rsidRDefault="0095444F" w:rsidP="00822069">
            <w:pPr>
              <w:tabs>
                <w:tab w:val="num" w:pos="720"/>
              </w:tabs>
              <w:bidi/>
              <w:rPr>
                <w:sz w:val="32"/>
                <w:szCs w:val="32"/>
              </w:rPr>
            </w:pPr>
            <w:r w:rsidRPr="0095444F">
              <w:rPr>
                <w:sz w:val="32"/>
                <w:szCs w:val="32"/>
                <w:rtl/>
                <w:lang w:bidi="ar-DZ"/>
              </w:rPr>
              <w:t>طرق وكيفيات تسيير النزاعات</w:t>
            </w:r>
          </w:p>
          <w:p w:rsidR="005618C1" w:rsidRPr="00822069" w:rsidRDefault="005618C1" w:rsidP="00822069">
            <w:pPr>
              <w:bidi/>
              <w:jc w:val="center"/>
              <w:rPr>
                <w:sz w:val="32"/>
                <w:szCs w:val="32"/>
              </w:rPr>
            </w:pPr>
          </w:p>
        </w:tc>
        <w:tc>
          <w:tcPr>
            <w:tcW w:w="4529" w:type="dxa"/>
          </w:tcPr>
          <w:p w:rsidR="005618C1" w:rsidRPr="00822069" w:rsidRDefault="00822069" w:rsidP="00822069">
            <w:pPr>
              <w:pStyle w:val="Paragraphedeliste"/>
              <w:numPr>
                <w:ilvl w:val="0"/>
                <w:numId w:val="36"/>
              </w:numPr>
              <w:bidi/>
              <w:ind w:left="739"/>
              <w:rPr>
                <w:rFonts w:ascii="Sakkal Majalla" w:hAnsi="Sakkal Majalla" w:cs="Sakkal Majalla"/>
                <w:sz w:val="28"/>
                <w:szCs w:val="28"/>
                <w:lang w:val="en-US" w:bidi="ar-DZ"/>
              </w:rPr>
            </w:pPr>
            <w:r w:rsidRPr="00822069">
              <w:rPr>
                <w:rFonts w:ascii="Sakkal Majalla" w:hAnsi="Sakkal Majalla" w:cs="Sakkal Majalla" w:hint="cs"/>
                <w:sz w:val="28"/>
                <w:szCs w:val="28"/>
                <w:rtl/>
                <w:lang w:val="en-US" w:bidi="ar-DZ"/>
              </w:rPr>
              <w:t>التعرض ل</w:t>
            </w:r>
            <w:r w:rsidR="0095444F" w:rsidRPr="00822069">
              <w:rPr>
                <w:rFonts w:ascii="Sakkal Majalla" w:hAnsi="Sakkal Majalla" w:cs="Sakkal Majalla"/>
                <w:sz w:val="28"/>
                <w:szCs w:val="28"/>
                <w:rtl/>
                <w:lang w:val="en-US" w:bidi="ar-DZ"/>
              </w:rPr>
              <w:t>طرق عملياتية</w:t>
            </w:r>
          </w:p>
        </w:tc>
      </w:tr>
    </w:tbl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4B19B7" w:rsidRPr="004B19B7" w:rsidRDefault="004B19B7" w:rsidP="004B19B7">
      <w:pPr>
        <w:numPr>
          <w:ilvl w:val="0"/>
          <w:numId w:val="3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B15E28"/>
          <w:sz w:val="41"/>
          <w:szCs w:val="24"/>
          <w:lang w:val="en-US"/>
        </w:rPr>
      </w:pPr>
      <w:r w:rsidRPr="004B19B7">
        <w:rPr>
          <w:rFonts w:ascii="Calibri" w:eastAsia="Times New Roman" w:hAnsi="Calibri" w:cs="Arial"/>
          <w:color w:val="262626" w:themeColor="text1" w:themeTint="D9"/>
          <w:kern w:val="24"/>
          <w:sz w:val="36"/>
          <w:szCs w:val="36"/>
          <w:lang w:val="en-US"/>
        </w:rPr>
        <w:t>Association of School Business Officials International, SCHOOL BUSINESS AFFAIRS, January 2018 | Volume 84, Number 1.</w:t>
      </w:r>
    </w:p>
    <w:p w:rsidR="004B19B7" w:rsidRPr="004B19B7" w:rsidRDefault="004B19B7" w:rsidP="004B19B7">
      <w:pPr>
        <w:numPr>
          <w:ilvl w:val="0"/>
          <w:numId w:val="3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B15E28"/>
          <w:sz w:val="41"/>
          <w:szCs w:val="24"/>
        </w:rPr>
      </w:pPr>
      <w:r w:rsidRPr="004B19B7">
        <w:rPr>
          <w:rFonts w:ascii="Calibri" w:hAnsi="Calibri" w:cs="Arial"/>
          <w:color w:val="262626" w:themeColor="text1" w:themeTint="D9"/>
          <w:kern w:val="24"/>
          <w:sz w:val="36"/>
          <w:szCs w:val="36"/>
        </w:rPr>
        <w:t>Danielle Picard (1990). La veille sociale, Prévoir et gérer la conflictualité industrielle, Vuibert édition.</w:t>
      </w:r>
    </w:p>
    <w:p w:rsidR="004B19B7" w:rsidRPr="00817550" w:rsidRDefault="004B19B7" w:rsidP="004B19B7">
      <w:pPr>
        <w:numPr>
          <w:ilvl w:val="0"/>
          <w:numId w:val="37"/>
        </w:numPr>
        <w:spacing w:after="120" w:line="240" w:lineRule="auto"/>
        <w:ind w:left="1166"/>
        <w:contextualSpacing/>
        <w:rPr>
          <w:rFonts w:ascii="Times New Roman" w:eastAsia="Times New Roman" w:hAnsi="Times New Roman" w:cs="Times New Roman"/>
          <w:color w:val="B15E28"/>
          <w:sz w:val="41"/>
          <w:szCs w:val="24"/>
        </w:rPr>
      </w:pPr>
      <w:r w:rsidRPr="004B19B7">
        <w:rPr>
          <w:rFonts w:ascii="Calibri" w:hAnsi="Calibri" w:cs="Arial"/>
          <w:color w:val="262626" w:themeColor="text1" w:themeTint="D9"/>
          <w:kern w:val="24"/>
          <w:sz w:val="36"/>
          <w:szCs w:val="36"/>
        </w:rPr>
        <w:t>Jean-Pierre Taieb (2016). Les tableaux de bord de la gestion sociale, sixième édition, Dunod édition.</w:t>
      </w:r>
    </w:p>
    <w:p w:rsidR="00817550" w:rsidRPr="00C8128A" w:rsidRDefault="00880F4A" w:rsidP="00817550">
      <w:pPr>
        <w:pStyle w:val="Paragraphedeliste"/>
        <w:numPr>
          <w:ilvl w:val="0"/>
          <w:numId w:val="37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8128A">
        <w:rPr>
          <w:rFonts w:ascii="Sakkal Majalla" w:hAnsi="Sakkal Majalla" w:cs="Sakkal Majalla" w:hint="cs"/>
          <w:b/>
          <w:bCs/>
          <w:sz w:val="36"/>
          <w:szCs w:val="36"/>
          <w:rtl/>
        </w:rPr>
        <w:t>مصطفى يوسف كافي،</w:t>
      </w:r>
      <w:r w:rsidR="00C8128A" w:rsidRPr="00C8128A">
        <w:rPr>
          <w:rFonts w:ascii="Sakkal Majalla" w:hAnsi="Sakkal Majalla" w:cs="Sakkal Majalla" w:hint="cs"/>
          <w:b/>
          <w:bCs/>
          <w:sz w:val="36"/>
          <w:szCs w:val="36"/>
          <w:rtl/>
        </w:rPr>
        <w:t>إدارة الصراع والأزمات التنظيمية،دار الحامد للنشر والتوزيع،الطبعة الأولى،عمان،الأردن،2015.</w:t>
      </w:r>
    </w:p>
    <w:p w:rsidR="0056660D" w:rsidRPr="0056660D" w:rsidRDefault="0056660D" w:rsidP="00817550">
      <w:pPr>
        <w:pStyle w:val="Paragraphedeliste"/>
        <w:numPr>
          <w:ilvl w:val="0"/>
          <w:numId w:val="37"/>
        </w:numPr>
        <w:bidi/>
        <w:spacing w:after="0"/>
        <w:rPr>
          <w:rStyle w:val="fontstyle01"/>
          <w:rFonts w:ascii="Sakkal Majalla" w:hAnsi="Sakkal Majalla" w:cs="Sakkal Majalla"/>
          <w:b/>
          <w:bCs/>
          <w:color w:val="auto"/>
          <w:sz w:val="36"/>
          <w:szCs w:val="36"/>
          <w:u w:val="single"/>
        </w:rPr>
      </w:pPr>
      <w:r w:rsidRPr="0056660D">
        <w:rPr>
          <w:rStyle w:val="fontstyle01"/>
          <w:rFonts w:ascii="Sakkal Majalla" w:hAnsi="Sakkal Majalla" w:cs="Sakkal Majalla"/>
          <w:sz w:val="36"/>
          <w:szCs w:val="36"/>
          <w:rtl/>
        </w:rPr>
        <w:t>فايز جمعة صال</w:t>
      </w:r>
      <w:r w:rsidR="0029619D">
        <w:rPr>
          <w:rStyle w:val="fontstyle01"/>
          <w:rFonts w:ascii="Sakkal Majalla" w:hAnsi="Sakkal Majalla" w:cs="Sakkal Majalla" w:hint="cs"/>
          <w:sz w:val="36"/>
          <w:szCs w:val="36"/>
          <w:rtl/>
        </w:rPr>
        <w:t>ح</w:t>
      </w:r>
      <w:r w:rsidRPr="0056660D">
        <w:rPr>
          <w:rStyle w:val="fontstyle01"/>
          <w:rFonts w:ascii="Sakkal Majalla" w:hAnsi="Sakkal Majalla" w:cs="Sakkal Majalla"/>
          <w:sz w:val="36"/>
          <w:szCs w:val="36"/>
          <w:rtl/>
        </w:rPr>
        <w:t xml:space="preserve"> النجار</w:t>
      </w:r>
      <w:r w:rsidR="00762214">
        <w:rPr>
          <w:rStyle w:val="fontstyle01"/>
          <w:rFonts w:ascii="Sakkal Majalla" w:hAnsi="Sakkal Majalla" w:cs="Sakkal Majalla" w:hint="cs"/>
          <w:sz w:val="36"/>
          <w:szCs w:val="36"/>
          <w:rtl/>
          <w:lang w:bidi="ar-DZ"/>
        </w:rPr>
        <w:t>،</w:t>
      </w:r>
      <w:r w:rsidRPr="0056660D">
        <w:rPr>
          <w:rStyle w:val="fontstyle01"/>
          <w:rFonts w:ascii="Sakkal Majalla" w:hAnsi="Sakkal Majalla" w:cs="Sakkal Majalla"/>
          <w:sz w:val="36"/>
          <w:szCs w:val="36"/>
          <w:rtl/>
        </w:rPr>
        <w:t xml:space="preserve"> نظم المعلومات </w:t>
      </w:r>
      <w:r w:rsidR="00604D97" w:rsidRPr="0056660D">
        <w:rPr>
          <w:rStyle w:val="fontstyle01"/>
          <w:rFonts w:ascii="Sakkal Majalla" w:hAnsi="Sakkal Majalla" w:cs="Sakkal Majalla" w:hint="cs"/>
          <w:sz w:val="36"/>
          <w:szCs w:val="36"/>
          <w:rtl/>
        </w:rPr>
        <w:t>الإدارية</w:t>
      </w:r>
      <w:r>
        <w:rPr>
          <w:rStyle w:val="fontstyle01"/>
          <w:rFonts w:ascii="Sakkal Majalla" w:hAnsi="Sakkal Majalla" w:cs="Sakkal Majalla" w:hint="cs"/>
          <w:sz w:val="36"/>
          <w:szCs w:val="36"/>
          <w:rtl/>
        </w:rPr>
        <w:t>،</w:t>
      </w:r>
      <w:r w:rsidRPr="0056660D">
        <w:rPr>
          <w:rStyle w:val="fontstyle01"/>
          <w:rFonts w:ascii="Sakkal Majalla" w:hAnsi="Sakkal Majalla" w:cs="Sakkal Majalla"/>
          <w:sz w:val="36"/>
          <w:szCs w:val="36"/>
          <w:rtl/>
        </w:rPr>
        <w:t xml:space="preserve"> دار حامد</w:t>
      </w:r>
      <w:r>
        <w:rPr>
          <w:rStyle w:val="fontstyle01"/>
          <w:rFonts w:ascii="Sakkal Majalla" w:hAnsi="Sakkal Majalla" w:cs="Sakkal Majalla" w:hint="cs"/>
          <w:sz w:val="36"/>
          <w:szCs w:val="36"/>
          <w:rtl/>
        </w:rPr>
        <w:t xml:space="preserve"> للنشر والتوزيع،</w:t>
      </w:r>
      <w:r w:rsidRPr="0056660D">
        <w:rPr>
          <w:rStyle w:val="fontstyle01"/>
          <w:rFonts w:ascii="Sakkal Majalla" w:hAnsi="Sakkal Majalla" w:cs="Sakkal Majalla"/>
          <w:sz w:val="36"/>
          <w:szCs w:val="36"/>
          <w:rtl/>
        </w:rPr>
        <w:t xml:space="preserve"> عمان الأردن،2010.</w:t>
      </w:r>
    </w:p>
    <w:p w:rsidR="00E56654" w:rsidRPr="00E56654" w:rsidRDefault="0056660D" w:rsidP="00604D97">
      <w:pPr>
        <w:pStyle w:val="Paragraphedeliste"/>
        <w:numPr>
          <w:ilvl w:val="0"/>
          <w:numId w:val="37"/>
        </w:numPr>
        <w:bidi/>
        <w:spacing w:after="240" w:line="24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 w:rsidRPr="00E56654">
        <w:rPr>
          <w:rFonts w:ascii="Sakkal Majalla" w:hAnsi="Sakkal Majalla" w:cs="Sakkal Majalla"/>
          <w:sz w:val="36"/>
          <w:szCs w:val="36"/>
          <w:rtl/>
        </w:rPr>
        <w:t xml:space="preserve">طاهر محسن منصور </w:t>
      </w:r>
      <w:proofErr w:type="spellStart"/>
      <w:r w:rsidRPr="00E56654">
        <w:rPr>
          <w:rFonts w:ascii="Sakkal Majalla" w:hAnsi="Sakkal Majalla" w:cs="Sakkal Majalla"/>
          <w:sz w:val="36"/>
          <w:szCs w:val="36"/>
          <w:rtl/>
        </w:rPr>
        <w:t>الغالبي</w:t>
      </w:r>
      <w:proofErr w:type="spellEnd"/>
      <w:r w:rsidRPr="00E56654">
        <w:rPr>
          <w:rFonts w:ascii="Sakkal Majalla" w:hAnsi="Sakkal Majalla" w:cs="Sakkal Majalla"/>
          <w:sz w:val="36"/>
          <w:szCs w:val="36"/>
          <w:rtl/>
        </w:rPr>
        <w:t xml:space="preserve"> وصالح مهدي محسن العامري، المسؤولية الاجتماعية وأخلاقيات الأعمال، دار وائل للنشر، ط2، الأردن، 2008</w:t>
      </w:r>
      <w:r w:rsidRPr="00E56654">
        <w:rPr>
          <w:rFonts w:ascii="Sakkal Majalla" w:hAnsi="Sakkal Majalla" w:cs="Sakkal Majalla"/>
          <w:sz w:val="36"/>
          <w:szCs w:val="36"/>
          <w:lang w:bidi="ar-DZ"/>
        </w:rPr>
        <w:t>.</w:t>
      </w:r>
      <w:r w:rsidR="00E56654" w:rsidRPr="00E56654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:rsidR="004B19B7" w:rsidRPr="00E56654" w:rsidRDefault="00E56654" w:rsidP="0029619D">
      <w:pPr>
        <w:pStyle w:val="Paragraphedeliste"/>
        <w:numPr>
          <w:ilvl w:val="0"/>
          <w:numId w:val="37"/>
        </w:numPr>
        <w:bidi/>
        <w:spacing w:after="240" w:line="24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فالتة اليمين، </w:t>
      </w:r>
      <w:r w:rsidR="0029619D">
        <w:rPr>
          <w:rFonts w:ascii="Sakkal Majalla" w:hAnsi="Sakkal Majalla" w:cs="Sakkal Majalla"/>
          <w:sz w:val="36"/>
          <w:szCs w:val="36"/>
          <w:rtl/>
        </w:rPr>
        <w:t>اليقظة وأهميتها</w:t>
      </w:r>
      <w:r w:rsidRPr="00E56654">
        <w:rPr>
          <w:rFonts w:ascii="Sakkal Majalla" w:hAnsi="Sakkal Majalla" w:cs="Sakkal Majalla"/>
          <w:sz w:val="36"/>
          <w:szCs w:val="36"/>
          <w:rtl/>
        </w:rPr>
        <w:t xml:space="preserve"> في اتخاذ القرارات </w:t>
      </w:r>
      <w:proofErr w:type="spellStart"/>
      <w:r w:rsidRPr="00E56654">
        <w:rPr>
          <w:rFonts w:ascii="Sakkal Majalla" w:hAnsi="Sakkal Majalla" w:cs="Sakkal Majalla"/>
          <w:sz w:val="36"/>
          <w:szCs w:val="36"/>
          <w:rtl/>
        </w:rPr>
        <w:t>القرارات</w:t>
      </w:r>
      <w:proofErr w:type="spellEnd"/>
      <w:r w:rsidRPr="00E56654">
        <w:rPr>
          <w:rFonts w:ascii="Sakkal Majalla" w:hAnsi="Sakkal Majalla" w:cs="Sakkal Majalla"/>
          <w:sz w:val="36"/>
          <w:szCs w:val="36"/>
          <w:rtl/>
        </w:rPr>
        <w:t xml:space="preserve"> الإستراتيجية </w:t>
      </w:r>
      <w:r w:rsidR="0029619D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E56654">
        <w:rPr>
          <w:rFonts w:ascii="Sakkal Majalla" w:hAnsi="Sakkal Majalla" w:cs="Sakkal Majalla"/>
          <w:sz w:val="36"/>
          <w:szCs w:val="36"/>
          <w:rtl/>
        </w:rPr>
        <w:t>دراسـة استكشافية بعينة من المؤسسات الاقتصادية الجزائرية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،أطروحة مقدمة لنيل شهادة دكتوراه العلوم في تسيير المؤسسات،جامعة محمد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</w:rPr>
        <w:t>خيضر</w:t>
      </w:r>
      <w:proofErr w:type="spellEnd"/>
      <w:r>
        <w:rPr>
          <w:rFonts w:ascii="Sakkal Majalla" w:hAnsi="Sakkal Majalla" w:cs="Sakkal Majalla" w:hint="cs"/>
          <w:sz w:val="36"/>
          <w:szCs w:val="36"/>
          <w:rtl/>
        </w:rPr>
        <w:t xml:space="preserve"> بسكرة،2012-2013.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817550" w:rsidRPr="000F49B2" w:rsidRDefault="000F49B2" w:rsidP="007356B1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bookmarkStart w:id="1" w:name="_Hlk59826307"/>
      <w:r w:rsidRPr="000F49B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نقطة </w:t>
      </w:r>
      <w:r w:rsidR="00B337AB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Pr="000F49B2">
        <w:rPr>
          <w:rFonts w:ascii="Sakkal Majalla" w:hAnsi="Sakkal Majalla" w:cs="Sakkal Majalla" w:hint="cs"/>
          <w:b/>
          <w:bCs/>
          <w:sz w:val="36"/>
          <w:szCs w:val="36"/>
          <w:rtl/>
        </w:rPr>
        <w:t>امتحان +نقطة الأعمال الموجهة(</w:t>
      </w:r>
      <w:r w:rsidR="007356B1">
        <w:rPr>
          <w:rFonts w:ascii="Sakkal Majalla" w:hAnsi="Sakkal Majalla" w:cs="Sakkal Majalla"/>
          <w:b/>
          <w:bCs/>
          <w:sz w:val="36"/>
          <w:szCs w:val="36"/>
        </w:rPr>
        <w:t>6</w:t>
      </w:r>
      <w:r w:rsidRPr="000F49B2">
        <w:rPr>
          <w:rFonts w:ascii="Sakkal Majalla" w:hAnsi="Sakkal Majalla" w:cs="Sakkal Majalla" w:hint="cs"/>
          <w:b/>
          <w:bCs/>
          <w:sz w:val="36"/>
          <w:szCs w:val="36"/>
          <w:rtl/>
        </w:rPr>
        <w:t>ن للفرض+</w:t>
      </w:r>
      <w:r w:rsidR="007356B1">
        <w:rPr>
          <w:rFonts w:ascii="Sakkal Majalla" w:hAnsi="Sakkal Majalla" w:cs="Sakkal Majalla"/>
          <w:b/>
          <w:bCs/>
          <w:sz w:val="36"/>
          <w:szCs w:val="36"/>
        </w:rPr>
        <w:t>10</w:t>
      </w:r>
      <w:r w:rsidRPr="000F49B2">
        <w:rPr>
          <w:rFonts w:ascii="Sakkal Majalla" w:hAnsi="Sakkal Majalla" w:cs="Sakkal Majalla" w:hint="cs"/>
          <w:b/>
          <w:bCs/>
          <w:sz w:val="36"/>
          <w:szCs w:val="36"/>
          <w:rtl/>
        </w:rPr>
        <w:t>ن للبحث + 4ن للمشاركة والعمل الشخصي)</w:t>
      </w:r>
      <w:r w:rsidR="00604D97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</w:p>
    <w:bookmarkEnd w:id="1"/>
    <w:p w:rsidR="00817550" w:rsidRPr="00F53A1C" w:rsidRDefault="00817550" w:rsidP="0081755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sectPr w:rsidR="00817550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6457F"/>
    <w:multiLevelType w:val="hybridMultilevel"/>
    <w:tmpl w:val="36E662BE"/>
    <w:lvl w:ilvl="0" w:tplc="F1DC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7763D"/>
    <w:multiLevelType w:val="hybridMultilevel"/>
    <w:tmpl w:val="6128B32A"/>
    <w:lvl w:ilvl="0" w:tplc="73CE2B1E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27B64"/>
    <w:multiLevelType w:val="hybridMultilevel"/>
    <w:tmpl w:val="257C64B6"/>
    <w:lvl w:ilvl="0" w:tplc="662E5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B0D99"/>
    <w:multiLevelType w:val="hybridMultilevel"/>
    <w:tmpl w:val="9190A3FC"/>
    <w:lvl w:ilvl="0" w:tplc="3FB8F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1782C"/>
    <w:multiLevelType w:val="hybridMultilevel"/>
    <w:tmpl w:val="15884CEC"/>
    <w:lvl w:ilvl="0" w:tplc="DAD6F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33698"/>
    <w:multiLevelType w:val="hybridMultilevel"/>
    <w:tmpl w:val="0BAAEA8E"/>
    <w:lvl w:ilvl="0" w:tplc="DD6635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B7330"/>
    <w:multiLevelType w:val="hybridMultilevel"/>
    <w:tmpl w:val="709EE0C8"/>
    <w:lvl w:ilvl="0" w:tplc="F99805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478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3CA5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258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98B7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2A73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09B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00DCE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47A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0317D4"/>
    <w:multiLevelType w:val="hybridMultilevel"/>
    <w:tmpl w:val="15C45E7A"/>
    <w:lvl w:ilvl="0" w:tplc="37CCE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51970"/>
    <w:multiLevelType w:val="hybridMultilevel"/>
    <w:tmpl w:val="C7B4D180"/>
    <w:lvl w:ilvl="0" w:tplc="05C6DE4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93AB8"/>
    <w:multiLevelType w:val="hybridMultilevel"/>
    <w:tmpl w:val="8BA0D936"/>
    <w:lvl w:ilvl="0" w:tplc="A83EE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62999"/>
    <w:multiLevelType w:val="hybridMultilevel"/>
    <w:tmpl w:val="239A140E"/>
    <w:lvl w:ilvl="0" w:tplc="9E3E55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FE0FFC"/>
    <w:multiLevelType w:val="hybridMultilevel"/>
    <w:tmpl w:val="F514BF7C"/>
    <w:lvl w:ilvl="0" w:tplc="D048E6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BA0381"/>
    <w:multiLevelType w:val="hybridMultilevel"/>
    <w:tmpl w:val="30269704"/>
    <w:lvl w:ilvl="0" w:tplc="317A9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F4AE7"/>
    <w:multiLevelType w:val="hybridMultilevel"/>
    <w:tmpl w:val="016C0E5E"/>
    <w:lvl w:ilvl="0" w:tplc="86E45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A0A91"/>
    <w:multiLevelType w:val="hybridMultilevel"/>
    <w:tmpl w:val="AA4003C0"/>
    <w:lvl w:ilvl="0" w:tplc="B07AB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F7747"/>
    <w:multiLevelType w:val="hybridMultilevel"/>
    <w:tmpl w:val="84B21498"/>
    <w:lvl w:ilvl="0" w:tplc="9168BEA2">
      <w:start w:val="1"/>
      <w:numFmt w:val="decimal"/>
      <w:lvlText w:val="%1-"/>
      <w:lvlJc w:val="left"/>
      <w:pPr>
        <w:ind w:left="720" w:hanging="360"/>
      </w:pPr>
      <w:rPr>
        <w:rFonts w:ascii="Sakkal Majalla" w:eastAsiaTheme="minorEastAsia" w:hAnsi="Sakkal Majalla" w:cs="Sakkal Majall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E95E74"/>
    <w:multiLevelType w:val="hybridMultilevel"/>
    <w:tmpl w:val="8B14E0FA"/>
    <w:lvl w:ilvl="0" w:tplc="5E0C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F85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BAC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90D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C5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E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A9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AE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2D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BD13D53"/>
    <w:multiLevelType w:val="hybridMultilevel"/>
    <w:tmpl w:val="C292FD38"/>
    <w:lvl w:ilvl="0" w:tplc="D76A84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D2220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E95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0CC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5898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1624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640C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2870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FC0B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EB2AFE"/>
    <w:multiLevelType w:val="hybridMultilevel"/>
    <w:tmpl w:val="6B2047BC"/>
    <w:lvl w:ilvl="0" w:tplc="56520D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864BCD"/>
    <w:multiLevelType w:val="hybridMultilevel"/>
    <w:tmpl w:val="9ACE734A"/>
    <w:lvl w:ilvl="0" w:tplc="7708E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CD6AE7"/>
    <w:multiLevelType w:val="hybridMultilevel"/>
    <w:tmpl w:val="1D6E806A"/>
    <w:lvl w:ilvl="0" w:tplc="932C64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E2195"/>
    <w:multiLevelType w:val="hybridMultilevel"/>
    <w:tmpl w:val="7D76A900"/>
    <w:lvl w:ilvl="0" w:tplc="8AB85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E611F7"/>
    <w:multiLevelType w:val="hybridMultilevel"/>
    <w:tmpl w:val="9EC2EB08"/>
    <w:lvl w:ilvl="0" w:tplc="5F3E27C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3"/>
  </w:num>
  <w:num w:numId="4">
    <w:abstractNumId w:val="2"/>
  </w:num>
  <w:num w:numId="5">
    <w:abstractNumId w:val="6"/>
  </w:num>
  <w:num w:numId="6">
    <w:abstractNumId w:val="20"/>
  </w:num>
  <w:num w:numId="7">
    <w:abstractNumId w:val="0"/>
  </w:num>
  <w:num w:numId="8">
    <w:abstractNumId w:val="10"/>
  </w:num>
  <w:num w:numId="9">
    <w:abstractNumId w:val="8"/>
  </w:num>
  <w:num w:numId="10">
    <w:abstractNumId w:val="13"/>
  </w:num>
  <w:num w:numId="11">
    <w:abstractNumId w:val="19"/>
  </w:num>
  <w:num w:numId="12">
    <w:abstractNumId w:val="34"/>
  </w:num>
  <w:num w:numId="13">
    <w:abstractNumId w:val="36"/>
  </w:num>
  <w:num w:numId="14">
    <w:abstractNumId w:val="7"/>
  </w:num>
  <w:num w:numId="15">
    <w:abstractNumId w:val="1"/>
  </w:num>
  <w:num w:numId="16">
    <w:abstractNumId w:val="9"/>
  </w:num>
  <w:num w:numId="17">
    <w:abstractNumId w:val="37"/>
  </w:num>
  <w:num w:numId="18">
    <w:abstractNumId w:val="3"/>
  </w:num>
  <w:num w:numId="19">
    <w:abstractNumId w:val="35"/>
  </w:num>
  <w:num w:numId="20">
    <w:abstractNumId w:val="14"/>
  </w:num>
  <w:num w:numId="21">
    <w:abstractNumId w:val="30"/>
  </w:num>
  <w:num w:numId="22">
    <w:abstractNumId w:val="15"/>
  </w:num>
  <w:num w:numId="23">
    <w:abstractNumId w:val="18"/>
  </w:num>
  <w:num w:numId="24">
    <w:abstractNumId w:val="26"/>
  </w:num>
  <w:num w:numId="25">
    <w:abstractNumId w:val="16"/>
  </w:num>
  <w:num w:numId="26">
    <w:abstractNumId w:val="31"/>
  </w:num>
  <w:num w:numId="27">
    <w:abstractNumId w:val="5"/>
  </w:num>
  <w:num w:numId="28">
    <w:abstractNumId w:val="28"/>
  </w:num>
  <w:num w:numId="29">
    <w:abstractNumId w:val="25"/>
  </w:num>
  <w:num w:numId="30">
    <w:abstractNumId w:val="32"/>
  </w:num>
  <w:num w:numId="31">
    <w:abstractNumId w:val="4"/>
  </w:num>
  <w:num w:numId="32">
    <w:abstractNumId w:val="27"/>
  </w:num>
  <w:num w:numId="33">
    <w:abstractNumId w:val="24"/>
  </w:num>
  <w:num w:numId="34">
    <w:abstractNumId w:val="11"/>
  </w:num>
  <w:num w:numId="35">
    <w:abstractNumId w:val="22"/>
  </w:num>
  <w:num w:numId="36">
    <w:abstractNumId w:val="33"/>
  </w:num>
  <w:num w:numId="37">
    <w:abstractNumId w:val="29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>
    <w:useFELayout/>
  </w:compat>
  <w:rsids>
    <w:rsidRoot w:val="00224E76"/>
    <w:rsid w:val="0000318F"/>
    <w:rsid w:val="0004094B"/>
    <w:rsid w:val="00091D13"/>
    <w:rsid w:val="000A202B"/>
    <w:rsid w:val="000E0EB2"/>
    <w:rsid w:val="000E496A"/>
    <w:rsid w:val="000F49B2"/>
    <w:rsid w:val="0012729E"/>
    <w:rsid w:val="001365A5"/>
    <w:rsid w:val="00162924"/>
    <w:rsid w:val="001B3634"/>
    <w:rsid w:val="00224E76"/>
    <w:rsid w:val="00260F8E"/>
    <w:rsid w:val="00284996"/>
    <w:rsid w:val="0029619D"/>
    <w:rsid w:val="002B6FB2"/>
    <w:rsid w:val="002F0279"/>
    <w:rsid w:val="0032403E"/>
    <w:rsid w:val="003468EE"/>
    <w:rsid w:val="00346C48"/>
    <w:rsid w:val="00364A2B"/>
    <w:rsid w:val="003D33CB"/>
    <w:rsid w:val="004010B1"/>
    <w:rsid w:val="004312C5"/>
    <w:rsid w:val="004566DF"/>
    <w:rsid w:val="004619E6"/>
    <w:rsid w:val="00476278"/>
    <w:rsid w:val="00492485"/>
    <w:rsid w:val="004B19B7"/>
    <w:rsid w:val="004B612A"/>
    <w:rsid w:val="004C6A90"/>
    <w:rsid w:val="00533525"/>
    <w:rsid w:val="00534678"/>
    <w:rsid w:val="00536A4D"/>
    <w:rsid w:val="005618C1"/>
    <w:rsid w:val="0056660D"/>
    <w:rsid w:val="005E09E9"/>
    <w:rsid w:val="005F0D2D"/>
    <w:rsid w:val="00604D97"/>
    <w:rsid w:val="00615D2E"/>
    <w:rsid w:val="00631924"/>
    <w:rsid w:val="0064089D"/>
    <w:rsid w:val="00703C06"/>
    <w:rsid w:val="0071110E"/>
    <w:rsid w:val="00715943"/>
    <w:rsid w:val="007356B1"/>
    <w:rsid w:val="00761E0A"/>
    <w:rsid w:val="00762214"/>
    <w:rsid w:val="007671BD"/>
    <w:rsid w:val="0077347A"/>
    <w:rsid w:val="00807669"/>
    <w:rsid w:val="00817550"/>
    <w:rsid w:val="00822069"/>
    <w:rsid w:val="00845F0B"/>
    <w:rsid w:val="0086117B"/>
    <w:rsid w:val="00880F4A"/>
    <w:rsid w:val="008A3C4F"/>
    <w:rsid w:val="008A4EEE"/>
    <w:rsid w:val="008A6DC0"/>
    <w:rsid w:val="008F34F7"/>
    <w:rsid w:val="009417FD"/>
    <w:rsid w:val="009524FF"/>
    <w:rsid w:val="0095444F"/>
    <w:rsid w:val="00A0636C"/>
    <w:rsid w:val="00A217E8"/>
    <w:rsid w:val="00A257CC"/>
    <w:rsid w:val="00A6636C"/>
    <w:rsid w:val="00A67EC8"/>
    <w:rsid w:val="00A81E29"/>
    <w:rsid w:val="00AA12CE"/>
    <w:rsid w:val="00B00922"/>
    <w:rsid w:val="00B00AD5"/>
    <w:rsid w:val="00B337AB"/>
    <w:rsid w:val="00B70F58"/>
    <w:rsid w:val="00B84A55"/>
    <w:rsid w:val="00B953AC"/>
    <w:rsid w:val="00BA1C5C"/>
    <w:rsid w:val="00BC7F55"/>
    <w:rsid w:val="00BE34BB"/>
    <w:rsid w:val="00BE34DF"/>
    <w:rsid w:val="00BE4A40"/>
    <w:rsid w:val="00BE59E6"/>
    <w:rsid w:val="00C1388F"/>
    <w:rsid w:val="00C30CFD"/>
    <w:rsid w:val="00C467EB"/>
    <w:rsid w:val="00C77C87"/>
    <w:rsid w:val="00C8128A"/>
    <w:rsid w:val="00C865F9"/>
    <w:rsid w:val="00C87AC5"/>
    <w:rsid w:val="00C9477E"/>
    <w:rsid w:val="00CB2207"/>
    <w:rsid w:val="00D65094"/>
    <w:rsid w:val="00DA3E24"/>
    <w:rsid w:val="00E37D65"/>
    <w:rsid w:val="00E429C6"/>
    <w:rsid w:val="00E46F95"/>
    <w:rsid w:val="00E56654"/>
    <w:rsid w:val="00E61C7E"/>
    <w:rsid w:val="00EB02A6"/>
    <w:rsid w:val="00EB59E2"/>
    <w:rsid w:val="00EE63E9"/>
    <w:rsid w:val="00F203DC"/>
    <w:rsid w:val="00F44905"/>
    <w:rsid w:val="00F53A1C"/>
    <w:rsid w:val="00F7539F"/>
    <w:rsid w:val="00F91E81"/>
    <w:rsid w:val="00F94D92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  <w:style w:type="character" w:customStyle="1" w:styleId="instancename">
    <w:name w:val="instancename"/>
    <w:basedOn w:val="Policepardfaut"/>
    <w:rsid w:val="001B3634"/>
  </w:style>
  <w:style w:type="character" w:customStyle="1" w:styleId="accesshide">
    <w:name w:val="accesshide"/>
    <w:basedOn w:val="Policepardfaut"/>
    <w:rsid w:val="001B3634"/>
  </w:style>
  <w:style w:type="character" w:styleId="Lienhypertexte">
    <w:name w:val="Hyperlink"/>
    <w:basedOn w:val="Policepardfaut"/>
    <w:uiPriority w:val="99"/>
    <w:unhideWhenUsed/>
    <w:rsid w:val="003D33CB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D33CB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56660D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8135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81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602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42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2084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0995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729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001">
          <w:marLeft w:val="0"/>
          <w:marRight w:val="446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6586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27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62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Sam</cp:lastModifiedBy>
  <cp:revision>27</cp:revision>
  <cp:lastPrinted>2019-10-29T12:40:00Z</cp:lastPrinted>
  <dcterms:created xsi:type="dcterms:W3CDTF">2020-12-07T16:12:00Z</dcterms:created>
  <dcterms:modified xsi:type="dcterms:W3CDTF">2020-12-26T20:21:00Z</dcterms:modified>
</cp:coreProperties>
</file>