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ED" w:rsidRPr="005F17A2" w:rsidRDefault="007B6730" w:rsidP="009316F0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t>Hétérogénéité de la distribution des réserves</w:t>
      </w:r>
    </w:p>
    <w:p w:rsidR="00232DED" w:rsidRPr="005F17A2" w:rsidRDefault="00232DED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 xml:space="preserve">L’ovule est toujours caractérisé par </w:t>
      </w:r>
      <w:r w:rsidR="00776DD9" w:rsidRPr="005F17A2">
        <w:rPr>
          <w:rFonts w:asciiTheme="majorBidi" w:hAnsiTheme="majorBidi" w:cstheme="majorBidi"/>
        </w:rPr>
        <w:t>son volume</w:t>
      </w:r>
      <w:r w:rsidRPr="005F17A2">
        <w:rPr>
          <w:rFonts w:asciiTheme="majorBidi" w:hAnsiTheme="majorBidi" w:cstheme="majorBidi"/>
        </w:rPr>
        <w:t xml:space="preserve"> ; il contient en effet beaucoup de réserves</w:t>
      </w:r>
    </w:p>
    <w:p w:rsidR="00776DD9" w:rsidRPr="005F17A2" w:rsidRDefault="00776DD9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C’est une cellule très différente du gamète masculin, elle n’a pas terminé sa maturation nucléaire et elle reste entourée de  ses enveloppes</w:t>
      </w:r>
      <w:r w:rsidR="00A545E5" w:rsidRPr="005F17A2">
        <w:rPr>
          <w:rFonts w:asciiTheme="majorBidi" w:hAnsiTheme="majorBidi" w:cstheme="majorBidi"/>
        </w:rPr>
        <w:t>.</w:t>
      </w:r>
    </w:p>
    <w:p w:rsidR="00A545E5" w:rsidRPr="005F17A2" w:rsidRDefault="005F17A2" w:rsidP="009316F0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Il n’</w:t>
      </w:r>
      <w:r w:rsidR="00A545E5" w:rsidRPr="005F17A2">
        <w:rPr>
          <w:rFonts w:asciiTheme="majorBidi" w:hAnsiTheme="majorBidi" w:cstheme="majorBidi"/>
        </w:rPr>
        <w:t xml:space="preserve">y a pas de </w:t>
      </w:r>
      <w:r w:rsidRPr="005F17A2">
        <w:rPr>
          <w:rFonts w:asciiTheme="majorBidi" w:hAnsiTheme="majorBidi" w:cstheme="majorBidi"/>
        </w:rPr>
        <w:t>noyau, les</w:t>
      </w:r>
      <w:r w:rsidR="00A545E5" w:rsidRPr="005F17A2">
        <w:rPr>
          <w:rFonts w:asciiTheme="majorBidi" w:hAnsiTheme="majorBidi" w:cstheme="majorBidi"/>
        </w:rPr>
        <w:t xml:space="preserve"> chromosomes disposés à plat sur le plan </w:t>
      </w:r>
      <w:r w:rsidRPr="005F17A2">
        <w:rPr>
          <w:rFonts w:asciiTheme="majorBidi" w:hAnsiTheme="majorBidi" w:cstheme="majorBidi"/>
        </w:rPr>
        <w:t>équatorial</w:t>
      </w:r>
      <w:r w:rsidR="00A545E5" w:rsidRPr="005F17A2">
        <w:rPr>
          <w:rFonts w:asciiTheme="majorBidi" w:hAnsiTheme="majorBidi" w:cstheme="majorBidi"/>
        </w:rPr>
        <w:t xml:space="preserve">  sont bloqués en </w:t>
      </w:r>
      <w:proofErr w:type="spellStart"/>
      <w:r w:rsidR="00A545E5" w:rsidRPr="005F17A2">
        <w:rPr>
          <w:rFonts w:asciiTheme="majorBidi" w:hAnsiTheme="majorBidi" w:cstheme="majorBidi"/>
        </w:rPr>
        <w:t>metaphase</w:t>
      </w:r>
      <w:proofErr w:type="spellEnd"/>
      <w:r w:rsidR="00A545E5" w:rsidRPr="005F17A2">
        <w:rPr>
          <w:rFonts w:asciiTheme="majorBidi" w:hAnsiTheme="majorBidi" w:cstheme="majorBidi"/>
        </w:rPr>
        <w:t xml:space="preserve"> </w:t>
      </w:r>
      <w:proofErr w:type="gramStart"/>
      <w:r w:rsidR="00A545E5" w:rsidRPr="005F17A2">
        <w:rPr>
          <w:rFonts w:asciiTheme="majorBidi" w:hAnsiTheme="majorBidi" w:cstheme="majorBidi"/>
        </w:rPr>
        <w:t>II ,</w:t>
      </w:r>
      <w:proofErr w:type="gramEnd"/>
      <w:r w:rsidR="00A545E5" w:rsidRPr="005F17A2">
        <w:rPr>
          <w:rFonts w:asciiTheme="majorBidi" w:hAnsiTheme="majorBidi" w:cstheme="majorBidi"/>
        </w:rPr>
        <w:t xml:space="preserve"> sont </w:t>
      </w:r>
      <w:proofErr w:type="spellStart"/>
      <w:r w:rsidR="00A545E5" w:rsidRPr="005F17A2">
        <w:rPr>
          <w:rFonts w:asciiTheme="majorBidi" w:hAnsiTheme="majorBidi" w:cstheme="majorBidi"/>
        </w:rPr>
        <w:t>haploides</w:t>
      </w:r>
      <w:proofErr w:type="spellEnd"/>
      <w:r w:rsidR="00A545E5" w:rsidRPr="005F17A2">
        <w:rPr>
          <w:rFonts w:asciiTheme="majorBidi" w:hAnsiTheme="majorBidi" w:cstheme="majorBidi"/>
        </w:rPr>
        <w:t xml:space="preserve"> et clivés chacun en 2 chromatides; ils sont localisés dans une vésicules germinative.  </w:t>
      </w:r>
    </w:p>
    <w:p w:rsidR="00B833B6" w:rsidRPr="005F17A2" w:rsidRDefault="00A545E5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Le cytoplasme contient les organites classiques</w:t>
      </w:r>
      <w:r w:rsidR="00B833B6" w:rsidRPr="005F17A2">
        <w:rPr>
          <w:rFonts w:asciiTheme="majorBidi" w:hAnsiTheme="majorBidi" w:cstheme="majorBidi"/>
        </w:rPr>
        <w:t xml:space="preserve"> : </w:t>
      </w:r>
      <w:r w:rsidRPr="005F17A2">
        <w:rPr>
          <w:rFonts w:asciiTheme="majorBidi" w:hAnsiTheme="majorBidi" w:cstheme="majorBidi"/>
        </w:rPr>
        <w:t>Les ribosomes sont extrêmement nombreux et pour la plupart à l’</w:t>
      </w:r>
      <w:r w:rsidR="005F17A2" w:rsidRPr="005F17A2">
        <w:rPr>
          <w:rFonts w:asciiTheme="majorBidi" w:hAnsiTheme="majorBidi" w:cstheme="majorBidi"/>
        </w:rPr>
        <w:t>état</w:t>
      </w:r>
      <w:r w:rsidRPr="005F17A2">
        <w:rPr>
          <w:rFonts w:asciiTheme="majorBidi" w:hAnsiTheme="majorBidi" w:cstheme="majorBidi"/>
        </w:rPr>
        <w:t xml:space="preserve"> d</w:t>
      </w:r>
      <w:r w:rsidR="00B833B6" w:rsidRPr="005F17A2">
        <w:rPr>
          <w:rFonts w:asciiTheme="majorBidi" w:hAnsiTheme="majorBidi" w:cstheme="majorBidi"/>
        </w:rPr>
        <w:t xml:space="preserve">e </w:t>
      </w:r>
      <w:proofErr w:type="spellStart"/>
      <w:r w:rsidR="00B833B6" w:rsidRPr="005F17A2">
        <w:rPr>
          <w:rFonts w:asciiTheme="majorBidi" w:hAnsiTheme="majorBidi" w:cstheme="majorBidi"/>
        </w:rPr>
        <w:t>monoribosomes</w:t>
      </w:r>
      <w:proofErr w:type="spellEnd"/>
      <w:r w:rsidR="00B833B6" w:rsidRPr="005F17A2">
        <w:rPr>
          <w:rFonts w:asciiTheme="majorBidi" w:hAnsiTheme="majorBidi" w:cstheme="majorBidi"/>
        </w:rPr>
        <w:t xml:space="preserve">, </w:t>
      </w:r>
      <w:r w:rsidR="00232DED" w:rsidRPr="005F17A2">
        <w:rPr>
          <w:rFonts w:asciiTheme="majorBidi" w:hAnsiTheme="majorBidi" w:cstheme="majorBidi"/>
        </w:rPr>
        <w:t xml:space="preserve">Les mitochondries sont pauvres en </w:t>
      </w:r>
      <w:r w:rsidR="005F17A2" w:rsidRPr="005F17A2">
        <w:rPr>
          <w:rFonts w:asciiTheme="majorBidi" w:hAnsiTheme="majorBidi" w:cstheme="majorBidi"/>
        </w:rPr>
        <w:t>crêtes</w:t>
      </w:r>
      <w:r w:rsidR="00B833B6" w:rsidRPr="005F17A2">
        <w:rPr>
          <w:rFonts w:asciiTheme="majorBidi" w:hAnsiTheme="majorBidi" w:cstheme="majorBidi"/>
        </w:rPr>
        <w:t>,</w:t>
      </w:r>
      <w:r w:rsidR="005F17A2" w:rsidRPr="005F17A2">
        <w:rPr>
          <w:rFonts w:asciiTheme="majorBidi" w:hAnsiTheme="majorBidi" w:cstheme="majorBidi"/>
        </w:rPr>
        <w:t xml:space="preserve"> Les granules corticaux (</w:t>
      </w:r>
      <w:r w:rsidR="00232DED" w:rsidRPr="005F17A2">
        <w:rPr>
          <w:rFonts w:asciiTheme="majorBidi" w:hAnsiTheme="majorBidi" w:cstheme="majorBidi"/>
        </w:rPr>
        <w:t xml:space="preserve">les grains corticaux) de 0,5 µm de </w:t>
      </w:r>
      <w:r w:rsidR="005F17A2" w:rsidRPr="005F17A2">
        <w:rPr>
          <w:rFonts w:asciiTheme="majorBidi" w:hAnsiTheme="majorBidi" w:cstheme="majorBidi"/>
        </w:rPr>
        <w:t>diamètre, sont</w:t>
      </w:r>
      <w:r w:rsidR="00232DED" w:rsidRPr="005F17A2">
        <w:rPr>
          <w:rFonts w:asciiTheme="majorBidi" w:hAnsiTheme="majorBidi" w:cstheme="majorBidi"/>
        </w:rPr>
        <w:t xml:space="preserve"> disposés en 2 ou 3 couches irrégulières dans la zone périphérique du cytoplasme sous la membrane plasmique  </w:t>
      </w:r>
    </w:p>
    <w:p w:rsidR="00EE076F" w:rsidRPr="005F17A2" w:rsidRDefault="00232DED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 xml:space="preserve">La membrane plasmique montre des microvillosités reparties sur tout le pourtour de l’ovocyte </w:t>
      </w:r>
    </w:p>
    <w:p w:rsidR="00232DED" w:rsidRPr="005F17A2" w:rsidRDefault="00DC705A" w:rsidP="009316F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1D1A1B"/>
          <w:sz w:val="24"/>
          <w:szCs w:val="24"/>
        </w:rPr>
      </w:pPr>
      <w:r w:rsidRPr="005F17A2">
        <w:rPr>
          <w:rFonts w:asciiTheme="majorBidi" w:hAnsiTheme="majorBidi" w:cstheme="majorBidi"/>
          <w:sz w:val="24"/>
          <w:szCs w:val="24"/>
        </w:rPr>
        <w:t>Le</w:t>
      </w:r>
      <w:r w:rsidR="00EE076F" w:rsidRPr="005F17A2">
        <w:rPr>
          <w:rFonts w:asciiTheme="majorBidi" w:hAnsiTheme="majorBidi" w:cstheme="majorBidi"/>
          <w:sz w:val="24"/>
          <w:szCs w:val="24"/>
        </w:rPr>
        <w:t xml:space="preserve"> contenu cytoplasmique est hétérogène, cette hétérogénéité est due à une répartition inégale des produits </w:t>
      </w:r>
      <w:r w:rsidR="009316F0" w:rsidRPr="005F17A2">
        <w:rPr>
          <w:rFonts w:asciiTheme="majorBidi" w:hAnsiTheme="majorBidi" w:cstheme="majorBidi"/>
          <w:sz w:val="24"/>
          <w:szCs w:val="24"/>
        </w:rPr>
        <w:t xml:space="preserve">ovocytaires </w:t>
      </w:r>
      <w:r w:rsidR="00EE076F" w:rsidRPr="005F17A2">
        <w:rPr>
          <w:rFonts w:asciiTheme="majorBidi" w:hAnsiTheme="majorBidi" w:cstheme="majorBidi"/>
          <w:sz w:val="24"/>
          <w:szCs w:val="24"/>
        </w:rPr>
        <w:t>élaborés pendant l’ovogenèse</w:t>
      </w:r>
    </w:p>
    <w:p w:rsidR="009316F0" w:rsidRPr="005F17A2" w:rsidRDefault="009316F0" w:rsidP="009316F0">
      <w:pPr>
        <w:spacing w:line="360" w:lineRule="auto"/>
        <w:jc w:val="center"/>
        <w:rPr>
          <w:rFonts w:asciiTheme="majorBidi" w:hAnsiTheme="majorBidi" w:cstheme="majorBidi"/>
          <w:color w:val="1D1A1B"/>
          <w:sz w:val="24"/>
          <w:szCs w:val="24"/>
        </w:rPr>
      </w:pPr>
      <w:r w:rsidRPr="005F17A2">
        <w:rPr>
          <w:rFonts w:asciiTheme="majorBidi" w:hAnsiTheme="majorBidi" w:cstheme="majorBidi"/>
          <w:color w:val="1D1A1B"/>
          <w:sz w:val="24"/>
          <w:szCs w:val="24"/>
        </w:rPr>
        <w:t xml:space="preserve">Comment se manifeste cette hétérogénéité dans les ovocytes </w:t>
      </w:r>
    </w:p>
    <w:p w:rsidR="009316F0" w:rsidRPr="005F17A2" w:rsidRDefault="009316F0" w:rsidP="009316F0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sz w:val="24"/>
          <w:szCs w:val="24"/>
        </w:rPr>
        <w:sym w:font="Wingdings" w:char="F0E8"/>
      </w:r>
      <w:r w:rsidRPr="005F17A2">
        <w:rPr>
          <w:rFonts w:asciiTheme="majorBidi" w:hAnsiTheme="majorBidi" w:cstheme="majorBidi"/>
          <w:sz w:val="24"/>
          <w:szCs w:val="24"/>
        </w:rPr>
        <w:t xml:space="preserve"> </w:t>
      </w:r>
      <w:r w:rsidRPr="005F17A2">
        <w:rPr>
          <w:rFonts w:asciiTheme="majorBidi" w:hAnsiTheme="majorBidi" w:cstheme="majorBidi"/>
          <w:sz w:val="24"/>
          <w:szCs w:val="24"/>
        </w:rPr>
        <w:sym w:font="Wingdings" w:char="F0E8"/>
      </w:r>
      <w:r w:rsidRPr="005F17A2">
        <w:rPr>
          <w:rFonts w:asciiTheme="majorBidi" w:hAnsiTheme="majorBidi" w:cstheme="majorBidi"/>
          <w:sz w:val="24"/>
          <w:szCs w:val="24"/>
        </w:rPr>
        <w:t xml:space="preserve">  </w:t>
      </w:r>
      <w:r w:rsidRPr="005F17A2">
        <w:rPr>
          <w:rFonts w:asciiTheme="majorBidi" w:hAnsiTheme="majorBidi" w:cstheme="majorBidi"/>
          <w:color w:val="1D1A1B"/>
          <w:sz w:val="24"/>
          <w:szCs w:val="24"/>
        </w:rPr>
        <w:t>L’ovocyte d'Amphibien constitue un excellent modèle</w:t>
      </w:r>
    </w:p>
    <w:p w:rsidR="00B833B6" w:rsidRPr="005F17A2" w:rsidRDefault="00B833B6" w:rsidP="009316F0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t xml:space="preserve">Hétérogénéités de la distribution des </w:t>
      </w:r>
      <w:r w:rsidR="00B62417" w:rsidRPr="005F17A2">
        <w:rPr>
          <w:rFonts w:asciiTheme="majorBidi" w:hAnsiTheme="majorBidi" w:cstheme="majorBidi"/>
          <w:b/>
          <w:bCs/>
        </w:rPr>
        <w:t>réserves</w:t>
      </w:r>
      <w:r w:rsidR="00EA4D9C" w:rsidRPr="005F17A2">
        <w:rPr>
          <w:rFonts w:asciiTheme="majorBidi" w:hAnsiTheme="majorBidi" w:cstheme="majorBidi"/>
          <w:b/>
          <w:bCs/>
        </w:rPr>
        <w:t xml:space="preserve"> (une répartition asymétrique du vitellus) </w:t>
      </w:r>
      <w:r w:rsidR="00DD2406" w:rsidRPr="005F17A2">
        <w:rPr>
          <w:rFonts w:asciiTheme="majorBidi" w:hAnsiTheme="majorBidi" w:cstheme="majorBidi"/>
          <w:b/>
          <w:bCs/>
        </w:rPr>
        <w:t xml:space="preserve"> </w:t>
      </w:r>
      <w:r w:rsidR="00EA4D9C" w:rsidRPr="005F17A2">
        <w:rPr>
          <w:rFonts w:asciiTheme="majorBidi" w:hAnsiTheme="majorBidi" w:cstheme="majorBidi"/>
          <w:b/>
          <w:bCs/>
        </w:rPr>
        <w:t xml:space="preserve"> </w:t>
      </w:r>
    </w:p>
    <w:p w:rsidR="00E13C69" w:rsidRPr="005F17A2" w:rsidRDefault="00B62417" w:rsidP="005F17A2">
      <w:pPr>
        <w:spacing w:after="0"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  <w:sz w:val="24"/>
          <w:szCs w:val="24"/>
        </w:rPr>
        <w:t>Les ovocytes des Amphibiens sont de grande taille et le vitellus y est très abondant</w:t>
      </w:r>
      <w:r w:rsidR="002A6166" w:rsidRPr="005F17A2">
        <w:rPr>
          <w:rFonts w:asciiTheme="majorBidi" w:hAnsiTheme="majorBidi" w:cstheme="majorBidi"/>
          <w:sz w:val="24"/>
          <w:szCs w:val="24"/>
        </w:rPr>
        <w:t xml:space="preserve">. Les réserves vitellines se distribuent de façon très hétérogène dans le cytoplasme </w:t>
      </w:r>
      <w:r w:rsidR="00E13C69" w:rsidRPr="005F17A2">
        <w:rPr>
          <w:rFonts w:asciiTheme="majorBidi" w:hAnsiTheme="majorBidi" w:cstheme="majorBidi"/>
        </w:rPr>
        <w:t>et conduisent à une asymétrie,</w:t>
      </w:r>
      <w:r w:rsidR="00E13C69" w:rsidRPr="005F17A2">
        <w:rPr>
          <w:rFonts w:asciiTheme="majorBidi" w:eastAsia="+mn-ea" w:hAnsiTheme="majorBidi" w:cstheme="majorBidi"/>
          <w:color w:val="000000"/>
          <w:kern w:val="24"/>
          <w:sz w:val="44"/>
          <w:szCs w:val="44"/>
        </w:rPr>
        <w:t xml:space="preserve"> </w:t>
      </w:r>
      <w:r w:rsidR="00E13C69" w:rsidRPr="005F17A2">
        <w:rPr>
          <w:rFonts w:asciiTheme="majorBidi" w:hAnsiTheme="majorBidi" w:cstheme="majorBidi"/>
        </w:rPr>
        <w:t xml:space="preserve">il se forme un </w:t>
      </w:r>
      <w:r w:rsidR="00E13C69" w:rsidRPr="005F17A2">
        <w:rPr>
          <w:rFonts w:asciiTheme="majorBidi" w:hAnsiTheme="majorBidi" w:cstheme="majorBidi"/>
          <w:b/>
          <w:bCs/>
        </w:rPr>
        <w:t xml:space="preserve">gradient de vitellus </w:t>
      </w:r>
      <w:r w:rsidR="00E13C69" w:rsidRPr="005F17A2">
        <w:rPr>
          <w:rFonts w:asciiTheme="majorBidi" w:hAnsiTheme="majorBidi" w:cstheme="majorBidi"/>
        </w:rPr>
        <w:t>minimal à un pole de la cellule et maximal à l’autre :</w:t>
      </w:r>
      <w:r w:rsidR="00E13C69" w:rsidRPr="005F17A2">
        <w:rPr>
          <w:rFonts w:asciiTheme="majorBidi" w:eastAsia="+mn-ea" w:hAnsiTheme="majorBidi" w:cstheme="majorBidi"/>
          <w:color w:val="000000"/>
          <w:kern w:val="24"/>
          <w:sz w:val="44"/>
          <w:szCs w:val="44"/>
          <w:lang w:eastAsia="fr-FR"/>
        </w:rPr>
        <w:t xml:space="preserve"> </w:t>
      </w:r>
      <w:r w:rsidR="00E13C69" w:rsidRPr="005F17A2">
        <w:rPr>
          <w:rFonts w:asciiTheme="majorBidi" w:hAnsiTheme="majorBidi" w:cstheme="majorBidi"/>
        </w:rPr>
        <w:t xml:space="preserve">Il est minimal </w:t>
      </w:r>
      <w:r w:rsidR="005F17A2">
        <w:rPr>
          <w:rFonts w:asciiTheme="majorBidi" w:hAnsiTheme="majorBidi" w:cstheme="majorBidi"/>
        </w:rPr>
        <w:t>à l’</w:t>
      </w:r>
      <w:r w:rsidR="00E13C69" w:rsidRPr="005F17A2">
        <w:rPr>
          <w:rFonts w:asciiTheme="majorBidi" w:hAnsiTheme="majorBidi" w:cstheme="majorBidi"/>
          <w:i/>
          <w:iCs/>
        </w:rPr>
        <w:t>hémisphère animal</w:t>
      </w:r>
      <w:r w:rsidR="00E13C69" w:rsidRPr="005F17A2">
        <w:rPr>
          <w:rFonts w:asciiTheme="majorBidi" w:hAnsiTheme="majorBidi" w:cstheme="majorBidi"/>
        </w:rPr>
        <w:t xml:space="preserve"> Il est maximal au </w:t>
      </w:r>
      <w:r w:rsidR="005F17A2">
        <w:rPr>
          <w:rFonts w:asciiTheme="majorBidi" w:hAnsiTheme="majorBidi" w:cstheme="majorBidi"/>
        </w:rPr>
        <w:t>à l’</w:t>
      </w:r>
      <w:r w:rsidR="00E13C69" w:rsidRPr="005F17A2">
        <w:rPr>
          <w:rFonts w:asciiTheme="majorBidi" w:hAnsiTheme="majorBidi" w:cstheme="majorBidi"/>
          <w:i/>
          <w:iCs/>
        </w:rPr>
        <w:t>hémisphère végétatif</w:t>
      </w:r>
      <w:r w:rsidR="00E13C69" w:rsidRPr="005F17A2">
        <w:rPr>
          <w:rFonts w:asciiTheme="majorBidi" w:hAnsiTheme="majorBidi" w:cstheme="majorBidi"/>
        </w:rPr>
        <w:t>.</w:t>
      </w:r>
    </w:p>
    <w:p w:rsidR="00B62417" w:rsidRPr="005F17A2" w:rsidRDefault="00E13C69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 xml:space="preserve">À la fin de la </w:t>
      </w:r>
      <w:proofErr w:type="spellStart"/>
      <w:r w:rsidRPr="005F17A2">
        <w:rPr>
          <w:rFonts w:asciiTheme="majorBidi" w:hAnsiTheme="majorBidi" w:cstheme="majorBidi"/>
        </w:rPr>
        <w:t>vitellogenese</w:t>
      </w:r>
      <w:proofErr w:type="spellEnd"/>
      <w:r w:rsidRPr="005F17A2">
        <w:rPr>
          <w:rFonts w:asciiTheme="majorBidi" w:hAnsiTheme="majorBidi" w:cstheme="majorBidi"/>
        </w:rPr>
        <w:t xml:space="preserve"> 75% du vitellus est</w:t>
      </w:r>
      <w:r w:rsidR="00EA4D9C" w:rsidRPr="005F17A2">
        <w:rPr>
          <w:rFonts w:asciiTheme="majorBidi" w:hAnsiTheme="majorBidi" w:cstheme="majorBidi"/>
        </w:rPr>
        <w:t xml:space="preserve"> concentré au pole végétatif.</w:t>
      </w:r>
    </w:p>
    <w:p w:rsidR="00DD2406" w:rsidRPr="005F17A2" w:rsidRDefault="00DD2406" w:rsidP="009316F0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3390900" cy="2990850"/>
            <wp:effectExtent l="19050" t="0" r="0" b="0"/>
            <wp:docPr id="1" name="Image 1" descr="C:\Users\ACER\Desktop\index 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CER\Desktop\index f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26" cy="299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05A" w:rsidRPr="005F17A2" w:rsidRDefault="00232DED" w:rsidP="009316F0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t>Hétérogénéités de la distribution</w:t>
      </w:r>
      <w:r w:rsidRPr="005F17A2">
        <w:rPr>
          <w:rFonts w:asciiTheme="majorBidi" w:eastAsia="+mn-ea" w:hAnsiTheme="majorBidi" w:cstheme="majorBidi"/>
          <w:color w:val="000000"/>
          <w:kern w:val="24"/>
          <w:sz w:val="52"/>
          <w:szCs w:val="52"/>
        </w:rPr>
        <w:t xml:space="preserve"> </w:t>
      </w:r>
      <w:r w:rsidRPr="005F17A2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 xml:space="preserve">des </w:t>
      </w:r>
      <w:proofErr w:type="spellStart"/>
      <w:r w:rsidRPr="005F17A2">
        <w:rPr>
          <w:rFonts w:asciiTheme="majorBidi" w:hAnsiTheme="majorBidi" w:cstheme="majorBidi"/>
          <w:b/>
          <w:bCs/>
        </w:rPr>
        <w:t>RiboNucleoProteines</w:t>
      </w:r>
      <w:proofErr w:type="spellEnd"/>
      <w:r w:rsidRPr="005F17A2">
        <w:rPr>
          <w:rFonts w:asciiTheme="majorBidi" w:hAnsiTheme="majorBidi" w:cstheme="majorBidi"/>
          <w:b/>
          <w:bCs/>
        </w:rPr>
        <w:t xml:space="preserve"> : </w:t>
      </w:r>
    </w:p>
    <w:p w:rsidR="000D21AA" w:rsidRPr="005F17A2" w:rsidRDefault="006B7CD2" w:rsidP="006B7CD2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Les</w:t>
      </w:r>
      <w:r w:rsidR="000D21AA" w:rsidRPr="005F17A2">
        <w:rPr>
          <w:rFonts w:asciiTheme="majorBidi" w:hAnsiTheme="majorBidi" w:cstheme="majorBidi"/>
        </w:rPr>
        <w:t xml:space="preserve"> </w:t>
      </w:r>
      <w:proofErr w:type="spellStart"/>
      <w:r w:rsidR="000D21AA" w:rsidRPr="005F17A2">
        <w:rPr>
          <w:rFonts w:asciiTheme="majorBidi" w:hAnsiTheme="majorBidi" w:cstheme="majorBidi"/>
        </w:rPr>
        <w:t>ARNr</w:t>
      </w:r>
      <w:proofErr w:type="spellEnd"/>
      <w:r w:rsidR="000D21AA" w:rsidRPr="005F17A2">
        <w:rPr>
          <w:rFonts w:asciiTheme="majorBidi" w:hAnsiTheme="majorBidi" w:cstheme="majorBidi"/>
        </w:rPr>
        <w:t xml:space="preserve"> et ribosomes et les sous unités </w:t>
      </w:r>
      <w:proofErr w:type="spellStart"/>
      <w:r w:rsidR="000D21AA" w:rsidRPr="005F17A2">
        <w:rPr>
          <w:rFonts w:asciiTheme="majorBidi" w:hAnsiTheme="majorBidi" w:cstheme="majorBidi"/>
        </w:rPr>
        <w:t>ribosomiques</w:t>
      </w:r>
      <w:proofErr w:type="spellEnd"/>
      <w:r w:rsidR="000D21AA" w:rsidRPr="005F17A2">
        <w:rPr>
          <w:rFonts w:asciiTheme="majorBidi" w:hAnsiTheme="majorBidi" w:cstheme="majorBidi"/>
        </w:rPr>
        <w:t xml:space="preserve"> se concentrent</w:t>
      </w:r>
      <w:r w:rsidRPr="005F17A2">
        <w:rPr>
          <w:rFonts w:asciiTheme="majorBidi" w:hAnsiTheme="majorBidi" w:cstheme="majorBidi"/>
        </w:rPr>
        <w:t xml:space="preserve"> dans le pole animal</w:t>
      </w:r>
      <w:r w:rsidRPr="005F17A2">
        <w:rPr>
          <w:rFonts w:asciiTheme="majorBidi" w:eastAsia="+mn-ea" w:hAnsiTheme="majorBidi" w:cstheme="majorBidi"/>
          <w:color w:val="000000"/>
          <w:kern w:val="24"/>
          <w:sz w:val="52"/>
          <w:szCs w:val="52"/>
        </w:rPr>
        <w:t xml:space="preserve"> </w:t>
      </w:r>
      <w:r w:rsidRPr="005F17A2">
        <w:rPr>
          <w:rFonts w:asciiTheme="majorBidi" w:hAnsiTheme="majorBidi" w:cstheme="majorBidi"/>
        </w:rPr>
        <w:t xml:space="preserve">créant un gradient </w:t>
      </w:r>
      <w:proofErr w:type="spellStart"/>
      <w:r w:rsidRPr="005F17A2">
        <w:rPr>
          <w:rFonts w:asciiTheme="majorBidi" w:hAnsiTheme="majorBidi" w:cstheme="majorBidi"/>
        </w:rPr>
        <w:t>RiboNucleoProteique</w:t>
      </w:r>
      <w:proofErr w:type="spellEnd"/>
      <w:r w:rsidRPr="005F17A2">
        <w:rPr>
          <w:rFonts w:asciiTheme="majorBidi" w:hAnsiTheme="majorBidi" w:cstheme="majorBidi"/>
        </w:rPr>
        <w:t xml:space="preserve"> (= RNP) maxima</w:t>
      </w:r>
      <w:r w:rsidR="005F17A2">
        <w:rPr>
          <w:rFonts w:asciiTheme="majorBidi" w:hAnsiTheme="majorBidi" w:cstheme="majorBidi"/>
        </w:rPr>
        <w:t xml:space="preserve">l au pole animal et un </w:t>
      </w:r>
      <w:r w:rsidRPr="005F17A2">
        <w:rPr>
          <w:rFonts w:asciiTheme="majorBidi" w:hAnsiTheme="majorBidi" w:cstheme="majorBidi"/>
        </w:rPr>
        <w:t xml:space="preserve">minimal au pole </w:t>
      </w:r>
      <w:r w:rsidR="00067FA1" w:rsidRPr="005F17A2">
        <w:rPr>
          <w:rFonts w:asciiTheme="majorBidi" w:hAnsiTheme="majorBidi" w:cstheme="majorBidi"/>
        </w:rPr>
        <w:t>végétatif</w:t>
      </w:r>
      <w:r w:rsidRPr="005F17A2">
        <w:rPr>
          <w:rFonts w:asciiTheme="majorBidi" w:hAnsiTheme="majorBidi" w:cstheme="majorBidi"/>
        </w:rPr>
        <w:t xml:space="preserve"> </w:t>
      </w:r>
    </w:p>
    <w:p w:rsidR="006B7CD2" w:rsidRPr="005F17A2" w:rsidRDefault="006B7CD2" w:rsidP="006B7CD2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667125" cy="3209924"/>
            <wp:effectExtent l="1905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74" cy="32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D2" w:rsidRPr="005F17A2" w:rsidRDefault="006B7CD2" w:rsidP="006B7CD2">
      <w:pPr>
        <w:spacing w:line="360" w:lineRule="auto"/>
        <w:rPr>
          <w:rFonts w:asciiTheme="majorBidi" w:hAnsiTheme="majorBidi" w:cstheme="majorBidi"/>
        </w:rPr>
      </w:pPr>
    </w:p>
    <w:p w:rsidR="006B7CD2" w:rsidRPr="005F17A2" w:rsidRDefault="006B7CD2" w:rsidP="006B7CD2">
      <w:pPr>
        <w:spacing w:line="360" w:lineRule="auto"/>
        <w:rPr>
          <w:rFonts w:asciiTheme="majorBidi" w:hAnsiTheme="majorBidi" w:cstheme="majorBidi"/>
        </w:rPr>
      </w:pPr>
    </w:p>
    <w:p w:rsidR="00E424AE" w:rsidRPr="005F17A2" w:rsidRDefault="00DC705A" w:rsidP="00E424AE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lastRenderedPageBreak/>
        <w:t>Hétérogénéités de la distribution des granules pigmentaires (une répartition asymétrique du pigment)</w:t>
      </w:r>
    </w:p>
    <w:p w:rsidR="000E526F" w:rsidRPr="005F17A2" w:rsidRDefault="00E424AE" w:rsidP="00067FA1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Chez un grand nombre d’amphibiens, l’</w:t>
      </w:r>
      <w:r w:rsidR="00067FA1" w:rsidRPr="005F17A2">
        <w:rPr>
          <w:rFonts w:asciiTheme="majorBidi" w:hAnsiTheme="majorBidi" w:cstheme="majorBidi"/>
        </w:rPr>
        <w:t>œuf</w:t>
      </w:r>
      <w:r w:rsidRPr="005F17A2">
        <w:rPr>
          <w:rFonts w:asciiTheme="majorBidi" w:hAnsiTheme="majorBidi" w:cstheme="majorBidi"/>
        </w:rPr>
        <w:t xml:space="preserve"> est pigmenté (pigment </w:t>
      </w:r>
      <w:r w:rsidR="00067FA1" w:rsidRPr="005F17A2">
        <w:rPr>
          <w:rFonts w:asciiTheme="majorBidi" w:hAnsiTheme="majorBidi" w:cstheme="majorBidi"/>
        </w:rPr>
        <w:t xml:space="preserve">constitué de mélanine </w:t>
      </w:r>
      <w:r w:rsidRPr="005F17A2">
        <w:rPr>
          <w:rFonts w:asciiTheme="majorBidi" w:hAnsiTheme="majorBidi" w:cstheme="majorBidi"/>
        </w:rPr>
        <w:t xml:space="preserve">se situe dans le cytoplasme cortical). Ce pigment n’est pas réparti de façon homogène  </w:t>
      </w:r>
      <w:r w:rsidRPr="005F17A2">
        <w:rPr>
          <w:rFonts w:asciiTheme="majorBidi" w:hAnsiTheme="majorBidi" w:cstheme="majorBidi"/>
        </w:rPr>
        <w:sym w:font="Wingdings" w:char="00E8"/>
      </w:r>
      <w:r w:rsidR="00067FA1" w:rsidRPr="005F17A2">
        <w:rPr>
          <w:rFonts w:asciiTheme="majorBidi" w:hAnsiTheme="majorBidi" w:cstheme="majorBidi"/>
        </w:rPr>
        <w:t>il se forme  u</w:t>
      </w:r>
      <w:r w:rsidRPr="005F17A2">
        <w:rPr>
          <w:rFonts w:asciiTheme="majorBidi" w:hAnsiTheme="majorBidi" w:cstheme="majorBidi"/>
        </w:rPr>
        <w:t xml:space="preserve">n gradient de pigment depuis le pôle animal jusqu’au pôle végétatif </w:t>
      </w:r>
    </w:p>
    <w:p w:rsidR="00067FA1" w:rsidRPr="005F17A2" w:rsidRDefault="00067FA1" w:rsidP="00067FA1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2638425" cy="2752725"/>
            <wp:effectExtent l="19050" t="0" r="9525" b="0"/>
            <wp:docPr id="3" name="Image 1" descr="Résultat de recherche d'images pour &quot;ovocyte de grenouill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Résultat de recherche d'images pour &quot;ovocyte de grenouill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48" cy="2752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4AE" w:rsidRPr="005F17A2" w:rsidRDefault="00A42E34" w:rsidP="00A42E34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Dans le pole animal se trouve aussi le noyau (vésicules germinative),</w:t>
      </w:r>
      <w:r w:rsidRPr="005F17A2">
        <w:rPr>
          <w:rFonts w:asciiTheme="majorBidi" w:eastAsia="+mn-ea" w:hAnsiTheme="majorBidi" w:cstheme="majorBidi"/>
          <w:b/>
          <w:bCs/>
          <w:color w:val="000000"/>
          <w:kern w:val="24"/>
          <w:sz w:val="52"/>
          <w:szCs w:val="52"/>
        </w:rPr>
        <w:t xml:space="preserve"> </w:t>
      </w:r>
      <w:r w:rsidRPr="005F17A2">
        <w:rPr>
          <w:rFonts w:asciiTheme="majorBidi" w:hAnsiTheme="majorBidi" w:cstheme="majorBidi"/>
        </w:rPr>
        <w:t>globule polaire et la  tâche de maturation</w:t>
      </w:r>
      <w:r w:rsidR="002344FB" w:rsidRPr="005F17A2">
        <w:rPr>
          <w:rFonts w:asciiTheme="majorBidi" w:hAnsiTheme="majorBidi" w:cstheme="majorBidi"/>
        </w:rPr>
        <w:t xml:space="preserve"> </w:t>
      </w:r>
      <w:r w:rsidR="0077341F" w:rsidRPr="005F17A2">
        <w:rPr>
          <w:rFonts w:asciiTheme="majorBidi" w:hAnsiTheme="majorBidi" w:cstheme="majorBidi"/>
        </w:rPr>
        <w:t>(= emplacement où les globules polaires sont expulsés au</w:t>
      </w:r>
      <w:r w:rsidR="00CB4785" w:rsidRPr="005F17A2">
        <w:rPr>
          <w:rFonts w:asciiTheme="majorBidi" w:hAnsiTheme="majorBidi" w:cstheme="majorBidi"/>
        </w:rPr>
        <w:t xml:space="preserve"> cours de la méiose)</w:t>
      </w:r>
      <w:r w:rsidR="0077341F" w:rsidRPr="005F17A2">
        <w:rPr>
          <w:rFonts w:asciiTheme="majorBidi" w:hAnsiTheme="majorBidi" w:cstheme="majorBidi"/>
        </w:rPr>
        <w:t xml:space="preserve"> </w:t>
      </w:r>
    </w:p>
    <w:p w:rsidR="002344FB" w:rsidRPr="005F17A2" w:rsidRDefault="002344FB" w:rsidP="00A42E34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t xml:space="preserve">Hétérogénéité de la distribution des </w:t>
      </w:r>
      <w:r w:rsidR="004200C9" w:rsidRPr="005F17A2">
        <w:rPr>
          <w:rFonts w:asciiTheme="majorBidi" w:hAnsiTheme="majorBidi" w:cstheme="majorBidi"/>
          <w:b/>
          <w:bCs/>
        </w:rPr>
        <w:t>déterminants cytoplasmiques</w:t>
      </w:r>
      <w:r w:rsidRPr="005F17A2">
        <w:rPr>
          <w:rFonts w:asciiTheme="majorBidi" w:hAnsiTheme="majorBidi" w:cstheme="majorBidi"/>
          <w:b/>
          <w:bCs/>
        </w:rPr>
        <w:t xml:space="preserve"> : </w:t>
      </w:r>
    </w:p>
    <w:p w:rsidR="002344FB" w:rsidRPr="005F17A2" w:rsidRDefault="002344FB" w:rsidP="002344FB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</w:rPr>
        <w:t xml:space="preserve">Au cours de l’ovogenèse les </w:t>
      </w:r>
      <w:proofErr w:type="spellStart"/>
      <w:r w:rsidRPr="005F17A2">
        <w:rPr>
          <w:rFonts w:asciiTheme="majorBidi" w:hAnsiTheme="majorBidi" w:cstheme="majorBidi"/>
        </w:rPr>
        <w:t>ARNm</w:t>
      </w:r>
      <w:proofErr w:type="spellEnd"/>
      <w:r w:rsidRPr="005F17A2">
        <w:rPr>
          <w:rFonts w:asciiTheme="majorBidi" w:hAnsiTheme="majorBidi" w:cstheme="majorBidi"/>
        </w:rPr>
        <w:t xml:space="preserve"> et les protéines sont </w:t>
      </w:r>
      <w:proofErr w:type="spellStart"/>
      <w:r w:rsidRPr="005F17A2">
        <w:rPr>
          <w:rFonts w:asciiTheme="majorBidi" w:hAnsiTheme="majorBidi" w:cstheme="majorBidi"/>
        </w:rPr>
        <w:t>transloqués</w:t>
      </w:r>
      <w:proofErr w:type="spellEnd"/>
      <w:r w:rsidRPr="005F17A2">
        <w:rPr>
          <w:rFonts w:asciiTheme="majorBidi" w:hAnsiTheme="majorBidi" w:cstheme="majorBidi"/>
        </w:rPr>
        <w:t xml:space="preserve"> dans des régions spécifiques dans  l’ovocyte</w:t>
      </w:r>
      <w:r w:rsidR="004200C9" w:rsidRPr="005F17A2">
        <w:rPr>
          <w:rFonts w:asciiTheme="majorBidi" w:hAnsiTheme="majorBidi" w:cstheme="majorBidi"/>
        </w:rPr>
        <w:t xml:space="preserve">, ces molécules informatives </w:t>
      </w:r>
      <w:r w:rsidRPr="005F17A2">
        <w:rPr>
          <w:rFonts w:asciiTheme="majorBidi" w:hAnsiTheme="majorBidi" w:cstheme="majorBidi"/>
        </w:rPr>
        <w:t xml:space="preserve">sont appelés  </w:t>
      </w:r>
      <w:r w:rsidRPr="005F17A2">
        <w:rPr>
          <w:rFonts w:asciiTheme="majorBidi" w:hAnsiTheme="majorBidi" w:cstheme="majorBidi"/>
          <w:b/>
          <w:bCs/>
        </w:rPr>
        <w:t>déterminants cytoplasmiques</w:t>
      </w:r>
      <w:r w:rsidRPr="005F17A2">
        <w:rPr>
          <w:rFonts w:asciiTheme="majorBidi" w:hAnsiTheme="majorBidi" w:cstheme="majorBidi"/>
        </w:rPr>
        <w:t>, les cellules qui en héritent s’engageront dans des voies de différenciation bien particulières</w:t>
      </w:r>
      <w:r w:rsidR="00A36ACC" w:rsidRPr="005F17A2">
        <w:rPr>
          <w:rFonts w:asciiTheme="majorBidi" w:hAnsiTheme="majorBidi" w:cstheme="majorBidi"/>
        </w:rPr>
        <w:t>.</w:t>
      </w:r>
    </w:p>
    <w:p w:rsidR="00A36ACC" w:rsidRPr="005F17A2" w:rsidRDefault="00A36ACC" w:rsidP="002344FB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  <w:b/>
          <w:bCs/>
        </w:rPr>
        <w:t xml:space="preserve">Exemple : </w:t>
      </w:r>
      <w:r w:rsidRPr="005F17A2">
        <w:rPr>
          <w:rFonts w:asciiTheme="majorBidi" w:hAnsiTheme="majorBidi" w:cstheme="majorBidi"/>
        </w:rPr>
        <w:t xml:space="preserve">les </w:t>
      </w:r>
      <w:proofErr w:type="spellStart"/>
      <w:r w:rsidRPr="005F17A2">
        <w:rPr>
          <w:rFonts w:asciiTheme="majorBidi" w:hAnsiTheme="majorBidi" w:cstheme="majorBidi"/>
        </w:rPr>
        <w:t>ARNm</w:t>
      </w:r>
      <w:proofErr w:type="spellEnd"/>
      <w:r w:rsidRPr="005F17A2">
        <w:rPr>
          <w:rFonts w:asciiTheme="majorBidi" w:hAnsiTheme="majorBidi" w:cstheme="majorBidi"/>
        </w:rPr>
        <w:t xml:space="preserve"> codant pour </w:t>
      </w:r>
      <w:proofErr w:type="spellStart"/>
      <w:r w:rsidRPr="005F17A2">
        <w:rPr>
          <w:rFonts w:asciiTheme="majorBidi" w:hAnsiTheme="majorBidi" w:cstheme="majorBidi"/>
        </w:rPr>
        <w:t>Vegt</w:t>
      </w:r>
      <w:proofErr w:type="spellEnd"/>
      <w:r w:rsidRPr="005F17A2">
        <w:rPr>
          <w:rFonts w:asciiTheme="majorBidi" w:hAnsiTheme="majorBidi" w:cstheme="majorBidi"/>
        </w:rPr>
        <w:t xml:space="preserve"> sont localisés dans le cortex végétatif dés le début de la vitellogenèse (protéine </w:t>
      </w:r>
      <w:proofErr w:type="spellStart"/>
      <w:r w:rsidRPr="005F17A2">
        <w:rPr>
          <w:rFonts w:asciiTheme="majorBidi" w:hAnsiTheme="majorBidi" w:cstheme="majorBidi"/>
        </w:rPr>
        <w:t>Vegt</w:t>
      </w:r>
      <w:proofErr w:type="spellEnd"/>
      <w:r w:rsidRPr="005F17A2">
        <w:rPr>
          <w:rFonts w:asciiTheme="majorBidi" w:hAnsiTheme="majorBidi" w:cstheme="majorBidi"/>
        </w:rPr>
        <w:t xml:space="preserve"> est une protéine clés  de la détermination de l’endoderme </w:t>
      </w:r>
    </w:p>
    <w:p w:rsidR="001D08A1" w:rsidRPr="005F17A2" w:rsidRDefault="001D08A1" w:rsidP="001D08A1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>Conclusion</w:t>
      </w:r>
    </w:p>
    <w:p w:rsidR="001D08A1" w:rsidRPr="005F17A2" w:rsidRDefault="001D08A1" w:rsidP="001D08A1">
      <w:pPr>
        <w:spacing w:line="360" w:lineRule="auto"/>
        <w:rPr>
          <w:rFonts w:asciiTheme="majorBidi" w:hAnsiTheme="majorBidi" w:cstheme="majorBidi"/>
        </w:rPr>
      </w:pPr>
      <w:r w:rsidRPr="005F17A2">
        <w:rPr>
          <w:rFonts w:asciiTheme="majorBidi" w:hAnsiTheme="majorBidi" w:cstheme="majorBidi"/>
        </w:rPr>
        <w:t xml:space="preserve"> L’ovocyte est polarisé</w:t>
      </w:r>
      <w:r w:rsidRPr="005F17A2">
        <w:rPr>
          <w:rFonts w:asciiTheme="majorBidi" w:hAnsiTheme="majorBidi" w:cstheme="majorBidi"/>
        </w:rPr>
        <w:sym w:font="Wingdings" w:char="00E8"/>
      </w:r>
      <w:r w:rsidRPr="005F17A2">
        <w:rPr>
          <w:rFonts w:asciiTheme="majorBidi" w:hAnsiTheme="majorBidi" w:cstheme="majorBidi"/>
        </w:rPr>
        <w:t xml:space="preserve"> </w:t>
      </w:r>
      <w:r w:rsidR="003F7343" w:rsidRPr="005F17A2">
        <w:rPr>
          <w:rFonts w:asciiTheme="majorBidi" w:hAnsiTheme="majorBidi" w:cstheme="majorBidi"/>
        </w:rPr>
        <w:t>il montre deux pôles différents</w:t>
      </w:r>
      <w:r w:rsidR="00682F68" w:rsidRPr="005F17A2">
        <w:rPr>
          <w:rFonts w:asciiTheme="majorBidi" w:hAnsiTheme="majorBidi" w:cstheme="majorBidi"/>
        </w:rPr>
        <w:t>.</w:t>
      </w:r>
    </w:p>
    <w:p w:rsidR="00B7748A" w:rsidRPr="005F17A2" w:rsidRDefault="0077341F" w:rsidP="00A42E34">
      <w:pPr>
        <w:spacing w:line="360" w:lineRule="auto"/>
        <w:rPr>
          <w:rFonts w:asciiTheme="majorBidi" w:hAnsiTheme="majorBidi" w:cstheme="majorBidi"/>
          <w:b/>
          <w:bCs/>
        </w:rPr>
      </w:pPr>
      <w:r w:rsidRPr="005F17A2">
        <w:rPr>
          <w:rFonts w:asciiTheme="majorBidi" w:hAnsiTheme="majorBidi" w:cstheme="majorBidi"/>
          <w:b/>
          <w:bCs/>
        </w:rPr>
        <w:t xml:space="preserve"> </w:t>
      </w:r>
      <w:r w:rsidR="00B7748A" w:rsidRPr="005F17A2">
        <w:rPr>
          <w:rFonts w:asciiTheme="majorBidi" w:hAnsiTheme="majorBidi" w:cstheme="majorBidi"/>
          <w:b/>
          <w:bCs/>
        </w:rPr>
        <w:t xml:space="preserve"> </w:t>
      </w:r>
    </w:p>
    <w:sectPr w:rsidR="00B7748A" w:rsidRPr="005F17A2" w:rsidSect="00826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3218"/>
    <w:multiLevelType w:val="hybridMultilevel"/>
    <w:tmpl w:val="8BF019E6"/>
    <w:lvl w:ilvl="0" w:tplc="01E2B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8C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41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60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E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EF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8A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A7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8E29ED"/>
    <w:multiLevelType w:val="hybridMultilevel"/>
    <w:tmpl w:val="48B009AE"/>
    <w:lvl w:ilvl="0" w:tplc="DBA01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8B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6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6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CE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4F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C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A3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1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3D18C9"/>
    <w:multiLevelType w:val="hybridMultilevel"/>
    <w:tmpl w:val="18A86D36"/>
    <w:lvl w:ilvl="0" w:tplc="16BCA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6BE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9E8D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2A2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E61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320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5A7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C2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22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730"/>
    <w:rsid w:val="00067FA1"/>
    <w:rsid w:val="000B26A2"/>
    <w:rsid w:val="000D21AA"/>
    <w:rsid w:val="000E526F"/>
    <w:rsid w:val="001D08A1"/>
    <w:rsid w:val="00232DED"/>
    <w:rsid w:val="002344FB"/>
    <w:rsid w:val="00275AED"/>
    <w:rsid w:val="002A6166"/>
    <w:rsid w:val="003F7343"/>
    <w:rsid w:val="004200C9"/>
    <w:rsid w:val="005F17A2"/>
    <w:rsid w:val="00607FC6"/>
    <w:rsid w:val="00682F68"/>
    <w:rsid w:val="006B7CD2"/>
    <w:rsid w:val="0077341F"/>
    <w:rsid w:val="00776DD9"/>
    <w:rsid w:val="007B6730"/>
    <w:rsid w:val="0082618D"/>
    <w:rsid w:val="00874DA8"/>
    <w:rsid w:val="00882C0E"/>
    <w:rsid w:val="009316F0"/>
    <w:rsid w:val="009D5350"/>
    <w:rsid w:val="00A36ACC"/>
    <w:rsid w:val="00A42E34"/>
    <w:rsid w:val="00A545E5"/>
    <w:rsid w:val="00B62417"/>
    <w:rsid w:val="00B7748A"/>
    <w:rsid w:val="00B833B6"/>
    <w:rsid w:val="00CB4785"/>
    <w:rsid w:val="00DC705A"/>
    <w:rsid w:val="00DD2406"/>
    <w:rsid w:val="00E13C69"/>
    <w:rsid w:val="00E424AE"/>
    <w:rsid w:val="00EA4D9C"/>
    <w:rsid w:val="00EE076F"/>
    <w:rsid w:val="00F12141"/>
    <w:rsid w:val="00F5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8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5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4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3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2020-12-23T08:24:00Z</dcterms:created>
  <dcterms:modified xsi:type="dcterms:W3CDTF">2021-01-22T20:00:00Z</dcterms:modified>
</cp:coreProperties>
</file>