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raditional Arabic" w:eastAsiaTheme="majorEastAsia" w:hAnsi="Traditional Arabic" w:cs="Traditional Arabic"/>
          <w:b/>
          <w:bCs/>
          <w:sz w:val="28"/>
          <w:szCs w:val="28"/>
          <w:rtl/>
        </w:rPr>
        <w:alias w:val="Titre"/>
        <w:id w:val="77738743"/>
        <w:placeholder>
          <w:docPart w:val="E845AE36CE6642BCA0746D18A51041A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660821" w:rsidRPr="00E709D5" w:rsidRDefault="00660821" w:rsidP="00660821">
          <w:pPr>
            <w:pStyle w:val="En-tte"/>
            <w:pBdr>
              <w:bottom w:val="thickThinSmallGap" w:sz="24" w:space="1" w:color="622423" w:themeColor="accent2" w:themeShade="7F"/>
            </w:pBdr>
            <w:shd w:val="clear" w:color="auto" w:fill="000000" w:themeFill="text1"/>
            <w:ind w:left="282" w:hanging="284"/>
            <w:jc w:val="center"/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</w:rPr>
          </w:pP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جامعة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محمد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proofErr w:type="spellStart"/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خيضر</w:t>
          </w:r>
          <w:proofErr w:type="spellEnd"/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بسكرة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                                                                                                                                                                                           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كلية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العلوم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الاقتصادية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والتجارية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وعلوم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التسيير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                   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السنة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الثالثة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</w:rPr>
            <w:t>LMD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proofErr w:type="spellStart"/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تخصص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>:</w:t>
          </w:r>
          <w:proofErr w:type="spellEnd"/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اقتصاد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نقدي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وبنكي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                                            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قسم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العلوم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الاقتصادية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                                                         </w:t>
          </w:r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الموسم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</w:t>
          </w:r>
          <w:proofErr w:type="spellStart"/>
          <w:r w:rsidRPr="00720CF2">
            <w:rPr>
              <w:rFonts w:ascii="Traditional Arabic" w:eastAsiaTheme="majorEastAsia" w:hAnsi="Traditional Arabic" w:cs="Traditional Arabic" w:hint="cs"/>
              <w:b/>
              <w:bCs/>
              <w:sz w:val="28"/>
              <w:szCs w:val="28"/>
              <w:rtl/>
            </w:rPr>
            <w:t>الدراسي</w:t>
          </w:r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>:</w:t>
          </w:r>
          <w:proofErr w:type="spellEnd"/>
          <w:r w:rsidRPr="00720CF2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rtl/>
            </w:rPr>
            <w:t xml:space="preserve"> 2020-2021</w:t>
          </w:r>
        </w:p>
      </w:sdtContent>
    </w:sdt>
    <w:p w:rsidR="00660821" w:rsidRDefault="001A3649">
      <w:r>
        <w:rPr>
          <w:noProof/>
        </w:rPr>
        <w:pict>
          <v:oval id="_x0000_s1026" style="position:absolute;left:0;text-align:left;margin-left:108.9pt;margin-top:10.95pt;width:318.75pt;height:42.35pt;z-index:251658240" strokeweight="2.25pt">
            <v:fill color2="fill darken(118)" rotate="t" angle="-45" focusposition=".5,.5" focussize="" method="linear sigma" focus="100%" type="gradientRadial"/>
            <v:textbox style="mso-next-textbox:#_x0000_s1026">
              <w:txbxContent>
                <w:p w:rsidR="00660821" w:rsidRPr="00660821" w:rsidRDefault="00660821" w:rsidP="0066082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660821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تقرير حول الوضعية المالية للمؤسسة</w:t>
                  </w:r>
                </w:p>
              </w:txbxContent>
            </v:textbox>
            <w10:wrap anchorx="page"/>
          </v:oval>
        </w:pict>
      </w:r>
    </w:p>
    <w:p w:rsidR="00660821" w:rsidRDefault="00660821" w:rsidP="00660821"/>
    <w:p w:rsidR="00E5558E" w:rsidRDefault="00E5558E" w:rsidP="00660821">
      <w:pPr>
        <w:jc w:val="center"/>
        <w:rPr>
          <w:rtl/>
        </w:rPr>
      </w:pPr>
    </w:p>
    <w:p w:rsidR="00A938DC" w:rsidRDefault="00A938DC" w:rsidP="00A938DC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</w:t>
      </w:r>
      <w:r w:rsidRPr="001A2AF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الاسم </w:t>
      </w:r>
      <w:proofErr w:type="spellStart"/>
      <w:r w:rsidRPr="001A2AF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واللقب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........................                                                       </w:t>
      </w:r>
      <w:proofErr w:type="spellStart"/>
      <w:r w:rsidRPr="001A2AF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الفوج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</w:t>
      </w:r>
    </w:p>
    <w:p w:rsidR="00A938DC" w:rsidRDefault="00A938DC" w:rsidP="00A938DC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2444DB" w:rsidRDefault="00A938DC" w:rsidP="00BD3800">
      <w:pPr>
        <w:ind w:firstLine="283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1A2A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تتضمن عملية تحليل وتشخيص</w:t>
      </w:r>
      <w:r w:rsidR="00761873" w:rsidRPr="002444D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الوضعية المالية </w:t>
      </w:r>
      <w:r w:rsidR="00185AB9" w:rsidRPr="002444DB">
        <w:rPr>
          <w:rFonts w:ascii="Traditional Arabic" w:hAnsi="Traditional Arabic" w:cs="Traditional Arabic" w:hint="cs"/>
          <w:sz w:val="32"/>
          <w:szCs w:val="32"/>
          <w:rtl/>
        </w:rPr>
        <w:t xml:space="preserve">لشركة </w:t>
      </w:r>
      <w:r w:rsidR="00185AB9" w:rsidRPr="002444DB">
        <w:rPr>
          <w:rFonts w:ascii="Traditional Arabic" w:hAnsi="Traditional Arabic" w:cs="Traditional Arabic"/>
          <w:sz w:val="32"/>
          <w:szCs w:val="32"/>
        </w:rPr>
        <w:t>N.S</w:t>
      </w:r>
      <w:r w:rsidR="00185AB9" w:rsidRPr="002444D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D380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مجموعة من الخطوات موضحة كما يلي</w:t>
      </w:r>
      <w:r w:rsidR="00F31353" w:rsidRPr="002444D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2444DB" w:rsidRPr="002444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2444DB" w:rsidRDefault="002444DB" w:rsidP="002444DB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2444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أولا: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444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تحليل </w:t>
      </w:r>
      <w:proofErr w:type="gramStart"/>
      <w:r w:rsidRPr="002444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المعطيات</w:t>
      </w:r>
      <w:proofErr w:type="gramEnd"/>
      <w:r w:rsidRPr="002444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التي تضمنتها الميزانيتين المختصرتين بتاريخ</w:t>
      </w:r>
      <w:r w:rsidRPr="009B156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31/12/2018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و31/12/2019</w:t>
      </w:r>
      <w:r w:rsidRPr="009B156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  <w:r w:rsidRPr="00185AB9">
        <w:rPr>
          <w:rFonts w:ascii="Traditional Arabic" w:hAnsi="Traditional Arabic" w:cs="Traditional Arabic" w:hint="cs"/>
          <w:sz w:val="40"/>
          <w:szCs w:val="40"/>
          <w:highlight w:val="lightGray"/>
          <w:rtl/>
          <w:lang w:bidi="ar-DZ"/>
        </w:rPr>
        <w:t>(</w:t>
      </w:r>
      <w:r>
        <w:rPr>
          <w:rFonts w:ascii="Traditional Arabic" w:hAnsi="Traditional Arabic" w:cs="Traditional Arabic" w:hint="cs"/>
          <w:sz w:val="28"/>
          <w:szCs w:val="28"/>
          <w:highlight w:val="lightGray"/>
          <w:rtl/>
          <w:lang w:bidi="ar-DZ"/>
        </w:rPr>
        <w:t xml:space="preserve">التمرين الثاني من السلسلة </w:t>
      </w:r>
      <w:r w:rsidRPr="00185AB9">
        <w:rPr>
          <w:rFonts w:ascii="Traditional Arabic" w:hAnsi="Traditional Arabic" w:cs="Traditional Arabic" w:hint="cs"/>
          <w:sz w:val="28"/>
          <w:szCs w:val="28"/>
          <w:highlight w:val="lightGray"/>
          <w:rtl/>
          <w:lang w:bidi="ar-DZ"/>
        </w:rPr>
        <w:t>(04</w:t>
      </w:r>
      <w:proofErr w:type="spellStart"/>
      <w:r w:rsidRPr="00185AB9">
        <w:rPr>
          <w:rFonts w:ascii="Traditional Arabic" w:hAnsi="Traditional Arabic" w:cs="Traditional Arabic" w:hint="cs"/>
          <w:sz w:val="28"/>
          <w:szCs w:val="28"/>
          <w:highlight w:val="lightGray"/>
          <w:rtl/>
          <w:lang w:bidi="ar-DZ"/>
        </w:rPr>
        <w:t>)</w:t>
      </w:r>
      <w:r w:rsidRPr="00185AB9">
        <w:rPr>
          <w:rFonts w:ascii="Traditional Arabic" w:hAnsi="Traditional Arabic" w:cs="Traditional Arabic" w:hint="cs"/>
          <w:sz w:val="40"/>
          <w:szCs w:val="40"/>
          <w:highlight w:val="lightGray"/>
          <w:rtl/>
          <w:lang w:bidi="ar-DZ"/>
        </w:rPr>
        <w:t>)</w:t>
      </w:r>
      <w:proofErr w:type="spellEnd"/>
    </w:p>
    <w:tbl>
      <w:tblPr>
        <w:tblStyle w:val="Grilledutableau"/>
        <w:tblpPr w:leftFromText="180" w:rightFromText="180" w:vertAnchor="page" w:horzAnchor="margin" w:tblpXSpec="center" w:tblpY="6526"/>
        <w:bidiVisual/>
        <w:tblW w:w="0" w:type="auto"/>
        <w:tblLayout w:type="fixed"/>
        <w:tblLook w:val="04A0"/>
      </w:tblPr>
      <w:tblGrid>
        <w:gridCol w:w="1843"/>
        <w:gridCol w:w="1559"/>
        <w:gridCol w:w="1589"/>
        <w:gridCol w:w="1955"/>
        <w:gridCol w:w="1559"/>
        <w:gridCol w:w="1560"/>
      </w:tblGrid>
      <w:tr w:rsidR="00BD3800" w:rsidTr="00BD3800">
        <w:trPr>
          <w:trHeight w:val="248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proofErr w:type="gramStart"/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955" w:type="dxa"/>
            <w:vMerge w:val="restart"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</w:t>
            </w: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لخصوم</w:t>
            </w:r>
            <w:proofErr w:type="gramEnd"/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</w:tr>
      <w:tr w:rsidR="00BD3800" w:rsidTr="00BD3800">
        <w:trPr>
          <w:trHeight w:val="24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val="fr-FR" w:bidi="ar-DZ"/>
              </w:rPr>
            </w:pPr>
            <w:r w:rsidRPr="00E73211">
              <w:rPr>
                <w:rFonts w:ascii="Traditional Arabic" w:hAnsi="Traditional Arabic" w:cs="Traditional Arabic"/>
                <w:b/>
                <w:bCs/>
                <w:lang w:bidi="ar-DZ"/>
              </w:rPr>
              <w:t>2018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b/>
                <w:bCs/>
                <w:lang w:bidi="ar-DZ"/>
              </w:rPr>
              <w:t>2019</w:t>
            </w:r>
          </w:p>
        </w:tc>
        <w:tc>
          <w:tcPr>
            <w:tcW w:w="1955" w:type="dxa"/>
            <w:vMerge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b/>
                <w:bCs/>
                <w:lang w:bidi="ar-DZ"/>
              </w:rPr>
              <w:t>2018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b/>
                <w:bCs/>
                <w:lang w:bidi="ar-DZ"/>
              </w:rPr>
              <w:t>2019</w:t>
            </w:r>
          </w:p>
        </w:tc>
      </w:tr>
      <w:tr w:rsidR="00BD3800" w:rsidTr="00BD3800">
        <w:tc>
          <w:tcPr>
            <w:tcW w:w="1843" w:type="dxa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lang w:bidi="ar-DZ"/>
              </w:rPr>
            </w:pPr>
            <w:proofErr w:type="gramStart"/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الأصول</w:t>
            </w:r>
            <w:proofErr w:type="gramEnd"/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غير الجارية</w:t>
            </w:r>
          </w:p>
        </w:tc>
        <w:tc>
          <w:tcPr>
            <w:tcW w:w="1559" w:type="dxa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lang w:bidi="ar-DZ"/>
              </w:rPr>
              <w:t>2.000.000</w:t>
            </w:r>
          </w:p>
        </w:tc>
        <w:tc>
          <w:tcPr>
            <w:tcW w:w="1589" w:type="dxa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lang w:bidi="ar-DZ"/>
              </w:rPr>
              <w:t>2.200.000</w:t>
            </w:r>
          </w:p>
        </w:tc>
        <w:tc>
          <w:tcPr>
            <w:tcW w:w="1955" w:type="dxa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رؤوس الأموال الخاصة</w:t>
            </w:r>
          </w:p>
        </w:tc>
        <w:tc>
          <w:tcPr>
            <w:tcW w:w="1559" w:type="dxa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lang w:bidi="ar-DZ"/>
              </w:rPr>
              <w:t>1.000.000</w:t>
            </w:r>
          </w:p>
        </w:tc>
        <w:tc>
          <w:tcPr>
            <w:tcW w:w="1560" w:type="dxa"/>
          </w:tcPr>
          <w:p w:rsidR="00BD3800" w:rsidRPr="00E73211" w:rsidRDefault="00BD3800" w:rsidP="00BD3800">
            <w:pPr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lang w:bidi="ar-DZ"/>
              </w:rPr>
              <w:t>1.500.000</w:t>
            </w:r>
          </w:p>
        </w:tc>
      </w:tr>
      <w:tr w:rsidR="00BD3800" w:rsidTr="00BD3800">
        <w:tc>
          <w:tcPr>
            <w:tcW w:w="1843" w:type="dxa"/>
            <w:vMerge w:val="restart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الأصول الجارية</w:t>
            </w:r>
          </w:p>
          <w:p w:rsidR="00BD3800" w:rsidRPr="00E73211" w:rsidRDefault="00BD3800" w:rsidP="00BD3800">
            <w:pPr>
              <w:spacing w:before="120"/>
              <w:jc w:val="both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rtl/>
                <w:lang w:bidi="ar-DZ"/>
              </w:rPr>
              <w:t xml:space="preserve">         </w:t>
            </w:r>
          </w:p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خزينة الأصول</w:t>
            </w:r>
          </w:p>
        </w:tc>
        <w:tc>
          <w:tcPr>
            <w:tcW w:w="1559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lang w:bidi="ar-DZ"/>
              </w:rPr>
              <w:t>1.200.000</w:t>
            </w:r>
          </w:p>
        </w:tc>
        <w:tc>
          <w:tcPr>
            <w:tcW w:w="1589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lang w:bidi="ar-DZ"/>
              </w:rPr>
              <w:t>1.300.000</w:t>
            </w:r>
          </w:p>
        </w:tc>
        <w:tc>
          <w:tcPr>
            <w:tcW w:w="1955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الخصوم</w:t>
            </w: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غير</w:t>
            </w:r>
            <w:proofErr w:type="gramEnd"/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الجارية</w:t>
            </w:r>
          </w:p>
        </w:tc>
        <w:tc>
          <w:tcPr>
            <w:tcW w:w="1559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lang w:bidi="ar-DZ"/>
              </w:rPr>
              <w:t>800.000</w:t>
            </w:r>
          </w:p>
        </w:tc>
        <w:tc>
          <w:tcPr>
            <w:tcW w:w="1560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lang w:bidi="ar-DZ"/>
              </w:rPr>
              <w:t>900.000</w:t>
            </w:r>
          </w:p>
        </w:tc>
      </w:tr>
      <w:tr w:rsidR="00BD3800" w:rsidTr="00BD3800">
        <w:tc>
          <w:tcPr>
            <w:tcW w:w="1843" w:type="dxa"/>
            <w:vMerge/>
          </w:tcPr>
          <w:p w:rsidR="00BD3800" w:rsidRPr="00E73211" w:rsidRDefault="00BD3800" w:rsidP="00BD3800">
            <w:pPr>
              <w:spacing w:before="120"/>
              <w:jc w:val="both"/>
              <w:rPr>
                <w:rFonts w:ascii="Traditional Arabic" w:hAnsi="Traditional Arabic" w:cs="Traditional Arabic"/>
                <w:rtl/>
                <w:lang w:bidi="ar-DZ"/>
              </w:rPr>
            </w:pPr>
          </w:p>
        </w:tc>
        <w:tc>
          <w:tcPr>
            <w:tcW w:w="1559" w:type="dxa"/>
          </w:tcPr>
          <w:p w:rsidR="00BD3800" w:rsidRPr="00E73211" w:rsidRDefault="00BD3800" w:rsidP="00BD3800">
            <w:pPr>
              <w:spacing w:before="120"/>
              <w:jc w:val="both"/>
              <w:rPr>
                <w:rFonts w:ascii="Traditional Arabic" w:hAnsi="Traditional Arabic" w:cs="Traditional Arabic"/>
                <w:rtl/>
                <w:lang w:bidi="ar-DZ"/>
              </w:rPr>
            </w:pPr>
          </w:p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rtl/>
                <w:lang w:bidi="ar-DZ"/>
              </w:rPr>
              <w:t>200.000</w:t>
            </w:r>
          </w:p>
        </w:tc>
        <w:tc>
          <w:tcPr>
            <w:tcW w:w="1589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</w:p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rtl/>
                <w:lang w:bidi="ar-DZ"/>
              </w:rPr>
              <w:t>450.000</w:t>
            </w:r>
          </w:p>
        </w:tc>
        <w:tc>
          <w:tcPr>
            <w:tcW w:w="1955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الخصوم</w:t>
            </w: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E7321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الجارية</w:t>
            </w:r>
          </w:p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خزينة الخصوم</w:t>
            </w:r>
          </w:p>
        </w:tc>
        <w:tc>
          <w:tcPr>
            <w:tcW w:w="1559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rtl/>
                <w:lang w:bidi="ar-DZ"/>
              </w:rPr>
              <w:t>1.400.000</w:t>
            </w:r>
          </w:p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rtl/>
                <w:lang w:bidi="ar-DZ"/>
              </w:rPr>
              <w:t>300.000</w:t>
            </w:r>
          </w:p>
        </w:tc>
        <w:tc>
          <w:tcPr>
            <w:tcW w:w="1560" w:type="dxa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rtl/>
                <w:lang w:bidi="ar-DZ"/>
              </w:rPr>
              <w:t>1.100.000</w:t>
            </w:r>
          </w:p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rtl/>
                <w:lang w:bidi="ar-DZ"/>
              </w:rPr>
              <w:t>350.000</w:t>
            </w:r>
          </w:p>
        </w:tc>
      </w:tr>
      <w:tr w:rsidR="00BD3800" w:rsidTr="00BD3800">
        <w:tc>
          <w:tcPr>
            <w:tcW w:w="1843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559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3.200.000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3.500.000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559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3.200.000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3800" w:rsidRPr="00E73211" w:rsidRDefault="00BD3800" w:rsidP="00BD3800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7321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3.500.000</w:t>
            </w:r>
          </w:p>
        </w:tc>
      </w:tr>
    </w:tbl>
    <w:p w:rsidR="002444DB" w:rsidRDefault="002444DB" w:rsidP="002444DB">
      <w:pPr>
        <w:spacing w:after="12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2444DB" w:rsidRPr="002444DB" w:rsidRDefault="002444DB" w:rsidP="002444DB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244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 w:rsidRPr="002444DB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D9D9D9" w:themeFill="background1" w:themeFillShade="D9"/>
          <w:rtl/>
          <w:lang w:bidi="ar-DZ"/>
        </w:rPr>
        <w:t xml:space="preserve">تحليل الجدول </w:t>
      </w:r>
      <w:proofErr w:type="gramStart"/>
      <w:r w:rsidRPr="002444DB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D9D9D9" w:themeFill="background1" w:themeFillShade="D9"/>
          <w:rtl/>
          <w:lang w:bidi="ar-DZ"/>
        </w:rPr>
        <w:t>ووضع</w:t>
      </w:r>
      <w:proofErr w:type="gramEnd"/>
      <w:r w:rsidRPr="002444DB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D9D9D9" w:themeFill="background1" w:themeFillShade="D9"/>
          <w:rtl/>
          <w:lang w:bidi="ar-DZ"/>
        </w:rPr>
        <w:t xml:space="preserve"> جميع </w:t>
      </w:r>
      <w:proofErr w:type="spellStart"/>
      <w:r w:rsidRPr="002444DB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D9D9D9" w:themeFill="background1" w:themeFillShade="D9"/>
          <w:rtl/>
          <w:lang w:bidi="ar-DZ"/>
        </w:rPr>
        <w:t>الملاحظات</w:t>
      </w:r>
      <w:r w:rsidRPr="00244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="00E471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</w:t>
      </w:r>
      <w:r w:rsidR="00E4712A" w:rsidRPr="00AF08A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highlight w:val="yellow"/>
          <w:rtl/>
          <w:lang w:bidi="ar-DZ"/>
        </w:rPr>
        <w:t>يمكن التحليل بالقيم أو النسب</w:t>
      </w:r>
      <w:r w:rsidR="00AF08A8" w:rsidRPr="00AF08A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highlight w:val="yellow"/>
          <w:rtl/>
          <w:lang w:bidi="ar-DZ"/>
        </w:rPr>
        <w:t xml:space="preserve"> (تحليل عمودي</w:t>
      </w:r>
      <w:proofErr w:type="spellStart"/>
      <w:r w:rsidR="00AF08A8" w:rsidRPr="00AF08A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highlight w:val="yellow"/>
          <w:rtl/>
          <w:lang w:bidi="ar-DZ"/>
        </w:rPr>
        <w:t>)</w:t>
      </w:r>
      <w:proofErr w:type="spellEnd"/>
      <w:r w:rsidR="00E4712A" w:rsidRPr="00AF08A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highlight w:val="yellow"/>
          <w:rtl/>
          <w:lang w:bidi="ar-DZ"/>
        </w:rPr>
        <w:t xml:space="preserve"> </w:t>
      </w:r>
      <w:proofErr w:type="spellStart"/>
      <w:r w:rsidR="00E4712A" w:rsidRPr="00AF08A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highlight w:val="yellow"/>
          <w:rtl/>
          <w:lang w:bidi="ar-DZ"/>
        </w:rPr>
        <w:t>أيضا،</w:t>
      </w:r>
      <w:proofErr w:type="spellEnd"/>
      <w:r w:rsidR="00E4712A" w:rsidRPr="00AF08A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highlight w:val="yellow"/>
          <w:rtl/>
          <w:lang w:bidi="ar-DZ"/>
        </w:rPr>
        <w:t xml:space="preserve"> أو الاثنين معا</w:t>
      </w:r>
      <w:proofErr w:type="spellStart"/>
      <w:r w:rsidR="00E471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proofErr w:type="spellEnd"/>
      <w:r w:rsidR="00E471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........................................................................................................................................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444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</w:t>
      </w:r>
    </w:p>
    <w:p w:rsidR="002444DB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</w:t>
      </w:r>
    </w:p>
    <w:p w:rsidR="00F31353" w:rsidRDefault="002444DB" w:rsidP="002444DB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</w:t>
      </w:r>
    </w:p>
    <w:p w:rsidR="00E73211" w:rsidRDefault="00E73211" w:rsidP="00761873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2444DB" w:rsidRDefault="00761873" w:rsidP="002444DB">
      <w:pPr>
        <w:spacing w:before="100" w:beforeAutospacing="1"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2444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    </w:t>
      </w:r>
    </w:p>
    <w:p w:rsidR="00761873" w:rsidRPr="002444DB" w:rsidRDefault="002444DB" w:rsidP="002444DB">
      <w:pPr>
        <w:spacing w:before="120" w:after="12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44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</w:t>
      </w:r>
      <w:proofErr w:type="spellStart"/>
      <w:r w:rsidRPr="00244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ثانيا:</w:t>
      </w:r>
      <w:proofErr w:type="spellEnd"/>
      <w:r w:rsidRPr="00244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تحليل الميزانيتين </w:t>
      </w:r>
      <w:r w:rsidR="00761873" w:rsidRPr="00244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بناء على نتائج مؤشرات التوازن المالي الموضحة في الجدول التالي:</w:t>
      </w:r>
    </w:p>
    <w:tbl>
      <w:tblPr>
        <w:tblStyle w:val="Grilledutableau"/>
        <w:tblpPr w:leftFromText="180" w:rightFromText="180" w:vertAnchor="text" w:horzAnchor="margin" w:tblpXSpec="center" w:tblpY="79"/>
        <w:bidiVisual/>
        <w:tblW w:w="0" w:type="auto"/>
        <w:tblLook w:val="04A0"/>
      </w:tblPr>
      <w:tblGrid>
        <w:gridCol w:w="1558"/>
        <w:gridCol w:w="1559"/>
        <w:gridCol w:w="1807"/>
        <w:gridCol w:w="1453"/>
        <w:gridCol w:w="1559"/>
        <w:gridCol w:w="1560"/>
      </w:tblGrid>
      <w:tr w:rsidR="00761873" w:rsidTr="00761873">
        <w:trPr>
          <w:trHeight w:val="280"/>
        </w:trPr>
        <w:tc>
          <w:tcPr>
            <w:tcW w:w="9496" w:type="dxa"/>
            <w:gridSpan w:val="6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مؤشرات </w:t>
            </w:r>
            <w:proofErr w:type="gramStart"/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لتوازن </w:t>
            </w:r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المالي</w:t>
            </w:r>
            <w:proofErr w:type="gramEnd"/>
          </w:p>
        </w:tc>
      </w:tr>
      <w:tr w:rsidR="00761873" w:rsidTr="00761873">
        <w:tc>
          <w:tcPr>
            <w:tcW w:w="4924" w:type="dxa"/>
            <w:gridSpan w:val="3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2018</w:t>
            </w:r>
          </w:p>
        </w:tc>
        <w:tc>
          <w:tcPr>
            <w:tcW w:w="4572" w:type="dxa"/>
            <w:gridSpan w:val="3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2019</w:t>
            </w:r>
          </w:p>
        </w:tc>
      </w:tr>
      <w:tr w:rsidR="00761873" w:rsidTr="00761873">
        <w:tc>
          <w:tcPr>
            <w:tcW w:w="1558" w:type="dxa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F0302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FRn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F0302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BFRn</w:t>
            </w:r>
            <w:proofErr w:type="spellEnd"/>
          </w:p>
        </w:tc>
        <w:tc>
          <w:tcPr>
            <w:tcW w:w="1807" w:type="dxa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F0302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Tn</w:t>
            </w:r>
            <w:proofErr w:type="spellEnd"/>
          </w:p>
        </w:tc>
        <w:tc>
          <w:tcPr>
            <w:tcW w:w="1453" w:type="dxa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F0302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FRn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F0302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BFRn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F0302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Tn</w:t>
            </w:r>
            <w:proofErr w:type="spellEnd"/>
          </w:p>
        </w:tc>
      </w:tr>
      <w:tr w:rsidR="00761873" w:rsidTr="00761873">
        <w:trPr>
          <w:trHeight w:val="795"/>
        </w:trPr>
        <w:tc>
          <w:tcPr>
            <w:tcW w:w="1558" w:type="dxa"/>
            <w:vAlign w:val="center"/>
          </w:tcPr>
          <w:p w:rsidR="00761873" w:rsidRPr="00E17954" w:rsidRDefault="00761873" w:rsidP="0076187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200.000</w:t>
            </w:r>
          </w:p>
        </w:tc>
        <w:tc>
          <w:tcPr>
            <w:tcW w:w="1559" w:type="dxa"/>
            <w:vAlign w:val="center"/>
          </w:tcPr>
          <w:p w:rsidR="00761873" w:rsidRPr="00E17954" w:rsidRDefault="00761873" w:rsidP="0076187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100.000</w:t>
            </w:r>
          </w:p>
        </w:tc>
        <w:tc>
          <w:tcPr>
            <w:tcW w:w="1807" w:type="dxa"/>
            <w:vAlign w:val="center"/>
          </w:tcPr>
          <w:p w:rsidR="00761873" w:rsidRPr="00E17954" w:rsidRDefault="00761873" w:rsidP="0076187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100.000</w:t>
            </w:r>
          </w:p>
        </w:tc>
        <w:tc>
          <w:tcPr>
            <w:tcW w:w="1453" w:type="dxa"/>
            <w:vAlign w:val="center"/>
          </w:tcPr>
          <w:p w:rsidR="00761873" w:rsidRPr="00E17954" w:rsidRDefault="00761873" w:rsidP="0076187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200.000</w:t>
            </w:r>
          </w:p>
        </w:tc>
        <w:tc>
          <w:tcPr>
            <w:tcW w:w="1559" w:type="dxa"/>
            <w:vAlign w:val="center"/>
          </w:tcPr>
          <w:p w:rsidR="00761873" w:rsidRPr="00E17954" w:rsidRDefault="00761873" w:rsidP="0076187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100.000</w:t>
            </w:r>
          </w:p>
        </w:tc>
        <w:tc>
          <w:tcPr>
            <w:tcW w:w="1560" w:type="dxa"/>
            <w:vAlign w:val="center"/>
          </w:tcPr>
          <w:p w:rsidR="00761873" w:rsidRPr="00E17954" w:rsidRDefault="00761873" w:rsidP="0076187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179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100.000</w:t>
            </w:r>
          </w:p>
        </w:tc>
      </w:tr>
      <w:tr w:rsidR="00761873" w:rsidTr="00761873">
        <w:tc>
          <w:tcPr>
            <w:tcW w:w="1558" w:type="dxa"/>
            <w:shd w:val="clear" w:color="auto" w:fill="FFFFFF" w:themeFill="background1"/>
          </w:tcPr>
          <w:p w:rsidR="00761873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proofErr w:type="gramStart"/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التفسير</w:t>
            </w:r>
            <w:proofErr w:type="gramEnd"/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1873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proofErr w:type="gramStart"/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التفسير</w:t>
            </w:r>
            <w:proofErr w:type="gramEnd"/>
          </w:p>
        </w:tc>
        <w:tc>
          <w:tcPr>
            <w:tcW w:w="1807" w:type="dxa"/>
            <w:shd w:val="clear" w:color="auto" w:fill="FFFFFF" w:themeFill="background1"/>
          </w:tcPr>
          <w:p w:rsidR="00761873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proofErr w:type="gramStart"/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التفسير</w:t>
            </w:r>
            <w:proofErr w:type="gramEnd"/>
          </w:p>
        </w:tc>
        <w:tc>
          <w:tcPr>
            <w:tcW w:w="1453" w:type="dxa"/>
            <w:shd w:val="clear" w:color="auto" w:fill="FFFFFF" w:themeFill="background1"/>
          </w:tcPr>
          <w:p w:rsidR="00761873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proofErr w:type="gramStart"/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التفسير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61873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proofErr w:type="gramStart"/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التفسير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:rsidR="00761873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761873" w:rsidRPr="00F03026" w:rsidRDefault="00761873" w:rsidP="00761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proofErr w:type="gramStart"/>
            <w:r w:rsidRPr="00F030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التفسير</w:t>
            </w:r>
            <w:proofErr w:type="gramEnd"/>
          </w:p>
        </w:tc>
      </w:tr>
    </w:tbl>
    <w:p w:rsidR="00CA0F5F" w:rsidRDefault="00CA0F5F" w:rsidP="00E73211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</w:p>
    <w:p w:rsidR="00CA0F5F" w:rsidRDefault="00B61175" w:rsidP="00E73211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</w:p>
    <w:p w:rsidR="00B61175" w:rsidRDefault="00B61175" w:rsidP="00E73211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73211" w:rsidRDefault="00E73211" w:rsidP="00E73211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73211" w:rsidRDefault="00E73211" w:rsidP="00E73211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73211" w:rsidRDefault="00E73211" w:rsidP="00E73211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61873" w:rsidRDefault="00761873" w:rsidP="00E73211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61873" w:rsidRDefault="00761873" w:rsidP="00E73211">
      <w:pPr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61873" w:rsidRDefault="00761873" w:rsidP="001A2AFD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proofErr w:type="spellStart"/>
      <w:r w:rsidR="005D4BF4" w:rsidRPr="005D4B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ثالثا:</w:t>
      </w:r>
      <w:proofErr w:type="spellEnd"/>
      <w:r w:rsidR="005D4BF4" w:rsidRPr="005D4B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D4B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توضيح الوضعية المالية للشركة</w:t>
      </w:r>
      <w:r w:rsid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خلال حساب مختلف النسب الممكن </w:t>
      </w:r>
      <w:proofErr w:type="spellStart"/>
      <w:proofErr w:type="gramStart"/>
      <w:r w:rsid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حسابها</w:t>
      </w:r>
      <w:proofErr w:type="gramEnd"/>
      <w:r w:rsidRPr="005D4B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(إعطاء النتائج مع التفسير</w:t>
      </w:r>
      <w:proofErr w:type="spellStart"/>
      <w:r w:rsid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):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444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761873" w:rsidRDefault="001A2AFD" w:rsidP="00E73211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proofErr w:type="spellStart"/>
      <w:r w:rsidRP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رابعا:</w:t>
      </w:r>
      <w:proofErr w:type="spellEnd"/>
      <w:r w:rsidRP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الحكم النهائي على الوضعية المالية للشركة خلال السنتين: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444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444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938DC" w:rsidRPr="001A2AFD" w:rsidRDefault="001A2AFD" w:rsidP="001A2AFD">
      <w:pPr>
        <w:ind w:left="360" w:hanging="219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 w:rsidRP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خامسا:</w:t>
      </w:r>
      <w:proofErr w:type="spellEnd"/>
      <w:r w:rsidRP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938DC" w:rsidRP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اقتراح بعض الحلول </w:t>
      </w:r>
      <w:proofErr w:type="gramStart"/>
      <w:r w:rsidR="00A938DC" w:rsidRP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proofErr w:type="gramEnd"/>
      <w:r w:rsidR="00A938DC" w:rsidRPr="001A2A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الحالات السلبية أي في حالة الوضعية الحرجة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</w:t>
      </w:r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444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before="12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1A2AFD" w:rsidRDefault="001A2AFD" w:rsidP="001A2AFD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938DC" w:rsidRPr="00A938DC" w:rsidRDefault="00A938DC" w:rsidP="001A2AFD">
      <w:pPr>
        <w:jc w:val="center"/>
        <w:rPr>
          <w:lang w:val="fr-FR"/>
        </w:rPr>
      </w:pPr>
    </w:p>
    <w:sectPr w:rsidR="00A938DC" w:rsidRPr="00A938DC" w:rsidSect="002444DB">
      <w:pgSz w:w="11906" w:h="16838"/>
      <w:pgMar w:top="567" w:right="566" w:bottom="567" w:left="567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3259"/>
    <w:multiLevelType w:val="hybridMultilevel"/>
    <w:tmpl w:val="6EB23146"/>
    <w:lvl w:ilvl="0" w:tplc="B2341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821"/>
    <w:rsid w:val="00185AB9"/>
    <w:rsid w:val="001A2AFD"/>
    <w:rsid w:val="001A3649"/>
    <w:rsid w:val="002444DB"/>
    <w:rsid w:val="005D4BF4"/>
    <w:rsid w:val="00660821"/>
    <w:rsid w:val="00761873"/>
    <w:rsid w:val="008E7C82"/>
    <w:rsid w:val="00A938DC"/>
    <w:rsid w:val="00AF08A8"/>
    <w:rsid w:val="00B61175"/>
    <w:rsid w:val="00BD3800"/>
    <w:rsid w:val="00C65F61"/>
    <w:rsid w:val="00CA0F5F"/>
    <w:rsid w:val="00E4712A"/>
    <w:rsid w:val="00E5558E"/>
    <w:rsid w:val="00E73211"/>
    <w:rsid w:val="00E87D6F"/>
    <w:rsid w:val="00F3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8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0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0821"/>
  </w:style>
  <w:style w:type="paragraph" w:styleId="Textedebulles">
    <w:name w:val="Balloon Text"/>
    <w:basedOn w:val="Normal"/>
    <w:link w:val="TextedebullesCar"/>
    <w:uiPriority w:val="99"/>
    <w:semiHidden/>
    <w:unhideWhenUsed/>
    <w:rsid w:val="0066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8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38DC"/>
    <w:pPr>
      <w:bidi w:val="0"/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59"/>
    <w:rsid w:val="00E7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45AE36CE6642BCA0746D18A5104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20791-D683-4FE5-9704-28110F236576}"/>
      </w:docPartPr>
      <w:docPartBody>
        <w:p w:rsidR="00AD0AC5" w:rsidRDefault="00071E11" w:rsidP="00071E11">
          <w:pPr>
            <w:pStyle w:val="E845AE36CE6642BCA0746D18A51041A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71E11"/>
    <w:rsid w:val="00071E11"/>
    <w:rsid w:val="00AD0AC5"/>
    <w:rsid w:val="00D9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C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45AE36CE6642BCA0746D18A51041A9">
    <w:name w:val="E845AE36CE6642BCA0746D18A51041A9"/>
    <w:rsid w:val="00071E11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خيضر بسكرة                                                                                                                                                                                             كلية العلوم الاقتصادية والتجارية وعلوم التسيي</vt:lpstr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بسكرة                                                                                                                                                                                             كلية العلوم الاقتصادية والتجارية وعلوم التسيير                     السنة الثالثة LMD تخصص: اقتصاد نقدي وبنكي                                              قسم العلوم الاقتصادية                                                          الموسم الدراسي: 2020-2021</dc:title>
  <dc:creator>PRO</dc:creator>
  <cp:lastModifiedBy>PRO</cp:lastModifiedBy>
  <cp:revision>5</cp:revision>
  <dcterms:created xsi:type="dcterms:W3CDTF">2021-02-01T09:04:00Z</dcterms:created>
  <dcterms:modified xsi:type="dcterms:W3CDTF">2021-02-01T09:22:00Z</dcterms:modified>
</cp:coreProperties>
</file>