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94" w:rsidRDefault="00850485">
      <w:pPr>
        <w:rPr>
          <w:rFonts w:asciiTheme="majorBidi" w:hAnsiTheme="majorBidi" w:cstheme="majorBidi"/>
          <w:sz w:val="32"/>
          <w:szCs w:val="32"/>
        </w:rPr>
      </w:pPr>
      <w:r w:rsidRPr="00850485">
        <w:rPr>
          <w:rFonts w:asciiTheme="majorBidi" w:hAnsiTheme="majorBidi" w:cstheme="majorBidi"/>
          <w:sz w:val="28"/>
          <w:szCs w:val="28"/>
          <w:highlight w:val="yellow"/>
        </w:rPr>
        <w:t xml:space="preserve">Cours no 9 </w:t>
      </w:r>
      <w:proofErr w:type="gramStart"/>
      <w:r w:rsidRPr="00850485">
        <w:rPr>
          <w:rFonts w:asciiTheme="majorBidi" w:hAnsiTheme="majorBidi" w:cstheme="majorBidi"/>
          <w:sz w:val="28"/>
          <w:szCs w:val="28"/>
          <w:highlight w:val="yellow"/>
        </w:rPr>
        <w:t>( suite</w:t>
      </w:r>
      <w:proofErr w:type="gramEnd"/>
      <w:r w:rsidRPr="00850485">
        <w:rPr>
          <w:rFonts w:asciiTheme="majorBidi" w:hAnsiTheme="majorBidi" w:cstheme="majorBidi"/>
          <w:sz w:val="28"/>
          <w:szCs w:val="28"/>
          <w:highlight w:val="yellow"/>
        </w:rPr>
        <w:t xml:space="preserve"> 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50485">
        <w:rPr>
          <w:rFonts w:asciiTheme="majorBidi" w:hAnsiTheme="majorBidi" w:cstheme="majorBidi"/>
          <w:sz w:val="32"/>
          <w:szCs w:val="32"/>
          <w:highlight w:val="yellow"/>
        </w:rPr>
        <w:t>La théorie sociale cognitive</w:t>
      </w:r>
    </w:p>
    <w:p w:rsidR="001D3BC3" w:rsidRDefault="008504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Elle se réfère aux travaux de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à propos du développement de l’image de soi et du rôle </w:t>
      </w:r>
      <w:r w:rsidR="00EF27ED">
        <w:rPr>
          <w:rFonts w:asciiTheme="majorBidi" w:hAnsiTheme="majorBidi" w:cstheme="majorBidi"/>
          <w:sz w:val="28"/>
          <w:szCs w:val="28"/>
        </w:rPr>
        <w:t xml:space="preserve">de cette dernière dans le processus de motivation à l’égard du travail et de la vie professionnelle. Certains auteurs comme Bujold et </w:t>
      </w:r>
      <w:proofErr w:type="spellStart"/>
      <w:r w:rsidR="00EF27ED">
        <w:rPr>
          <w:rFonts w:asciiTheme="majorBidi" w:hAnsiTheme="majorBidi" w:cstheme="majorBidi"/>
          <w:sz w:val="28"/>
          <w:szCs w:val="28"/>
        </w:rPr>
        <w:t>Gingr</w:t>
      </w:r>
      <w:r w:rsidR="00A62DEE">
        <w:rPr>
          <w:rFonts w:asciiTheme="majorBidi" w:hAnsiTheme="majorBidi" w:cstheme="majorBidi"/>
          <w:sz w:val="28"/>
          <w:szCs w:val="28"/>
        </w:rPr>
        <w:t>a</w:t>
      </w:r>
      <w:r w:rsidR="00EF27ED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EF27E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F27ED">
        <w:rPr>
          <w:rFonts w:asciiTheme="majorBidi" w:hAnsiTheme="majorBidi" w:cstheme="majorBidi"/>
          <w:sz w:val="28"/>
          <w:szCs w:val="28"/>
        </w:rPr>
        <w:t>( 2000</w:t>
      </w:r>
      <w:proofErr w:type="gramEnd"/>
      <w:r w:rsidR="00EF27ED">
        <w:rPr>
          <w:rFonts w:asciiTheme="majorBidi" w:hAnsiTheme="majorBidi" w:cstheme="majorBidi"/>
          <w:sz w:val="28"/>
          <w:szCs w:val="28"/>
        </w:rPr>
        <w:t xml:space="preserve"> ) ont indiqué que la théorie de l’apprentissage</w:t>
      </w:r>
      <w:r w:rsidR="00A62DEE">
        <w:rPr>
          <w:rFonts w:asciiTheme="majorBidi" w:hAnsiTheme="majorBidi" w:cstheme="majorBidi"/>
          <w:sz w:val="28"/>
          <w:szCs w:val="28"/>
        </w:rPr>
        <w:t xml:space="preserve"> social appliquée au développement  et à la prise de décision vocationnels par des chercheurs tels que </w:t>
      </w:r>
      <w:proofErr w:type="spellStart"/>
      <w:r w:rsidR="00A62DEE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A62DEE">
        <w:rPr>
          <w:rFonts w:asciiTheme="majorBidi" w:hAnsiTheme="majorBidi" w:cstheme="majorBidi"/>
          <w:sz w:val="28"/>
          <w:szCs w:val="28"/>
        </w:rPr>
        <w:t xml:space="preserve"> ( Mitchell</w:t>
      </w:r>
      <w:r w:rsidR="004645B9">
        <w:rPr>
          <w:rFonts w:asciiTheme="majorBidi" w:hAnsiTheme="majorBidi" w:cstheme="majorBidi"/>
          <w:sz w:val="28"/>
          <w:szCs w:val="28"/>
        </w:rPr>
        <w:t xml:space="preserve">, Jones et </w:t>
      </w:r>
      <w:proofErr w:type="spellStart"/>
      <w:r w:rsidR="004645B9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4645B9">
        <w:rPr>
          <w:rFonts w:asciiTheme="majorBidi" w:hAnsiTheme="majorBidi" w:cstheme="majorBidi"/>
          <w:sz w:val="28"/>
          <w:szCs w:val="28"/>
        </w:rPr>
        <w:t xml:space="preserve">, 1979, Mitchell et </w:t>
      </w:r>
      <w:proofErr w:type="spellStart"/>
      <w:r w:rsidR="004645B9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4645B9">
        <w:rPr>
          <w:rFonts w:asciiTheme="majorBidi" w:hAnsiTheme="majorBidi" w:cstheme="majorBidi"/>
          <w:sz w:val="28"/>
          <w:szCs w:val="28"/>
        </w:rPr>
        <w:t>, 1984 )</w:t>
      </w:r>
      <w:r w:rsidR="00EE3060">
        <w:rPr>
          <w:rFonts w:asciiTheme="majorBidi" w:hAnsiTheme="majorBidi" w:cstheme="majorBidi"/>
          <w:sz w:val="28"/>
          <w:szCs w:val="28"/>
        </w:rPr>
        <w:t xml:space="preserve"> ne pouvant être considérée comme une théorie majeure mais qu’il y avait</w:t>
      </w:r>
      <w:r w:rsidR="001D3BC3">
        <w:rPr>
          <w:rFonts w:asciiTheme="majorBidi" w:hAnsiTheme="majorBidi" w:cstheme="majorBidi"/>
          <w:sz w:val="28"/>
          <w:szCs w:val="28"/>
        </w:rPr>
        <w:t xml:space="preserve"> tout intérêt à surveiller ses développements à venir.</w:t>
      </w:r>
    </w:p>
    <w:p w:rsidR="001D3BC3" w:rsidRDefault="001D3BC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L’origine de la théorie sociale cognitive </w:t>
      </w:r>
      <w:proofErr w:type="gramStart"/>
      <w:r>
        <w:rPr>
          <w:rFonts w:asciiTheme="majorBidi" w:hAnsiTheme="majorBidi" w:cstheme="majorBidi"/>
          <w:sz w:val="32"/>
          <w:szCs w:val="32"/>
        </w:rPr>
        <w:t>( T.S.C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) :</w:t>
      </w:r>
    </w:p>
    <w:p w:rsidR="00DC2FB3" w:rsidRDefault="00A543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Albert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>, fondateur de cette théorie, a obtenu son doctorat de l’université de  L’Iowa en 1952. En 1953, il se fera of</w:t>
      </w:r>
      <w:r w:rsidR="00E6220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rir</w:t>
      </w:r>
      <w:r w:rsidR="001439A6">
        <w:rPr>
          <w:rFonts w:asciiTheme="majorBidi" w:hAnsiTheme="majorBidi" w:cstheme="majorBidi"/>
          <w:sz w:val="28"/>
          <w:szCs w:val="28"/>
        </w:rPr>
        <w:t> </w:t>
      </w:r>
      <w:r w:rsidR="00E62202">
        <w:rPr>
          <w:rFonts w:asciiTheme="majorBidi" w:hAnsiTheme="majorBidi" w:cstheme="majorBidi"/>
          <w:sz w:val="28"/>
          <w:szCs w:val="28"/>
        </w:rPr>
        <w:t xml:space="preserve"> un poste à l’université de </w:t>
      </w:r>
      <w:proofErr w:type="spellStart"/>
      <w:r w:rsidR="00E62202">
        <w:rPr>
          <w:rFonts w:asciiTheme="majorBidi" w:hAnsiTheme="majorBidi" w:cstheme="majorBidi"/>
          <w:sz w:val="28"/>
          <w:szCs w:val="28"/>
        </w:rPr>
        <w:t>Stanford</w:t>
      </w:r>
      <w:proofErr w:type="spellEnd"/>
      <w:r w:rsidR="00E62202">
        <w:rPr>
          <w:rFonts w:asciiTheme="majorBidi" w:hAnsiTheme="majorBidi" w:cstheme="majorBidi"/>
          <w:sz w:val="28"/>
          <w:szCs w:val="28"/>
        </w:rPr>
        <w:t xml:space="preserve"> ou’ il enseigne depuis. En 1986 </w:t>
      </w:r>
      <w:proofErr w:type="spellStart"/>
      <w:r w:rsidR="00E62202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E62202">
        <w:rPr>
          <w:rFonts w:asciiTheme="majorBidi" w:hAnsiTheme="majorBidi" w:cstheme="majorBidi"/>
          <w:sz w:val="28"/>
          <w:szCs w:val="28"/>
        </w:rPr>
        <w:t xml:space="preserve"> publiera son livre </w:t>
      </w:r>
      <w:r w:rsidR="001439A6">
        <w:rPr>
          <w:rFonts w:asciiTheme="majorBidi" w:hAnsiTheme="majorBidi" w:cstheme="majorBidi"/>
          <w:sz w:val="28"/>
          <w:szCs w:val="28"/>
        </w:rPr>
        <w:t>« </w:t>
      </w:r>
      <w:r w:rsidR="00E62202">
        <w:rPr>
          <w:rFonts w:asciiTheme="majorBidi" w:hAnsiTheme="majorBidi" w:cstheme="majorBidi"/>
          <w:sz w:val="28"/>
          <w:szCs w:val="28"/>
        </w:rPr>
        <w:t xml:space="preserve">Social Fondation of </w:t>
      </w:r>
      <w:proofErr w:type="spellStart"/>
      <w:r w:rsidR="00E62202">
        <w:rPr>
          <w:rFonts w:asciiTheme="majorBidi" w:hAnsiTheme="majorBidi" w:cstheme="majorBidi"/>
          <w:sz w:val="28"/>
          <w:szCs w:val="28"/>
        </w:rPr>
        <w:t>Throught</w:t>
      </w:r>
      <w:proofErr w:type="spellEnd"/>
      <w:r w:rsidR="00E62202">
        <w:rPr>
          <w:rFonts w:asciiTheme="majorBidi" w:hAnsiTheme="majorBidi" w:cstheme="majorBidi"/>
          <w:sz w:val="28"/>
          <w:szCs w:val="28"/>
        </w:rPr>
        <w:t xml:space="preserve"> and Action</w:t>
      </w:r>
      <w:r w:rsidR="001439A6">
        <w:rPr>
          <w:rFonts w:asciiTheme="majorBidi" w:hAnsiTheme="majorBidi" w:cstheme="majorBidi"/>
          <w:sz w:val="28"/>
          <w:szCs w:val="28"/>
        </w:rPr>
        <w:t xml:space="preserve"> : A social Cognitive </w:t>
      </w:r>
      <w:proofErr w:type="spellStart"/>
      <w:r w:rsidR="001439A6">
        <w:rPr>
          <w:rFonts w:asciiTheme="majorBidi" w:hAnsiTheme="majorBidi" w:cstheme="majorBidi"/>
          <w:sz w:val="28"/>
          <w:szCs w:val="28"/>
        </w:rPr>
        <w:t>Théory</w:t>
      </w:r>
      <w:proofErr w:type="spellEnd"/>
      <w:r w:rsidR="001439A6">
        <w:rPr>
          <w:rFonts w:asciiTheme="majorBidi" w:hAnsiTheme="majorBidi" w:cstheme="majorBidi"/>
          <w:sz w:val="28"/>
          <w:szCs w:val="28"/>
        </w:rPr>
        <w:t>.»</w:t>
      </w:r>
      <w:r w:rsidR="00DC2FB3">
        <w:rPr>
          <w:rFonts w:asciiTheme="majorBidi" w:hAnsiTheme="majorBidi" w:cstheme="majorBidi"/>
          <w:sz w:val="28"/>
          <w:szCs w:val="28"/>
        </w:rPr>
        <w:t xml:space="preserve">, et lancera du même coup sa théorie sociale cognitive </w:t>
      </w:r>
      <w:proofErr w:type="gramStart"/>
      <w:r w:rsidR="00DC2FB3">
        <w:rPr>
          <w:rFonts w:asciiTheme="majorBidi" w:hAnsiTheme="majorBidi" w:cstheme="majorBidi"/>
          <w:sz w:val="28"/>
          <w:szCs w:val="28"/>
        </w:rPr>
        <w:t>( TSC</w:t>
      </w:r>
      <w:proofErr w:type="gramEnd"/>
      <w:r w:rsidR="00DC2FB3">
        <w:rPr>
          <w:rFonts w:asciiTheme="majorBidi" w:hAnsiTheme="majorBidi" w:cstheme="majorBidi"/>
          <w:sz w:val="28"/>
          <w:szCs w:val="28"/>
        </w:rPr>
        <w:t xml:space="preserve"> ).</w:t>
      </w:r>
    </w:p>
    <w:p w:rsidR="00477ECF" w:rsidRDefault="00DC2FB3" w:rsidP="00477E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TSC provient </w:t>
      </w:r>
      <w:r w:rsidR="00E07455">
        <w:rPr>
          <w:rFonts w:asciiTheme="majorBidi" w:hAnsiTheme="majorBidi" w:cstheme="majorBidi"/>
          <w:sz w:val="28"/>
          <w:szCs w:val="28"/>
        </w:rPr>
        <w:t>de la psychologie et tire ses racines du béhaviorisme et de la psychologie sociale. Le béhaviorisme</w:t>
      </w:r>
      <w:r w:rsidR="0058530E">
        <w:rPr>
          <w:rFonts w:asciiTheme="majorBidi" w:hAnsiTheme="majorBidi" w:cstheme="majorBidi"/>
          <w:sz w:val="28"/>
          <w:szCs w:val="28"/>
        </w:rPr>
        <w:t xml:space="preserve"> fut l’objet d’un débat  important sur la possible réponse existence  de processus médiateurs entre le stimulus et la réponse ; en effet les opinions étaient  divisées à savoir </w:t>
      </w:r>
      <w:r w:rsidR="00AE0034">
        <w:rPr>
          <w:rFonts w:asciiTheme="majorBidi" w:hAnsiTheme="majorBidi" w:cstheme="majorBidi"/>
          <w:sz w:val="28"/>
          <w:szCs w:val="28"/>
        </w:rPr>
        <w:t xml:space="preserve">si le comportement n’était que la conséquence  de renforcements et de punitions ou s’il pouvait antérieurement initié par un Feed-back. Certains psychologues avaient déjà proposé la notion de </w:t>
      </w:r>
      <w:r w:rsidR="00AB76DB">
        <w:rPr>
          <w:rFonts w:asciiTheme="majorBidi" w:hAnsiTheme="majorBidi" w:cstheme="majorBidi"/>
          <w:sz w:val="28"/>
          <w:szCs w:val="28"/>
        </w:rPr>
        <w:t>médiateur : on peut penser à William James</w:t>
      </w:r>
      <w:r w:rsidR="000B1FD8">
        <w:rPr>
          <w:rFonts w:asciiTheme="majorBidi" w:hAnsiTheme="majorBidi" w:cstheme="majorBidi"/>
          <w:sz w:val="28"/>
          <w:szCs w:val="28"/>
        </w:rPr>
        <w:t xml:space="preserve"> avec sa notion d’habitude, F</w:t>
      </w:r>
      <w:r w:rsidR="00273369">
        <w:rPr>
          <w:rFonts w:asciiTheme="majorBidi" w:hAnsiTheme="majorBidi" w:cstheme="majorBidi"/>
          <w:sz w:val="28"/>
          <w:szCs w:val="28"/>
        </w:rPr>
        <w:t xml:space="preserve">reud avec sa notion de pulsion, </w:t>
      </w:r>
      <w:r w:rsidR="000B1FD8">
        <w:rPr>
          <w:rFonts w:asciiTheme="majorBidi" w:hAnsiTheme="majorBidi" w:cstheme="majorBidi"/>
          <w:sz w:val="28"/>
          <w:szCs w:val="28"/>
        </w:rPr>
        <w:t>Tolman ave</w:t>
      </w:r>
      <w:r w:rsidR="00477ECF">
        <w:rPr>
          <w:rFonts w:asciiTheme="majorBidi" w:hAnsiTheme="majorBidi" w:cstheme="majorBidi"/>
          <w:sz w:val="28"/>
          <w:szCs w:val="28"/>
        </w:rPr>
        <w:t>c celle de la cognition.</w:t>
      </w:r>
    </w:p>
    <w:p w:rsidR="00850485" w:rsidRPr="00850485" w:rsidRDefault="00477E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73369">
        <w:rPr>
          <w:rFonts w:asciiTheme="majorBidi" w:hAnsiTheme="majorBidi" w:cstheme="majorBidi"/>
          <w:sz w:val="28"/>
          <w:szCs w:val="28"/>
        </w:rPr>
        <w:t xml:space="preserve"> En 1930</w:t>
      </w:r>
      <w:r w:rsidR="005300DB">
        <w:rPr>
          <w:rFonts w:asciiTheme="majorBidi" w:hAnsiTheme="majorBidi" w:cstheme="majorBidi"/>
          <w:sz w:val="28"/>
          <w:szCs w:val="28"/>
        </w:rPr>
        <w:t>, Tolman défendit l’idée qu’une autre variable intervenait comme médiateur entre  le stimulus et la réponse</w:t>
      </w:r>
      <w:r w:rsidR="00213439">
        <w:rPr>
          <w:rFonts w:asciiTheme="majorBidi" w:hAnsiTheme="majorBidi" w:cstheme="majorBidi"/>
          <w:sz w:val="28"/>
          <w:szCs w:val="28"/>
        </w:rPr>
        <w:t xml:space="preserve">. Il introduisit alors le concept d’attente. Avec l’introduction de la cognition, les trois variables du comportement se trouvaient réunies pour l’élaboration de la théorie </w:t>
      </w:r>
      <w:r w:rsidR="00450636">
        <w:rPr>
          <w:rFonts w:asciiTheme="majorBidi" w:hAnsiTheme="majorBidi" w:cstheme="majorBidi"/>
          <w:sz w:val="28"/>
          <w:szCs w:val="28"/>
        </w:rPr>
        <w:t xml:space="preserve">de l’apprentissage social </w:t>
      </w:r>
      <w:proofErr w:type="gramStart"/>
      <w:r w:rsidR="00450636">
        <w:rPr>
          <w:rFonts w:asciiTheme="majorBidi" w:hAnsiTheme="majorBidi" w:cstheme="majorBidi"/>
          <w:sz w:val="28"/>
          <w:szCs w:val="28"/>
        </w:rPr>
        <w:t>( TAS</w:t>
      </w:r>
      <w:proofErr w:type="gramEnd"/>
      <w:r w:rsidR="00450636">
        <w:rPr>
          <w:rFonts w:asciiTheme="majorBidi" w:hAnsiTheme="majorBidi" w:cstheme="majorBidi"/>
          <w:sz w:val="28"/>
          <w:szCs w:val="28"/>
        </w:rPr>
        <w:t xml:space="preserve"> ) qui allait donner naissance à la théorie sociale cognitive. La TAS présentait les fondements de l’apprentissage : renforcement, punition, extinction et imitation d’un modèle.</w:t>
      </w:r>
      <w:r w:rsidR="001379B3">
        <w:rPr>
          <w:rFonts w:asciiTheme="majorBidi" w:hAnsiTheme="majorBidi" w:cstheme="majorBidi"/>
          <w:sz w:val="28"/>
          <w:szCs w:val="28"/>
        </w:rPr>
        <w:t xml:space="preserve"> </w:t>
      </w:r>
      <w:r w:rsidR="001439A6">
        <w:rPr>
          <w:rFonts w:asciiTheme="majorBidi" w:hAnsiTheme="majorBidi" w:cstheme="majorBidi"/>
          <w:sz w:val="28"/>
          <w:szCs w:val="28"/>
        </w:rPr>
        <w:t xml:space="preserve"> </w:t>
      </w:r>
      <w:r w:rsidR="001D3BC3">
        <w:rPr>
          <w:rFonts w:asciiTheme="majorBidi" w:hAnsiTheme="majorBidi" w:cstheme="majorBidi"/>
          <w:sz w:val="32"/>
          <w:szCs w:val="32"/>
        </w:rPr>
        <w:t xml:space="preserve"> </w:t>
      </w:r>
      <w:r w:rsidR="001D3BC3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850485" w:rsidRPr="00850485" w:rsidSect="0012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50485"/>
    <w:rsid w:val="000B1FD8"/>
    <w:rsid w:val="00125094"/>
    <w:rsid w:val="001379B3"/>
    <w:rsid w:val="001439A6"/>
    <w:rsid w:val="001D3BC3"/>
    <w:rsid w:val="00213439"/>
    <w:rsid w:val="00273369"/>
    <w:rsid w:val="00450636"/>
    <w:rsid w:val="004645B9"/>
    <w:rsid w:val="00477ECF"/>
    <w:rsid w:val="005300DB"/>
    <w:rsid w:val="0058530E"/>
    <w:rsid w:val="006F7688"/>
    <w:rsid w:val="00850485"/>
    <w:rsid w:val="00A543DA"/>
    <w:rsid w:val="00A62DEE"/>
    <w:rsid w:val="00AB76DB"/>
    <w:rsid w:val="00AE0034"/>
    <w:rsid w:val="00DC2FB3"/>
    <w:rsid w:val="00E07455"/>
    <w:rsid w:val="00E62202"/>
    <w:rsid w:val="00EE3060"/>
    <w:rsid w:val="00EF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2021-03-24T19:13:00Z</dcterms:created>
  <dcterms:modified xsi:type="dcterms:W3CDTF">2021-03-24T22:06:00Z</dcterms:modified>
</cp:coreProperties>
</file>