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A7" w:rsidRDefault="00F75771" w:rsidP="00012EBF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333333"/>
          <w:sz w:val="36"/>
          <w:szCs w:val="36"/>
          <w:rtl/>
          <w:lang w:bidi="ar-DZ"/>
        </w:rPr>
      </w:pPr>
      <w:r w:rsidRPr="00F75771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>السلسلة رقم 1 في مقياس الموازنة التقديرية</w:t>
      </w:r>
    </w:p>
    <w:p w:rsidR="00F75771" w:rsidRDefault="00F75771" w:rsidP="00012EBF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</w:p>
    <w:p w:rsidR="00F75771" w:rsidRDefault="00F75771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تمرين رقم 1: 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قدرت المبيعات الفصلية المتوقعة للشركة "ص" كما هو مبين ادناه:</w:t>
      </w:r>
    </w:p>
    <w:tbl>
      <w:tblPr>
        <w:tblStyle w:val="Grilledutableau"/>
        <w:bidiVisual/>
        <w:tblW w:w="0" w:type="auto"/>
        <w:tblLook w:val="04A0"/>
      </w:tblPr>
      <w:tblGrid>
        <w:gridCol w:w="1689"/>
        <w:gridCol w:w="1689"/>
        <w:gridCol w:w="1689"/>
        <w:gridCol w:w="1689"/>
        <w:gridCol w:w="1690"/>
      </w:tblGrid>
      <w:tr w:rsidR="00F75771" w:rsidTr="00F75771">
        <w:tc>
          <w:tcPr>
            <w:tcW w:w="1689" w:type="dxa"/>
          </w:tcPr>
          <w:p w:rsidR="00F75771" w:rsidRP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F75771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الفصل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الاول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الثاني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الثالث</w:t>
            </w:r>
          </w:p>
        </w:tc>
        <w:tc>
          <w:tcPr>
            <w:tcW w:w="1690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الرابع</w:t>
            </w:r>
          </w:p>
        </w:tc>
      </w:tr>
      <w:tr w:rsidR="00F75771" w:rsidTr="00F75771">
        <w:tc>
          <w:tcPr>
            <w:tcW w:w="1689" w:type="dxa"/>
          </w:tcPr>
          <w:p w:rsidR="00F75771" w:rsidRP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24"/>
                <w:szCs w:val="24"/>
                <w:rtl/>
                <w:lang w:bidi="ar-DZ"/>
              </w:rPr>
            </w:pPr>
            <w:r w:rsidRPr="00F75771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24"/>
                <w:szCs w:val="24"/>
                <w:rtl/>
                <w:lang w:bidi="ar-DZ"/>
              </w:rPr>
              <w:t>حجم المبيعات"وحدة"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1000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1500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2000</w:t>
            </w:r>
          </w:p>
        </w:tc>
        <w:tc>
          <w:tcPr>
            <w:tcW w:w="1690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1500</w:t>
            </w:r>
          </w:p>
        </w:tc>
      </w:tr>
    </w:tbl>
    <w:p w:rsidR="00F75771" w:rsidRDefault="00BC4E5A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علما ان سعر البع المقدر للوحدة الواحدة 75دج، وان رصيد حساب المدينين في 31/12/2010 قدر بمبلغ 24000 دج</w:t>
      </w:r>
      <w:r w:rsidR="00236186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وسيسدد خلال الفصل الاول</w:t>
      </w:r>
      <w:r w:rsidR="00236186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، كما ان سياسة الشركة في تحصيل المبيعات تقوم على اساس تحصيل 40</w:t>
      </w:r>
      <w:r w:rsidR="00236186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="00236186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من قيمة المبيعات خلال فصل البيع و60</w:t>
      </w:r>
      <w:r w:rsidR="00236186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="00236186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خلال الفصل التالي لفصل التالي لفصل البيع.</w:t>
      </w:r>
    </w:p>
    <w:p w:rsidR="00236186" w:rsidRPr="00012EBF" w:rsidRDefault="00236186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236186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المطلوب:</w:t>
      </w:r>
      <w:r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</w:t>
      </w:r>
      <w:r w:rsidRPr="00012EBF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اعداد الموازنة التقديرية للمبيعات، وجدول المقبوضات</w:t>
      </w:r>
      <w:r w:rsidR="00012EBF" w:rsidRPr="00012EBF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النقدية للسنة المالية من 01/01/2011 لغاية 31/12/2011؟</w:t>
      </w:r>
    </w:p>
    <w:p w:rsidR="00FB14A7" w:rsidRPr="00214289" w:rsidRDefault="00FB14A7" w:rsidP="00855A93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تمرين رقم</w:t>
      </w:r>
      <w:r w:rsidR="00855A93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 2</w:t>
      </w:r>
      <w:r w:rsidR="00EE12D8"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: </w:t>
      </w:r>
      <w:r w:rsidR="00EE12D8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تقوم شركة "عمار" بانتاج</w:t>
      </w:r>
      <w:r w:rsidR="00EE12D8"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</w:t>
      </w:r>
      <w:r w:rsidR="00EE12D8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وبيع المنتج" أ " والشركة بصدد اعداد الموازنة التقديرية للمبيعات لفترة ثلاثة اشهر لعام 2020 ولقد توافرت لديك البيانات التالية:</w:t>
      </w:r>
    </w:p>
    <w:p w:rsidR="00EE12D8" w:rsidRPr="00214289" w:rsidRDefault="00EE12D8" w:rsidP="00012EBF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قدرت الشركة مبيعاتها من المنتج أ بكمية 20000 وحدة توزع خلال ثلاثة اشهر المذكورة على النح</w:t>
      </w:r>
      <w:r w:rsidR="00670BE5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و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الأتي: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307"/>
        <w:gridCol w:w="2126"/>
      </w:tblGrid>
      <w:tr w:rsidR="00EB074D" w:rsidRPr="00214289" w:rsidTr="00EB074D">
        <w:tc>
          <w:tcPr>
            <w:tcW w:w="2307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الشهر</w:t>
            </w:r>
          </w:p>
        </w:tc>
        <w:tc>
          <w:tcPr>
            <w:tcW w:w="2126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كمية المبيعات</w:t>
            </w:r>
          </w:p>
        </w:tc>
      </w:tr>
      <w:tr w:rsidR="00EB074D" w:rsidRPr="00214289" w:rsidTr="00EB074D">
        <w:tc>
          <w:tcPr>
            <w:tcW w:w="2307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126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5000 وحدة</w:t>
            </w:r>
          </w:p>
        </w:tc>
      </w:tr>
      <w:tr w:rsidR="00EB074D" w:rsidRPr="00214289" w:rsidTr="00EB074D">
        <w:tc>
          <w:tcPr>
            <w:tcW w:w="2307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126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8000 وحدة</w:t>
            </w:r>
          </w:p>
        </w:tc>
      </w:tr>
      <w:tr w:rsidR="00EB074D" w:rsidRPr="00214289" w:rsidTr="00EB074D">
        <w:tc>
          <w:tcPr>
            <w:tcW w:w="2307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126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7000 وحدة</w:t>
            </w:r>
          </w:p>
        </w:tc>
      </w:tr>
    </w:tbl>
    <w:p w:rsidR="00EE12D8" w:rsidRPr="00214289" w:rsidRDefault="00670BE5" w:rsidP="00012EBF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تسوق الشركة المنتج أ في منطقتين على اساس نسب البيع 60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للمنطقة 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x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و40 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للمنطقة 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y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.</w:t>
      </w:r>
    </w:p>
    <w:p w:rsidR="00670BE5" w:rsidRPr="00214289" w:rsidRDefault="00670BE5" w:rsidP="00012EBF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يقدر سعر البيع للوحدة من المنتج أ بمبلغ 10 دج.</w:t>
      </w:r>
    </w:p>
    <w:p w:rsidR="00670BE5" w:rsidRPr="00214289" w:rsidRDefault="00670BE5" w:rsidP="00012EBF">
      <w:pPr>
        <w:shd w:val="clear" w:color="auto" w:fill="FFFFFF"/>
        <w:bidi/>
        <w:spacing w:after="0" w:line="240" w:lineRule="auto"/>
        <w:ind w:left="360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المطلوب:  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اعداد الموازنة التقديرية للمبيعات</w:t>
      </w: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؟</w:t>
      </w:r>
    </w:p>
    <w:p w:rsidR="00EE12D8" w:rsidRPr="00214289" w:rsidRDefault="00670BE5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تمرين رقم</w:t>
      </w:r>
      <w:r w:rsidR="00855A93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3</w:t>
      </w: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: </w:t>
      </w:r>
      <w:r w:rsidR="00037D1C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اليك </w:t>
      </w:r>
      <w:r w:rsidR="00F14159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الإحصائيات</w:t>
      </w:r>
      <w:r w:rsidR="00037D1C"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</w:t>
      </w:r>
      <w:r w:rsidR="00037D1C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المتعلقة بالمبيعات السنوية خلال العشر سنوات الماضية للمؤسسة "س": بمليون دج.</w:t>
      </w:r>
    </w:p>
    <w:tbl>
      <w:tblPr>
        <w:tblStyle w:val="Grilledutableau"/>
        <w:bidiVisual/>
        <w:tblW w:w="0" w:type="auto"/>
        <w:tblLook w:val="04A0"/>
      </w:tblPr>
      <w:tblGrid>
        <w:gridCol w:w="976"/>
        <w:gridCol w:w="753"/>
        <w:gridCol w:w="754"/>
        <w:gridCol w:w="754"/>
        <w:gridCol w:w="755"/>
        <w:gridCol w:w="755"/>
        <w:gridCol w:w="755"/>
        <w:gridCol w:w="755"/>
        <w:gridCol w:w="755"/>
        <w:gridCol w:w="755"/>
        <w:gridCol w:w="755"/>
      </w:tblGrid>
      <w:tr w:rsidR="00037D1C" w:rsidRPr="00214289" w:rsidTr="00037D1C">
        <w:tc>
          <w:tcPr>
            <w:tcW w:w="767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الفترة</w:t>
            </w:r>
          </w:p>
        </w:tc>
        <w:tc>
          <w:tcPr>
            <w:tcW w:w="767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9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037D1C" w:rsidRPr="00214289" w:rsidTr="00037D1C">
        <w:tc>
          <w:tcPr>
            <w:tcW w:w="767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المبيعات</w:t>
            </w:r>
          </w:p>
        </w:tc>
        <w:tc>
          <w:tcPr>
            <w:tcW w:w="767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110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120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130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145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138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162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170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167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195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198</w:t>
            </w:r>
          </w:p>
        </w:tc>
      </w:tr>
    </w:tbl>
    <w:p w:rsidR="00037D1C" w:rsidRPr="00214289" w:rsidRDefault="00037D1C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المطلوب:  </w:t>
      </w:r>
    </w:p>
    <w:p w:rsidR="00037D1C" w:rsidRPr="00214289" w:rsidRDefault="00037D1C" w:rsidP="00012EB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lastRenderedPageBreak/>
        <w:t>حساب معامل الارتباط بين المبيعات والزمن؟</w:t>
      </w:r>
    </w:p>
    <w:p w:rsidR="00FB14A7" w:rsidRPr="00214289" w:rsidRDefault="00037D1C" w:rsidP="00012EB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تقدير مبيعات السنة المقب</w:t>
      </w:r>
      <w:r w:rsid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لة باستخدام طريقة الاتجاه العام؟</w:t>
      </w:r>
    </w:p>
    <w:p w:rsidR="00BE0CEF" w:rsidRPr="00214289" w:rsidRDefault="00BE0CEF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تمرين رقم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</w:t>
      </w:r>
      <w:r w:rsidR="00855A93" w:rsidRPr="00855A93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4</w:t>
      </w:r>
      <w:r w:rsidR="00855A93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: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إليك الكميات المباعة من المنتج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</w:rPr>
        <w:t> 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" </w:t>
      </w:r>
      <w:r w:rsidR="00855A93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ب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" خلال الفترة الممتدة مابين جانفي إلى ماي 20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5 بآلاف الوحدات كما يوضحه الجدول الموالي:</w:t>
      </w:r>
    </w:p>
    <w:tbl>
      <w:tblPr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7"/>
        <w:gridCol w:w="1092"/>
        <w:gridCol w:w="1094"/>
        <w:gridCol w:w="1204"/>
        <w:gridCol w:w="1206"/>
        <w:gridCol w:w="2699"/>
      </w:tblGrid>
      <w:tr w:rsidR="00214289" w:rsidRPr="00214289" w:rsidTr="00822912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ماي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افريل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مارس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فيفري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جانفي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المدة </w:t>
            </w: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 xml:space="preserve"> (x)</w:t>
            </w:r>
          </w:p>
        </w:tc>
      </w:tr>
      <w:tr w:rsidR="00214289" w:rsidRPr="00214289" w:rsidTr="00822912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الكميات المباعة </w:t>
            </w: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(y)</w:t>
            </w:r>
          </w:p>
        </w:tc>
      </w:tr>
    </w:tbl>
    <w:p w:rsidR="00BE0CEF" w:rsidRPr="00214289" w:rsidRDefault="00BE0CEF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214289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  <w:t>المطلوب :</w:t>
      </w:r>
    </w:p>
    <w:p w:rsidR="00BE0CEF" w:rsidRDefault="00BE0CEF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</w:pP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          إيجاد الكمية المتوقع بيعها خلال شهر أكتوبر 20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5 بالاعتماد على طريقة المربعات الصغرى. </w:t>
      </w:r>
    </w:p>
    <w:p w:rsidR="0077213B" w:rsidRDefault="0077213B" w:rsidP="0077213B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</w:pPr>
      <w:r w:rsidRPr="0077213B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تمرين رقم 5:</w:t>
      </w:r>
    </w:p>
    <w:p w:rsidR="0077213B" w:rsidRPr="0077213B" w:rsidRDefault="0077213B" w:rsidP="0077213B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5274310" cy="2657475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DB6" w:rsidRPr="00214289" w:rsidRDefault="002F5DB6" w:rsidP="002F5D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</w:p>
    <w:p w:rsidR="003C0E61" w:rsidRPr="00214289" w:rsidRDefault="003C0E61" w:rsidP="00012EBF">
      <w:pPr>
        <w:bidi/>
        <w:jc w:val="both"/>
        <w:rPr>
          <w:sz w:val="32"/>
          <w:szCs w:val="32"/>
        </w:rPr>
      </w:pPr>
    </w:p>
    <w:sectPr w:rsidR="003C0E61" w:rsidRPr="00214289" w:rsidSect="00B5071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08E" w:rsidRDefault="00D2608E" w:rsidP="00214289">
      <w:pPr>
        <w:spacing w:after="0" w:line="240" w:lineRule="auto"/>
      </w:pPr>
      <w:r>
        <w:separator/>
      </w:r>
    </w:p>
  </w:endnote>
  <w:endnote w:type="continuationSeparator" w:id="1">
    <w:p w:rsidR="00D2608E" w:rsidRDefault="00D2608E" w:rsidP="0021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974"/>
      <w:docPartObj>
        <w:docPartGallery w:val="Page Numbers (Bottom of Page)"/>
        <w:docPartUnique/>
      </w:docPartObj>
    </w:sdtPr>
    <w:sdtContent>
      <w:p w:rsidR="00214289" w:rsidRDefault="00C552BA">
        <w:pPr>
          <w:pStyle w:val="Pieddepage"/>
          <w:jc w:val="center"/>
        </w:pPr>
        <w:fldSimple w:instr=" PAGE   \* MERGEFORMAT ">
          <w:r w:rsidR="0077213B">
            <w:rPr>
              <w:noProof/>
            </w:rPr>
            <w:t>2</w:t>
          </w:r>
        </w:fldSimple>
      </w:p>
    </w:sdtContent>
  </w:sdt>
  <w:p w:rsidR="00214289" w:rsidRDefault="002142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08E" w:rsidRDefault="00D2608E" w:rsidP="00214289">
      <w:pPr>
        <w:spacing w:after="0" w:line="240" w:lineRule="auto"/>
      </w:pPr>
      <w:r>
        <w:separator/>
      </w:r>
    </w:p>
  </w:footnote>
  <w:footnote w:type="continuationSeparator" w:id="1">
    <w:p w:rsidR="00D2608E" w:rsidRDefault="00D2608E" w:rsidP="0021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71" w:rsidRDefault="00F75771" w:rsidP="00F75771">
    <w:pPr>
      <w:pStyle w:val="En-tte"/>
      <w:jc w:val="right"/>
      <w:rPr>
        <w:lang w:bidi="ar-DZ"/>
      </w:rPr>
    </w:pPr>
    <w:r>
      <w:rPr>
        <w:rFonts w:hint="cs"/>
        <w:rtl/>
        <w:lang w:bidi="ar-DZ"/>
      </w:rPr>
      <w:t xml:space="preserve">السنة ثالثة محاسبة وجباية                                                                         السنة الجامعية 2020/2021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1783"/>
    <w:multiLevelType w:val="hybridMultilevel"/>
    <w:tmpl w:val="91282C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D48FB"/>
    <w:multiLevelType w:val="hybridMultilevel"/>
    <w:tmpl w:val="CE8455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CEF"/>
    <w:rsid w:val="00012EBF"/>
    <w:rsid w:val="00037D1C"/>
    <w:rsid w:val="00214289"/>
    <w:rsid w:val="00236186"/>
    <w:rsid w:val="002F5DB6"/>
    <w:rsid w:val="003C0E61"/>
    <w:rsid w:val="00670BE5"/>
    <w:rsid w:val="0077213B"/>
    <w:rsid w:val="00855A93"/>
    <w:rsid w:val="00B50711"/>
    <w:rsid w:val="00BC4E5A"/>
    <w:rsid w:val="00BE0CEF"/>
    <w:rsid w:val="00C552BA"/>
    <w:rsid w:val="00CF70B6"/>
    <w:rsid w:val="00D2608E"/>
    <w:rsid w:val="00D636AC"/>
    <w:rsid w:val="00EB074D"/>
    <w:rsid w:val="00EE12D8"/>
    <w:rsid w:val="00F14159"/>
    <w:rsid w:val="00F65FBD"/>
    <w:rsid w:val="00F75771"/>
    <w:rsid w:val="00FB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12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0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14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4289"/>
  </w:style>
  <w:style w:type="paragraph" w:styleId="Pieddepage">
    <w:name w:val="footer"/>
    <w:basedOn w:val="Normal"/>
    <w:link w:val="PieddepageCar"/>
    <w:uiPriority w:val="99"/>
    <w:unhideWhenUsed/>
    <w:rsid w:val="00214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289"/>
  </w:style>
  <w:style w:type="paragraph" w:styleId="Textedebulles">
    <w:name w:val="Balloon Text"/>
    <w:basedOn w:val="Normal"/>
    <w:link w:val="TextedebullesCar"/>
    <w:uiPriority w:val="99"/>
    <w:semiHidden/>
    <w:unhideWhenUsed/>
    <w:rsid w:val="0077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LAPOTOP</dc:creator>
  <cp:keywords/>
  <dc:description/>
  <cp:lastModifiedBy>LAPOTOP</cp:lastModifiedBy>
  <cp:revision>16</cp:revision>
  <dcterms:created xsi:type="dcterms:W3CDTF">2021-01-20T20:49:00Z</dcterms:created>
  <dcterms:modified xsi:type="dcterms:W3CDTF">2021-04-14T06:45:00Z</dcterms:modified>
</cp:coreProperties>
</file>