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07" w:rsidRDefault="00422A8C">
      <w:pPr>
        <w:rPr>
          <w:rFonts w:asciiTheme="majorBidi" w:hAnsiTheme="majorBidi" w:cstheme="majorBidi"/>
          <w:sz w:val="28"/>
          <w:szCs w:val="28"/>
        </w:rPr>
      </w:pPr>
      <w:r>
        <w:rPr>
          <w:rFonts w:asciiTheme="majorBidi" w:hAnsiTheme="majorBidi" w:cstheme="majorBidi"/>
          <w:sz w:val="28"/>
          <w:szCs w:val="28"/>
        </w:rPr>
        <w:t xml:space="preserve">Université Mohamed </w:t>
      </w:r>
      <w:proofErr w:type="spellStart"/>
      <w:r>
        <w:rPr>
          <w:rFonts w:asciiTheme="majorBidi" w:hAnsiTheme="majorBidi" w:cstheme="majorBidi"/>
          <w:sz w:val="28"/>
          <w:szCs w:val="28"/>
        </w:rPr>
        <w:t>Khider</w:t>
      </w:r>
      <w:proofErr w:type="spellEnd"/>
      <w:r>
        <w:rPr>
          <w:rFonts w:asciiTheme="majorBidi" w:hAnsiTheme="majorBidi" w:cstheme="majorBidi"/>
          <w:sz w:val="28"/>
          <w:szCs w:val="28"/>
        </w:rPr>
        <w:t xml:space="preserve"> </w:t>
      </w:r>
      <w:proofErr w:type="gramStart"/>
      <w:r>
        <w:rPr>
          <w:rFonts w:asciiTheme="majorBidi" w:hAnsiTheme="majorBidi" w:cstheme="majorBidi"/>
          <w:sz w:val="28"/>
          <w:szCs w:val="28"/>
        </w:rPr>
        <w:t>( Biskra</w:t>
      </w:r>
      <w:proofErr w:type="gramEnd"/>
      <w:r>
        <w:rPr>
          <w:rFonts w:asciiTheme="majorBidi" w:hAnsiTheme="majorBidi" w:cstheme="majorBidi"/>
          <w:sz w:val="28"/>
          <w:szCs w:val="28"/>
        </w:rPr>
        <w:t xml:space="preserve"> )           Année universitaire : 2020/2021</w:t>
      </w:r>
    </w:p>
    <w:p w:rsidR="00422A8C" w:rsidRDefault="00422A8C">
      <w:pPr>
        <w:rPr>
          <w:rFonts w:asciiTheme="majorBidi" w:hAnsiTheme="majorBidi" w:cstheme="majorBidi"/>
          <w:sz w:val="28"/>
          <w:szCs w:val="28"/>
        </w:rPr>
      </w:pPr>
      <w:r>
        <w:rPr>
          <w:rFonts w:asciiTheme="majorBidi" w:hAnsiTheme="majorBidi" w:cstheme="majorBidi"/>
          <w:sz w:val="28"/>
          <w:szCs w:val="28"/>
        </w:rPr>
        <w:t>Filière : Français                                              Semestre : 02</w:t>
      </w:r>
    </w:p>
    <w:p w:rsidR="00422A8C" w:rsidRDefault="00422A8C" w:rsidP="00E959F7">
      <w:pPr>
        <w:rPr>
          <w:rFonts w:asciiTheme="majorBidi" w:hAnsiTheme="majorBidi" w:cstheme="majorBidi"/>
          <w:sz w:val="28"/>
          <w:szCs w:val="28"/>
        </w:rPr>
      </w:pPr>
      <w:r>
        <w:rPr>
          <w:rFonts w:asciiTheme="majorBidi" w:hAnsiTheme="majorBidi" w:cstheme="majorBidi"/>
          <w:sz w:val="28"/>
          <w:szCs w:val="28"/>
        </w:rPr>
        <w:t>Module : Psychologie cognitive                       Niveau : 3 LMD</w:t>
      </w:r>
    </w:p>
    <w:p w:rsidR="00E959F7" w:rsidRPr="00891A34" w:rsidRDefault="00E959F7" w:rsidP="00E959F7">
      <w:pPr>
        <w:rPr>
          <w:rFonts w:ascii="Script MT Bold" w:hAnsi="Script MT Bold" w:cstheme="majorBidi"/>
          <w:sz w:val="28"/>
          <w:szCs w:val="28"/>
        </w:rPr>
      </w:pPr>
      <w:r>
        <w:rPr>
          <w:rFonts w:asciiTheme="majorBidi" w:hAnsiTheme="majorBidi" w:cstheme="majorBidi"/>
          <w:sz w:val="28"/>
          <w:szCs w:val="28"/>
        </w:rPr>
        <w:t>Enseignant :</w:t>
      </w:r>
      <w:r>
        <w:rPr>
          <w:rFonts w:ascii="Script MT Bold" w:hAnsi="Script MT Bold" w:cstheme="majorBidi"/>
          <w:sz w:val="28"/>
          <w:szCs w:val="28"/>
        </w:rPr>
        <w:t xml:space="preserve"> </w:t>
      </w:r>
      <w:r w:rsidR="00891A34" w:rsidRPr="00891A34">
        <w:rPr>
          <w:rFonts w:ascii="Script MT Bold" w:hAnsi="Script MT Bold" w:cstheme="majorBidi"/>
          <w:sz w:val="28"/>
          <w:szCs w:val="28"/>
        </w:rPr>
        <w:t xml:space="preserve">M. </w:t>
      </w:r>
      <w:proofErr w:type="spellStart"/>
      <w:r w:rsidR="00891A34" w:rsidRPr="00891A34">
        <w:rPr>
          <w:rFonts w:ascii="Script MT Bold" w:hAnsi="Script MT Bold" w:cstheme="majorBidi"/>
          <w:sz w:val="28"/>
          <w:szCs w:val="28"/>
        </w:rPr>
        <w:t>Mansouri</w:t>
      </w:r>
      <w:proofErr w:type="spellEnd"/>
    </w:p>
    <w:p w:rsidR="00E959F7" w:rsidRDefault="00E959F7" w:rsidP="00E959F7">
      <w:pPr>
        <w:rPr>
          <w:rFonts w:asciiTheme="majorBidi" w:hAnsiTheme="majorBidi" w:cstheme="majorBidi"/>
          <w:b/>
          <w:bCs/>
          <w:sz w:val="28"/>
          <w:szCs w:val="28"/>
        </w:rPr>
      </w:pPr>
      <w:r>
        <w:rPr>
          <w:rFonts w:asciiTheme="majorBidi" w:hAnsiTheme="majorBidi" w:cstheme="majorBidi"/>
          <w:b/>
          <w:bCs/>
          <w:sz w:val="28"/>
          <w:szCs w:val="28"/>
        </w:rPr>
        <w:t>…………………………………………………………………………………….</w:t>
      </w:r>
    </w:p>
    <w:p w:rsidR="00E959F7" w:rsidRDefault="00E959F7" w:rsidP="00E959F7">
      <w:pPr>
        <w:rPr>
          <w:rFonts w:asciiTheme="majorBidi" w:hAnsiTheme="majorBidi" w:cstheme="majorBidi"/>
          <w:b/>
          <w:bCs/>
          <w:sz w:val="32"/>
          <w:szCs w:val="32"/>
        </w:rPr>
      </w:pPr>
      <w:r w:rsidRPr="00E959F7">
        <w:rPr>
          <w:rFonts w:asciiTheme="majorBidi" w:hAnsiTheme="majorBidi" w:cstheme="majorBidi"/>
          <w:b/>
          <w:bCs/>
          <w:sz w:val="28"/>
          <w:szCs w:val="28"/>
          <w:highlight w:val="yellow"/>
        </w:rPr>
        <w:t xml:space="preserve">Suite </w:t>
      </w:r>
      <w:proofErr w:type="gramStart"/>
      <w:r w:rsidRPr="00E959F7">
        <w:rPr>
          <w:rFonts w:asciiTheme="majorBidi" w:hAnsiTheme="majorBidi" w:cstheme="majorBidi"/>
          <w:b/>
          <w:bCs/>
          <w:sz w:val="28"/>
          <w:szCs w:val="28"/>
          <w:highlight w:val="yellow"/>
        </w:rPr>
        <w:t>( cours</w:t>
      </w:r>
      <w:proofErr w:type="gramEnd"/>
      <w:r w:rsidRPr="00E959F7">
        <w:rPr>
          <w:rFonts w:asciiTheme="majorBidi" w:hAnsiTheme="majorBidi" w:cstheme="majorBidi"/>
          <w:b/>
          <w:bCs/>
          <w:sz w:val="28"/>
          <w:szCs w:val="28"/>
          <w:highlight w:val="yellow"/>
        </w:rPr>
        <w:t xml:space="preserve"> 9 )</w:t>
      </w:r>
      <w:r w:rsidR="00B97B0E">
        <w:rPr>
          <w:rFonts w:asciiTheme="majorBidi" w:hAnsiTheme="majorBidi" w:cstheme="majorBidi"/>
          <w:b/>
          <w:bCs/>
          <w:sz w:val="28"/>
          <w:szCs w:val="28"/>
        </w:rPr>
        <w:t xml:space="preserve"> :      </w:t>
      </w:r>
      <w:r w:rsidR="00B97B0E">
        <w:rPr>
          <w:rFonts w:asciiTheme="majorBidi" w:hAnsiTheme="majorBidi" w:cstheme="majorBidi"/>
          <w:b/>
          <w:bCs/>
          <w:sz w:val="32"/>
          <w:szCs w:val="32"/>
        </w:rPr>
        <w:t>La théorie sociale cognitive</w:t>
      </w:r>
    </w:p>
    <w:p w:rsidR="00DB36C0" w:rsidRPr="00DB36C0" w:rsidRDefault="00DB36C0" w:rsidP="00DB36C0">
      <w:pPr>
        <w:spacing w:line="240" w:lineRule="auto"/>
        <w:jc w:val="both"/>
        <w:rPr>
          <w:rFonts w:asciiTheme="majorBidi" w:hAnsiTheme="majorBidi" w:cstheme="majorBidi"/>
          <w:sz w:val="28"/>
          <w:szCs w:val="28"/>
        </w:rPr>
      </w:pPr>
      <w:r w:rsidRPr="00DB36C0">
        <w:rPr>
          <w:rFonts w:asciiTheme="majorBidi" w:hAnsiTheme="majorBidi" w:cstheme="majorBidi"/>
          <w:sz w:val="28"/>
          <w:szCs w:val="28"/>
        </w:rPr>
        <w:t xml:space="preserve">Miller et </w:t>
      </w:r>
      <w:proofErr w:type="spellStart"/>
      <w:r w:rsidRPr="00DB36C0">
        <w:rPr>
          <w:rFonts w:asciiTheme="majorBidi" w:hAnsiTheme="majorBidi" w:cstheme="majorBidi"/>
          <w:sz w:val="28"/>
          <w:szCs w:val="28"/>
        </w:rPr>
        <w:t>Dollard</w:t>
      </w:r>
      <w:proofErr w:type="spellEnd"/>
      <w:r w:rsidRPr="00DB36C0">
        <w:rPr>
          <w:rFonts w:asciiTheme="majorBidi" w:hAnsiTheme="majorBidi" w:cstheme="majorBidi"/>
          <w:sz w:val="28"/>
          <w:szCs w:val="28"/>
        </w:rPr>
        <w:t xml:space="preserve"> ajouteront que, le comportement est également motivé par certains besoins (drive), et que la réponse d’un organisme peut servir de stimulus à un autre. Les travaux de Miller et de </w:t>
      </w:r>
      <w:proofErr w:type="spellStart"/>
      <w:r w:rsidRPr="00DB36C0">
        <w:rPr>
          <w:rFonts w:asciiTheme="majorBidi" w:hAnsiTheme="majorBidi" w:cstheme="majorBidi"/>
          <w:sz w:val="28"/>
          <w:szCs w:val="28"/>
        </w:rPr>
        <w:t>Dollard</w:t>
      </w:r>
      <w:proofErr w:type="spellEnd"/>
      <w:r w:rsidRPr="00DB36C0">
        <w:rPr>
          <w:rFonts w:asciiTheme="majorBidi" w:hAnsiTheme="majorBidi" w:cstheme="majorBidi"/>
          <w:sz w:val="28"/>
          <w:szCs w:val="28"/>
        </w:rPr>
        <w:t xml:space="preserve"> préparèrent la route à une avalanche de nouvelles versions de </w:t>
      </w:r>
      <w:smartTag w:uri="urn:schemas-microsoft-com:office:smarttags" w:element="PersonName">
        <w:smartTagPr>
          <w:attr w:name="ProductID" w:val="la TAS. Par"/>
        </w:smartTagPr>
        <w:r w:rsidRPr="00DB36C0">
          <w:rPr>
            <w:rFonts w:asciiTheme="majorBidi" w:hAnsiTheme="majorBidi" w:cstheme="majorBidi"/>
            <w:sz w:val="28"/>
            <w:szCs w:val="28"/>
          </w:rPr>
          <w:t>la TAS. Par</w:t>
        </w:r>
      </w:smartTag>
      <w:r w:rsidRPr="00DB36C0">
        <w:rPr>
          <w:rFonts w:asciiTheme="majorBidi" w:hAnsiTheme="majorBidi" w:cstheme="majorBidi"/>
          <w:sz w:val="28"/>
          <w:szCs w:val="28"/>
        </w:rPr>
        <w:t xml:space="preserve"> la suite, on passa du développement de modèles théoriques aux études empiriques.</w:t>
      </w:r>
    </w:p>
    <w:p w:rsidR="00DB36C0" w:rsidRPr="00DB36C0" w:rsidRDefault="00DB36C0" w:rsidP="00DB36C0">
      <w:pPr>
        <w:spacing w:line="240" w:lineRule="auto"/>
        <w:jc w:val="both"/>
        <w:rPr>
          <w:rFonts w:asciiTheme="majorBidi" w:hAnsiTheme="majorBidi" w:cstheme="majorBidi"/>
          <w:sz w:val="28"/>
          <w:szCs w:val="28"/>
        </w:rPr>
      </w:pPr>
      <w:r w:rsidRPr="00DB36C0">
        <w:rPr>
          <w:rFonts w:asciiTheme="majorBidi" w:hAnsiTheme="majorBidi" w:cstheme="majorBidi"/>
          <w:sz w:val="28"/>
          <w:szCs w:val="28"/>
        </w:rPr>
        <w:t xml:space="preserve">Contrairement aux béhavioristes, </w:t>
      </w:r>
      <w:smartTag w:uri="urn:schemas-microsoft-com:office:smarttags" w:element="PersonName">
        <w:smartTagPr>
          <w:attr w:name="ProductID" w:val="La TAS"/>
        </w:smartTagPr>
        <w:r w:rsidRPr="00DB36C0">
          <w:rPr>
            <w:rFonts w:asciiTheme="majorBidi" w:hAnsiTheme="majorBidi" w:cstheme="majorBidi"/>
            <w:sz w:val="28"/>
            <w:szCs w:val="28"/>
          </w:rPr>
          <w:t>la TAS</w:t>
        </w:r>
      </w:smartTag>
      <w:r w:rsidRPr="00DB36C0">
        <w:rPr>
          <w:rFonts w:asciiTheme="majorBidi" w:hAnsiTheme="majorBidi" w:cstheme="majorBidi"/>
          <w:sz w:val="28"/>
          <w:szCs w:val="28"/>
        </w:rPr>
        <w:t xml:space="preserve"> spécifiait l’existence d’un  médiateur entre  le stimulus et la réponse, affirmant le rôle prépondér</w:t>
      </w:r>
      <w:r w:rsidR="00AC4F55">
        <w:rPr>
          <w:rFonts w:asciiTheme="majorBidi" w:hAnsiTheme="majorBidi" w:cstheme="majorBidi"/>
          <w:sz w:val="28"/>
          <w:szCs w:val="28"/>
        </w:rPr>
        <w:t xml:space="preserve">ant de la cognition dans cette </w:t>
      </w:r>
      <w:r w:rsidRPr="00DB36C0">
        <w:rPr>
          <w:rFonts w:asciiTheme="majorBidi" w:hAnsiTheme="majorBidi" w:cstheme="majorBidi"/>
          <w:sz w:val="28"/>
          <w:szCs w:val="28"/>
        </w:rPr>
        <w:t>approche: l’être humain n’est plus seulement un jouet de l’environnement mais un individu possédant un système de contrôle préval</w:t>
      </w:r>
      <w:r w:rsidR="00891A34">
        <w:rPr>
          <w:rFonts w:asciiTheme="majorBidi" w:hAnsiTheme="majorBidi" w:cstheme="majorBidi"/>
          <w:sz w:val="28"/>
          <w:szCs w:val="28"/>
        </w:rPr>
        <w:t>a</w:t>
      </w:r>
      <w:r w:rsidRPr="00DB36C0">
        <w:rPr>
          <w:rFonts w:asciiTheme="majorBidi" w:hAnsiTheme="majorBidi" w:cstheme="majorBidi"/>
          <w:sz w:val="28"/>
          <w:szCs w:val="28"/>
        </w:rPr>
        <w:t xml:space="preserve">nt sur une réponse comportementale face à un stimulus. Même s’il existe différentes versions de </w:t>
      </w:r>
      <w:smartTag w:uri="urn:schemas-microsoft-com:office:smarttags" w:element="PersonName">
        <w:smartTagPr>
          <w:attr w:name="ProductID" w:val="La TAS"/>
        </w:smartTagPr>
        <w:r w:rsidRPr="00DB36C0">
          <w:rPr>
            <w:rFonts w:asciiTheme="majorBidi" w:hAnsiTheme="majorBidi" w:cstheme="majorBidi"/>
            <w:sz w:val="28"/>
            <w:szCs w:val="28"/>
          </w:rPr>
          <w:t>la TAS</w:t>
        </w:r>
      </w:smartTag>
      <w:r w:rsidRPr="00DB36C0">
        <w:rPr>
          <w:rFonts w:asciiTheme="majorBidi" w:hAnsiTheme="majorBidi" w:cstheme="majorBidi"/>
          <w:sz w:val="28"/>
          <w:szCs w:val="28"/>
        </w:rPr>
        <w:t>, toutes s’entendent sur trois principes de base :</w:t>
      </w:r>
    </w:p>
    <w:p w:rsidR="00DB36C0" w:rsidRPr="005371C3" w:rsidRDefault="00DB36C0" w:rsidP="00DB36C0">
      <w:pPr>
        <w:pStyle w:val="En-ttedetabledesmatires"/>
        <w:rPr>
          <w:rFonts w:asciiTheme="majorBidi" w:hAnsiTheme="majorBidi" w:cstheme="majorBidi"/>
          <w:b w:val="0"/>
          <w:bCs w:val="0"/>
          <w:lang w:val="fr-FR"/>
        </w:rPr>
      </w:pPr>
      <w:bookmarkStart w:id="0" w:name="_Toc193470798"/>
      <w:bookmarkStart w:id="1" w:name="_Toc193470982"/>
      <w:r w:rsidRPr="005371C3">
        <w:rPr>
          <w:rFonts w:asciiTheme="majorBidi" w:eastAsia="Calibri" w:hAnsiTheme="majorBidi" w:cstheme="majorBidi"/>
          <w:b w:val="0"/>
          <w:bCs w:val="0"/>
          <w:lang w:val="fr-FR"/>
        </w:rPr>
        <w:t>b-</w:t>
      </w:r>
      <w:r w:rsidR="005371C3" w:rsidRPr="005371C3">
        <w:rPr>
          <w:rFonts w:asciiTheme="majorBidi" w:eastAsia="Calibri" w:hAnsiTheme="majorBidi" w:cstheme="majorBidi"/>
          <w:b w:val="0"/>
          <w:bCs w:val="0"/>
          <w:lang w:val="fr-FR"/>
        </w:rPr>
        <w:t xml:space="preserve"> </w:t>
      </w:r>
      <w:r w:rsidRPr="005371C3">
        <w:rPr>
          <w:rFonts w:asciiTheme="majorBidi" w:eastAsia="Calibri" w:hAnsiTheme="majorBidi" w:cstheme="majorBidi"/>
          <w:b w:val="0"/>
          <w:bCs w:val="0"/>
          <w:lang w:val="fr-FR"/>
        </w:rPr>
        <w:t>ASPECTS FONDAMENTAUX</w:t>
      </w:r>
      <w:bookmarkEnd w:id="0"/>
      <w:bookmarkEnd w:id="1"/>
      <w:r w:rsidRPr="005371C3">
        <w:rPr>
          <w:rFonts w:asciiTheme="majorBidi" w:hAnsiTheme="majorBidi" w:cstheme="majorBidi"/>
          <w:b w:val="0"/>
          <w:bCs w:val="0"/>
          <w:lang w:val="fr-FR"/>
        </w:rPr>
        <w:t xml:space="preserve"> </w:t>
      </w:r>
      <w:r w:rsidRPr="005371C3">
        <w:rPr>
          <w:rFonts w:asciiTheme="majorBidi" w:eastAsia="Calibri" w:hAnsiTheme="majorBidi" w:cstheme="majorBidi"/>
          <w:b w:val="0"/>
          <w:bCs w:val="0"/>
          <w:lang w:val="fr-FR"/>
        </w:rPr>
        <w:t>DE LA THÉORIE SOCIALE</w:t>
      </w:r>
      <w:bookmarkStart w:id="2" w:name="_Toc193470799"/>
      <w:bookmarkStart w:id="3" w:name="_Toc193470983"/>
      <w:r w:rsidR="00EC4E55" w:rsidRPr="005371C3">
        <w:rPr>
          <w:rFonts w:asciiTheme="majorBidi" w:eastAsia="Calibri" w:hAnsiTheme="majorBidi" w:cstheme="majorBidi"/>
          <w:b w:val="0"/>
          <w:bCs w:val="0"/>
          <w:lang w:val="fr-FR"/>
        </w:rPr>
        <w:t xml:space="preserve"> </w:t>
      </w:r>
      <w:r w:rsidRPr="005371C3">
        <w:rPr>
          <w:rFonts w:asciiTheme="majorBidi" w:hAnsiTheme="majorBidi" w:cstheme="majorBidi"/>
          <w:b w:val="0"/>
          <w:bCs w:val="0"/>
          <w:lang w:val="fr-FR"/>
        </w:rPr>
        <w:t xml:space="preserve">COGNITIVE </w:t>
      </w:r>
      <w:bookmarkEnd w:id="2"/>
      <w:bookmarkEnd w:id="3"/>
    </w:p>
    <w:p w:rsidR="00DB36C0" w:rsidRDefault="00DB36C0" w:rsidP="00DB36C0">
      <w:pPr>
        <w:spacing w:line="240" w:lineRule="auto"/>
        <w:jc w:val="both"/>
        <w:rPr>
          <w:rFonts w:asciiTheme="majorBidi" w:hAnsiTheme="majorBidi" w:cstheme="majorBidi"/>
          <w:sz w:val="28"/>
          <w:szCs w:val="28"/>
        </w:rPr>
      </w:pPr>
      <w:r w:rsidRPr="00DB36C0">
        <w:rPr>
          <w:rFonts w:asciiTheme="majorBidi" w:hAnsiTheme="majorBidi" w:cstheme="majorBidi"/>
          <w:sz w:val="28"/>
          <w:szCs w:val="28"/>
        </w:rPr>
        <w:t xml:space="preserve">La théorie sociale cognitive est basée sur la notion d’interaction. </w:t>
      </w:r>
      <w:proofErr w:type="spellStart"/>
      <w:r w:rsidRPr="00DB36C0">
        <w:rPr>
          <w:rFonts w:asciiTheme="majorBidi" w:hAnsiTheme="majorBidi" w:cstheme="majorBidi"/>
          <w:sz w:val="28"/>
          <w:szCs w:val="28"/>
        </w:rPr>
        <w:t>Bandura</w:t>
      </w:r>
      <w:proofErr w:type="spellEnd"/>
      <w:r w:rsidRPr="00DB36C0">
        <w:rPr>
          <w:rFonts w:asciiTheme="majorBidi" w:hAnsiTheme="majorBidi" w:cstheme="majorBidi"/>
          <w:sz w:val="28"/>
          <w:szCs w:val="28"/>
        </w:rPr>
        <w:t xml:space="preserve"> (1986) précise qu’il ne suffit pas de considérer le comportement comme étant fonction des e</w:t>
      </w:r>
      <w:r w:rsidR="00A64CE1">
        <w:rPr>
          <w:rFonts w:asciiTheme="majorBidi" w:hAnsiTheme="majorBidi" w:cstheme="majorBidi"/>
          <w:sz w:val="28"/>
          <w:szCs w:val="28"/>
        </w:rPr>
        <w:t>ffets réciproques des facteurs p</w:t>
      </w:r>
      <w:r w:rsidRPr="00DB36C0">
        <w:rPr>
          <w:rFonts w:asciiTheme="majorBidi" w:hAnsiTheme="majorBidi" w:cstheme="majorBidi"/>
          <w:sz w:val="28"/>
          <w:szCs w:val="28"/>
        </w:rPr>
        <w:t>ersonnels et environnementaux les uns sur les autres mais que l’interaction doit être comprise comme un déterminisme réciproque des facteurs personnels, environnementaux et des comportemen</w:t>
      </w:r>
      <w:r w:rsidR="00A64CE1">
        <w:rPr>
          <w:rFonts w:asciiTheme="majorBidi" w:hAnsiTheme="majorBidi" w:cstheme="majorBidi"/>
          <w:sz w:val="28"/>
          <w:szCs w:val="28"/>
        </w:rPr>
        <w:t>ts selon le schéma de la figure ci-dessous.</w:t>
      </w:r>
    </w:p>
    <w:p w:rsidR="004152D6" w:rsidRDefault="004152D6" w:rsidP="00DB36C0">
      <w:pPr>
        <w:spacing w:line="240" w:lineRule="auto"/>
        <w:jc w:val="both"/>
        <w:rPr>
          <w:rFonts w:asciiTheme="majorBidi" w:hAnsiTheme="majorBidi" w:cstheme="majorBidi"/>
          <w:sz w:val="28"/>
          <w:szCs w:val="28"/>
        </w:rPr>
      </w:pPr>
    </w:p>
    <w:p w:rsidR="004152D6" w:rsidRPr="005371C3" w:rsidRDefault="004152D6" w:rsidP="00DB36C0">
      <w:pPr>
        <w:spacing w:line="240" w:lineRule="auto"/>
        <w:jc w:val="both"/>
        <w:rPr>
          <w:rFonts w:asciiTheme="majorBidi" w:hAnsiTheme="majorBidi" w:cstheme="majorBidi"/>
          <w:b/>
          <w:bCs/>
          <w:sz w:val="28"/>
          <w:szCs w:val="28"/>
        </w:rPr>
      </w:pPr>
    </w:p>
    <w:p w:rsidR="004152D6" w:rsidRDefault="004152D6" w:rsidP="00DB36C0">
      <w:pPr>
        <w:spacing w:line="240" w:lineRule="auto"/>
        <w:jc w:val="both"/>
        <w:rPr>
          <w:rFonts w:asciiTheme="majorBidi" w:hAnsiTheme="majorBidi" w:cstheme="majorBidi"/>
          <w:sz w:val="28"/>
          <w:szCs w:val="28"/>
        </w:rPr>
      </w:pPr>
    </w:p>
    <w:p w:rsidR="004152D6" w:rsidRPr="00DB36C0" w:rsidRDefault="004152D6" w:rsidP="00DB36C0">
      <w:pPr>
        <w:spacing w:line="240" w:lineRule="auto"/>
        <w:jc w:val="both"/>
        <w:rPr>
          <w:rFonts w:asciiTheme="majorBidi" w:hAnsiTheme="majorBidi" w:cstheme="majorBidi"/>
          <w:sz w:val="28"/>
          <w:szCs w:val="28"/>
        </w:rPr>
      </w:pPr>
    </w:p>
    <w:p w:rsidR="00DB36C0" w:rsidRDefault="00DB36C0" w:rsidP="00DB36C0">
      <w:pPr>
        <w:spacing w:line="240" w:lineRule="auto"/>
        <w:jc w:val="both"/>
        <w:rPr>
          <w:rFonts w:ascii="Arial" w:hAnsi="Arial"/>
          <w:sz w:val="32"/>
          <w:szCs w:val="32"/>
        </w:rPr>
      </w:pPr>
    </w:p>
    <w:p w:rsidR="005371C3" w:rsidRDefault="005371C3" w:rsidP="00DB36C0">
      <w:pPr>
        <w:spacing w:line="240" w:lineRule="auto"/>
        <w:jc w:val="both"/>
        <w:rPr>
          <w:rFonts w:ascii="Arial" w:hAnsi="Arial"/>
          <w:sz w:val="32"/>
          <w:szCs w:val="32"/>
        </w:rPr>
      </w:pPr>
    </w:p>
    <w:p w:rsidR="00DB36C0" w:rsidRPr="00951A7C" w:rsidRDefault="00DB36C0" w:rsidP="00DB36C0">
      <w:pPr>
        <w:jc w:val="both"/>
        <w:rPr>
          <w:rFonts w:asciiTheme="majorBidi" w:hAnsiTheme="majorBidi" w:cstheme="majorBidi"/>
          <w:sz w:val="32"/>
          <w:szCs w:val="32"/>
        </w:rPr>
      </w:pPr>
      <w:r w:rsidRPr="002F7BCC">
        <w:rPr>
          <w:rFonts w:ascii="Arial" w:hAnsi="Arial"/>
          <w:sz w:val="32"/>
          <w:szCs w:val="32"/>
        </w:rPr>
        <w:lastRenderedPageBreak/>
        <w:t>Figure1 :</w:t>
      </w:r>
      <w:r w:rsidR="00754CA7">
        <w:rPr>
          <w:rFonts w:ascii="Arial" w:hAnsi="Arial"/>
          <w:sz w:val="32"/>
          <w:szCs w:val="32"/>
        </w:rPr>
        <w:t xml:space="preserve"> </w:t>
      </w:r>
      <w:r w:rsidRPr="00951A7C">
        <w:rPr>
          <w:rFonts w:asciiTheme="majorBidi" w:hAnsiTheme="majorBidi" w:cstheme="majorBidi"/>
          <w:b/>
          <w:bCs/>
          <w:sz w:val="32"/>
          <w:szCs w:val="32"/>
        </w:rPr>
        <w:t>Schéma</w:t>
      </w:r>
      <w:r w:rsidR="00754CA7" w:rsidRPr="00951A7C">
        <w:rPr>
          <w:rFonts w:asciiTheme="majorBidi" w:hAnsiTheme="majorBidi" w:cstheme="majorBidi"/>
          <w:b/>
          <w:bCs/>
          <w:sz w:val="32"/>
          <w:szCs w:val="32"/>
        </w:rPr>
        <w:t xml:space="preserve"> des déterminismes </w:t>
      </w:r>
      <w:r w:rsidRPr="00951A7C">
        <w:rPr>
          <w:rFonts w:asciiTheme="majorBidi" w:hAnsiTheme="majorBidi" w:cstheme="majorBidi"/>
          <w:b/>
          <w:bCs/>
          <w:sz w:val="32"/>
          <w:szCs w:val="32"/>
        </w:rPr>
        <w:t xml:space="preserve">réciproques dans la </w:t>
      </w:r>
      <w:r w:rsidR="004152D6" w:rsidRPr="00951A7C">
        <w:rPr>
          <w:rFonts w:asciiTheme="majorBidi" w:hAnsiTheme="majorBidi" w:cstheme="majorBidi"/>
          <w:b/>
          <w:bCs/>
          <w:sz w:val="32"/>
          <w:szCs w:val="32"/>
        </w:rPr>
        <w:tab/>
      </w:r>
      <w:r w:rsidR="004152D6" w:rsidRPr="00951A7C">
        <w:rPr>
          <w:rFonts w:asciiTheme="majorBidi" w:hAnsiTheme="majorBidi" w:cstheme="majorBidi"/>
          <w:b/>
          <w:bCs/>
          <w:sz w:val="32"/>
          <w:szCs w:val="32"/>
        </w:rPr>
        <w:tab/>
      </w:r>
      <w:r w:rsidR="00951A7C">
        <w:rPr>
          <w:rFonts w:asciiTheme="majorBidi" w:hAnsiTheme="majorBidi" w:cstheme="majorBidi"/>
          <w:b/>
          <w:bCs/>
          <w:sz w:val="32"/>
          <w:szCs w:val="32"/>
        </w:rPr>
        <w:tab/>
      </w:r>
      <w:r w:rsidRPr="00951A7C">
        <w:rPr>
          <w:rFonts w:asciiTheme="majorBidi" w:hAnsiTheme="majorBidi" w:cstheme="majorBidi"/>
          <w:b/>
          <w:bCs/>
          <w:sz w:val="32"/>
          <w:szCs w:val="32"/>
        </w:rPr>
        <w:t xml:space="preserve">théorie </w:t>
      </w:r>
      <w:proofErr w:type="spellStart"/>
      <w:r w:rsidRPr="00951A7C">
        <w:rPr>
          <w:rFonts w:asciiTheme="majorBidi" w:hAnsiTheme="majorBidi" w:cstheme="majorBidi"/>
          <w:b/>
          <w:bCs/>
          <w:sz w:val="32"/>
          <w:szCs w:val="32"/>
        </w:rPr>
        <w:t>t.s.c</w:t>
      </w:r>
      <w:proofErr w:type="spellEnd"/>
    </w:p>
    <w:p w:rsidR="00DB36C0" w:rsidRPr="002F7BCC" w:rsidRDefault="009F5083" w:rsidP="00DB36C0">
      <w:pPr>
        <w:jc w:val="both"/>
        <w:rPr>
          <w:rFonts w:ascii="Arial" w:hAnsi="Arial"/>
          <w:sz w:val="16"/>
          <w:szCs w:val="16"/>
        </w:rPr>
      </w:pPr>
      <w:r>
        <w:rPr>
          <w:rFonts w:ascii="Arial" w:hAnsi="Arial"/>
          <w:sz w:val="16"/>
          <w:szCs w:val="16"/>
          <w:lang w:bidi="en-US"/>
        </w:rPr>
        <w:pict>
          <v:shapetype id="_x0000_t32" coordsize="21600,21600" o:spt="32" o:oned="t" path="m,l21600,21600e" filled="f">
            <v:path arrowok="t" fillok="f" o:connecttype="none"/>
            <o:lock v:ext="edit" shapetype="t"/>
          </v:shapetype>
          <v:shape id="_x0000_s1026" type="#_x0000_t32" style="position:absolute;left:0;text-align:left;margin-left:13.5pt;margin-top:20.7pt;width:51.75pt;height:105.75pt;flip:x;z-index:251660288" o:connectortype="straight">
            <v:stroke startarrow="block" endarrow="block"/>
          </v:shape>
        </w:pict>
      </w:r>
      <w:r w:rsidR="00DB36C0" w:rsidRPr="002F7BCC">
        <w:rPr>
          <w:rFonts w:ascii="Arial" w:hAnsi="Arial"/>
          <w:sz w:val="16"/>
          <w:szCs w:val="16"/>
        </w:rPr>
        <w:t xml:space="preserve">                             p     </w:t>
      </w:r>
    </w:p>
    <w:p w:rsidR="00DB36C0" w:rsidRPr="002F7BCC" w:rsidRDefault="009F5083" w:rsidP="00DB36C0">
      <w:pPr>
        <w:jc w:val="both"/>
        <w:rPr>
          <w:rFonts w:ascii="Arial" w:hAnsi="Arial"/>
          <w:sz w:val="18"/>
          <w:szCs w:val="18"/>
        </w:rPr>
      </w:pPr>
      <w:r>
        <w:rPr>
          <w:rFonts w:ascii="Arial" w:hAnsi="Arial"/>
          <w:sz w:val="18"/>
          <w:szCs w:val="18"/>
          <w:lang w:bidi="en-US"/>
        </w:rPr>
        <w:pict>
          <v:shape id="_x0000_s1027" type="#_x0000_t32" style="position:absolute;left:0;text-align:left;margin-left:70.5pt;margin-top:.1pt;width:69.75pt;height:101.25pt;z-index:251661312" o:connectortype="straight">
            <v:stroke startarrow="block" endarrow="block"/>
          </v:shape>
        </w:pict>
      </w:r>
      <w:r w:rsidR="00DB36C0" w:rsidRPr="002F7BCC">
        <w:rPr>
          <w:rFonts w:ascii="Arial" w:hAnsi="Arial"/>
          <w:sz w:val="18"/>
          <w:szCs w:val="18"/>
        </w:rPr>
        <w:t xml:space="preserve">                                                                                                P = personne</w:t>
      </w:r>
    </w:p>
    <w:p w:rsidR="00DB36C0" w:rsidRPr="002F7BCC" w:rsidRDefault="00DB36C0" w:rsidP="00DB36C0">
      <w:pPr>
        <w:jc w:val="both"/>
        <w:rPr>
          <w:rFonts w:ascii="Arial" w:hAnsi="Arial"/>
          <w:sz w:val="18"/>
          <w:szCs w:val="18"/>
        </w:rPr>
      </w:pPr>
      <w:r w:rsidRPr="002F7BCC">
        <w:rPr>
          <w:rFonts w:ascii="Arial" w:hAnsi="Arial"/>
          <w:sz w:val="18"/>
          <w:szCs w:val="18"/>
        </w:rPr>
        <w:t xml:space="preserve">                                                                                                C = comportement                                                                                                                                                                                   </w:t>
      </w:r>
    </w:p>
    <w:p w:rsidR="00DB36C0" w:rsidRPr="002F7BCC" w:rsidRDefault="00DB36C0" w:rsidP="00DB36C0">
      <w:pPr>
        <w:jc w:val="both"/>
        <w:rPr>
          <w:rFonts w:ascii="Arial" w:hAnsi="Arial"/>
          <w:sz w:val="18"/>
          <w:szCs w:val="18"/>
        </w:rPr>
      </w:pPr>
      <w:r w:rsidRPr="002F7BCC">
        <w:rPr>
          <w:rFonts w:ascii="Arial" w:hAnsi="Arial"/>
          <w:sz w:val="18"/>
          <w:szCs w:val="18"/>
        </w:rPr>
        <w:t xml:space="preserve">                                                                                                E</w:t>
      </w:r>
      <w:r w:rsidR="00754CA7">
        <w:rPr>
          <w:rFonts w:ascii="Arial" w:hAnsi="Arial"/>
          <w:sz w:val="18"/>
          <w:szCs w:val="18"/>
        </w:rPr>
        <w:t xml:space="preserve"> </w:t>
      </w:r>
      <w:r w:rsidRPr="002F7BCC">
        <w:rPr>
          <w:rFonts w:ascii="Arial" w:hAnsi="Arial"/>
          <w:sz w:val="18"/>
          <w:szCs w:val="18"/>
        </w:rPr>
        <w:t>= environnement</w:t>
      </w:r>
    </w:p>
    <w:p w:rsidR="00DB36C0" w:rsidRPr="002F7BCC" w:rsidRDefault="00DB36C0" w:rsidP="00DB36C0">
      <w:pPr>
        <w:jc w:val="both"/>
        <w:rPr>
          <w:rFonts w:ascii="Arial" w:hAnsi="Arial"/>
          <w:sz w:val="18"/>
          <w:szCs w:val="18"/>
        </w:rPr>
      </w:pPr>
      <w:r w:rsidRPr="002F7BCC">
        <w:rPr>
          <w:rFonts w:ascii="Arial" w:hAnsi="Arial"/>
          <w:sz w:val="18"/>
          <w:szCs w:val="18"/>
        </w:rPr>
        <w:t xml:space="preserve">      </w:t>
      </w:r>
    </w:p>
    <w:p w:rsidR="00DB36C0" w:rsidRPr="002F7BCC" w:rsidRDefault="009F5083" w:rsidP="00DB36C0">
      <w:pPr>
        <w:jc w:val="both"/>
        <w:rPr>
          <w:rFonts w:ascii="Arial" w:hAnsi="Arial"/>
          <w:sz w:val="18"/>
          <w:szCs w:val="18"/>
        </w:rPr>
      </w:pPr>
      <w:r>
        <w:rPr>
          <w:rFonts w:ascii="Arial" w:hAnsi="Arial"/>
          <w:sz w:val="18"/>
          <w:szCs w:val="18"/>
          <w:lang w:bidi="en-US"/>
        </w:rPr>
        <w:pict>
          <v:shape id="_x0000_s1028" type="#_x0000_t32" style="position:absolute;left:0;text-align:left;margin-left:13.5pt;margin-top:19.45pt;width:126.75pt;height:4.1pt;flip:y;z-index:251662336" o:connectortype="straight">
            <v:stroke startarrow="block" endarrow="block"/>
          </v:shape>
        </w:pict>
      </w:r>
      <w:r w:rsidR="00DB36C0" w:rsidRPr="002F7BCC">
        <w:rPr>
          <w:rFonts w:ascii="Arial" w:hAnsi="Arial"/>
          <w:sz w:val="18"/>
          <w:szCs w:val="18"/>
        </w:rPr>
        <w:t xml:space="preserve">                                                                                                       </w:t>
      </w:r>
    </w:p>
    <w:p w:rsidR="00DB36C0" w:rsidRPr="002F7BCC" w:rsidRDefault="00DB36C0" w:rsidP="00DB36C0">
      <w:pPr>
        <w:rPr>
          <w:rFonts w:ascii="Arial" w:hAnsi="Arial"/>
          <w:sz w:val="16"/>
          <w:szCs w:val="16"/>
        </w:rPr>
      </w:pPr>
      <w:r w:rsidRPr="002F7BCC">
        <w:rPr>
          <w:rFonts w:ascii="Arial" w:hAnsi="Arial"/>
          <w:sz w:val="16"/>
          <w:szCs w:val="16"/>
        </w:rPr>
        <w:t>C                                                             E</w:t>
      </w:r>
    </w:p>
    <w:p w:rsidR="00DB36C0" w:rsidRPr="002F7BCC" w:rsidRDefault="00DB36C0" w:rsidP="00DB36C0">
      <w:pPr>
        <w:jc w:val="both"/>
        <w:rPr>
          <w:rFonts w:ascii="Arial" w:hAnsi="Arial"/>
          <w:sz w:val="16"/>
          <w:szCs w:val="16"/>
        </w:rPr>
      </w:pPr>
    </w:p>
    <w:p w:rsidR="00DB36C0" w:rsidRPr="004152D6" w:rsidRDefault="00DB36C0" w:rsidP="00DB36C0">
      <w:pPr>
        <w:jc w:val="both"/>
        <w:rPr>
          <w:rFonts w:asciiTheme="majorBidi" w:hAnsiTheme="majorBidi" w:cstheme="majorBidi"/>
          <w:sz w:val="28"/>
          <w:szCs w:val="28"/>
        </w:rPr>
      </w:pPr>
      <w:r>
        <w:rPr>
          <w:rFonts w:ascii="Arial" w:hAnsi="Arial"/>
          <w:sz w:val="32"/>
          <w:szCs w:val="32"/>
        </w:rPr>
        <w:t xml:space="preserve">             </w:t>
      </w:r>
      <w:r w:rsidRPr="004152D6">
        <w:rPr>
          <w:rFonts w:asciiTheme="majorBidi" w:hAnsiTheme="majorBidi" w:cstheme="majorBidi"/>
          <w:sz w:val="28"/>
          <w:szCs w:val="28"/>
        </w:rPr>
        <w:t>Ainsi, dans cette conception, l’influence de l’environnement sur les comportements reste essentielle, mais à l’inverse de ce qu’on trouve dans</w:t>
      </w:r>
      <w:r w:rsidR="00CA04F8">
        <w:rPr>
          <w:rFonts w:asciiTheme="majorBidi" w:hAnsiTheme="majorBidi" w:cstheme="majorBidi"/>
          <w:sz w:val="28"/>
          <w:szCs w:val="28"/>
        </w:rPr>
        <w:t xml:space="preserve"> les théories behavioristes de </w:t>
      </w:r>
      <w:r w:rsidRPr="004152D6">
        <w:rPr>
          <w:rFonts w:asciiTheme="majorBidi" w:hAnsiTheme="majorBidi" w:cstheme="majorBidi"/>
          <w:sz w:val="28"/>
          <w:szCs w:val="28"/>
        </w:rPr>
        <w:t xml:space="preserve">l’apprentissage (conditionnements classique et opérant) une place importante est faite aux facteurs cognitifs; ceux-ci pouvant influer à la fois sur le comportement et sur la perception de l’environnement. Cette perception est en effet plus déterminante que les conditions réelles dans lesquelles se trouve l’individu. Pour </w:t>
      </w:r>
      <w:proofErr w:type="spellStart"/>
      <w:r w:rsidRPr="004152D6">
        <w:rPr>
          <w:rFonts w:asciiTheme="majorBidi" w:hAnsiTheme="majorBidi" w:cstheme="majorBidi"/>
          <w:sz w:val="28"/>
          <w:szCs w:val="28"/>
        </w:rPr>
        <w:t>Bandura</w:t>
      </w:r>
      <w:proofErr w:type="spellEnd"/>
      <w:r w:rsidRPr="004152D6">
        <w:rPr>
          <w:rFonts w:asciiTheme="majorBidi" w:hAnsiTheme="majorBidi" w:cstheme="majorBidi"/>
          <w:sz w:val="28"/>
          <w:szCs w:val="28"/>
        </w:rPr>
        <w:t xml:space="preserve">, les humains ne répondent pas seulement à des stimuli, ils les interprètent (1980)2. </w:t>
      </w:r>
      <w:proofErr w:type="spellStart"/>
      <w:r w:rsidRPr="004152D6">
        <w:rPr>
          <w:rFonts w:asciiTheme="majorBidi" w:hAnsiTheme="majorBidi" w:cstheme="majorBidi"/>
          <w:sz w:val="28"/>
          <w:szCs w:val="28"/>
        </w:rPr>
        <w:t>Bandura</w:t>
      </w:r>
      <w:proofErr w:type="spellEnd"/>
      <w:r w:rsidRPr="004152D6">
        <w:rPr>
          <w:rFonts w:asciiTheme="majorBidi" w:hAnsiTheme="majorBidi" w:cstheme="majorBidi"/>
          <w:sz w:val="28"/>
          <w:szCs w:val="28"/>
        </w:rPr>
        <w:t xml:space="preserve"> cite plusieurs exemples montrant que l’effet de la situation sur le comportement (renforcement) ne devient vraiment significatif que lorsque le sujet prend conscience de ce renforcement. Mais ce modèle de causalité triadique et réciproque n’implique ni que chacun des trois facteurs intervienne avec la même force dans une situation donnée ni que les trois facteurs soient</w:t>
      </w:r>
      <w:r w:rsidR="001E772B">
        <w:rPr>
          <w:rFonts w:asciiTheme="majorBidi" w:hAnsiTheme="majorBidi" w:cstheme="majorBidi"/>
          <w:sz w:val="28"/>
          <w:szCs w:val="28"/>
        </w:rPr>
        <w:t xml:space="preserve"> concernés en même temps. La bi</w:t>
      </w:r>
      <w:r w:rsidRPr="004152D6">
        <w:rPr>
          <w:rFonts w:asciiTheme="majorBidi" w:hAnsiTheme="majorBidi" w:cstheme="majorBidi"/>
          <w:sz w:val="28"/>
          <w:szCs w:val="28"/>
        </w:rPr>
        <w:t>directionnalité de l’influence signifie aussi que les personnes sont à la fois produit</w:t>
      </w:r>
      <w:r w:rsidR="00CA04F8">
        <w:rPr>
          <w:rFonts w:asciiTheme="majorBidi" w:hAnsiTheme="majorBidi" w:cstheme="majorBidi"/>
          <w:sz w:val="28"/>
          <w:szCs w:val="28"/>
        </w:rPr>
        <w:t>s</w:t>
      </w:r>
      <w:r w:rsidRPr="004152D6">
        <w:rPr>
          <w:rFonts w:asciiTheme="majorBidi" w:hAnsiTheme="majorBidi" w:cstheme="majorBidi"/>
          <w:sz w:val="28"/>
          <w:szCs w:val="28"/>
        </w:rPr>
        <w:t xml:space="preserve"> et productrices de leur environnement (Wood et </w:t>
      </w:r>
      <w:proofErr w:type="spellStart"/>
      <w:r w:rsidRPr="004152D6">
        <w:rPr>
          <w:rFonts w:asciiTheme="majorBidi" w:hAnsiTheme="majorBidi" w:cstheme="majorBidi"/>
          <w:sz w:val="28"/>
          <w:szCs w:val="28"/>
        </w:rPr>
        <w:t>Bandura</w:t>
      </w:r>
      <w:proofErr w:type="spellEnd"/>
      <w:r w:rsidRPr="004152D6">
        <w:rPr>
          <w:rFonts w:asciiTheme="majorBidi" w:hAnsiTheme="majorBidi" w:cstheme="majorBidi"/>
          <w:sz w:val="28"/>
          <w:szCs w:val="28"/>
        </w:rPr>
        <w:t>, 1989, p 362).</w:t>
      </w:r>
    </w:p>
    <w:p w:rsidR="00754CA7" w:rsidRPr="00754CA7" w:rsidRDefault="00DB36C0" w:rsidP="00754CA7">
      <w:pPr>
        <w:spacing w:line="240" w:lineRule="auto"/>
        <w:jc w:val="both"/>
        <w:rPr>
          <w:rFonts w:asciiTheme="majorBidi" w:hAnsiTheme="majorBidi" w:cstheme="majorBidi"/>
          <w:sz w:val="28"/>
          <w:szCs w:val="28"/>
        </w:rPr>
      </w:pPr>
      <w:r w:rsidRPr="004152D6">
        <w:rPr>
          <w:rFonts w:asciiTheme="majorBidi" w:hAnsiTheme="majorBidi" w:cstheme="majorBidi"/>
          <w:sz w:val="28"/>
          <w:szCs w:val="28"/>
        </w:rPr>
        <w:t xml:space="preserve">Pour </w:t>
      </w:r>
      <w:proofErr w:type="spellStart"/>
      <w:r w:rsidRPr="004152D6">
        <w:rPr>
          <w:rFonts w:asciiTheme="majorBidi" w:hAnsiTheme="majorBidi" w:cstheme="majorBidi"/>
          <w:sz w:val="28"/>
          <w:szCs w:val="28"/>
        </w:rPr>
        <w:t>Bandura</w:t>
      </w:r>
      <w:proofErr w:type="spellEnd"/>
      <w:r w:rsidRPr="004152D6">
        <w:rPr>
          <w:rFonts w:asciiTheme="majorBidi" w:hAnsiTheme="majorBidi" w:cstheme="majorBidi"/>
          <w:sz w:val="28"/>
          <w:szCs w:val="28"/>
        </w:rPr>
        <w:t xml:space="preserve"> (1980, 1986), les croyances d’un individu à l’égard de ses capacités à accomplir avec succès une tâche ou un ensemble de tâches sont à compter parmi les principaux</w:t>
      </w:r>
      <w:r w:rsidRPr="002F7BCC">
        <w:rPr>
          <w:rFonts w:ascii="Arial" w:hAnsi="Arial"/>
          <w:sz w:val="32"/>
          <w:szCs w:val="32"/>
        </w:rPr>
        <w:t xml:space="preserve"> </w:t>
      </w:r>
      <w:r w:rsidRPr="004152D6">
        <w:rPr>
          <w:rFonts w:asciiTheme="majorBidi" w:hAnsiTheme="majorBidi" w:cstheme="majorBidi"/>
          <w:sz w:val="28"/>
          <w:szCs w:val="28"/>
        </w:rPr>
        <w:t>mécanismes régulateurs des comportements. Le SEP renvoie « </w:t>
      </w:r>
      <w:r w:rsidRPr="00E900D7">
        <w:rPr>
          <w:rFonts w:asciiTheme="majorBidi" w:hAnsiTheme="majorBidi" w:cstheme="majorBidi"/>
          <w:i/>
          <w:iCs/>
          <w:sz w:val="28"/>
          <w:szCs w:val="28"/>
        </w:rPr>
        <w:t>aux jugements que les personnes font à propos de leur capacité à organiser et réaliser des ensemble</w:t>
      </w:r>
      <w:r w:rsidR="001E772B" w:rsidRPr="00E900D7">
        <w:rPr>
          <w:rFonts w:asciiTheme="majorBidi" w:hAnsiTheme="majorBidi" w:cstheme="majorBidi"/>
          <w:i/>
          <w:iCs/>
          <w:sz w:val="28"/>
          <w:szCs w:val="28"/>
        </w:rPr>
        <w:t>s</w:t>
      </w:r>
      <w:r w:rsidR="00E900D7" w:rsidRPr="00E900D7">
        <w:rPr>
          <w:rFonts w:asciiTheme="majorBidi" w:hAnsiTheme="majorBidi" w:cstheme="majorBidi"/>
          <w:i/>
          <w:iCs/>
          <w:sz w:val="28"/>
          <w:szCs w:val="28"/>
        </w:rPr>
        <w:t xml:space="preserve"> d’actions requises pour atteindre des types de performances attendues</w:t>
      </w:r>
      <w:r w:rsidR="00E900D7">
        <w:rPr>
          <w:rFonts w:asciiTheme="majorBidi" w:hAnsiTheme="majorBidi" w:cstheme="majorBidi"/>
          <w:sz w:val="28"/>
          <w:szCs w:val="28"/>
        </w:rPr>
        <w:t> » (</w:t>
      </w:r>
      <w:proofErr w:type="spellStart"/>
      <w:r w:rsidR="00E900D7">
        <w:rPr>
          <w:rFonts w:asciiTheme="majorBidi" w:hAnsiTheme="majorBidi" w:cstheme="majorBidi"/>
          <w:sz w:val="28"/>
          <w:szCs w:val="28"/>
        </w:rPr>
        <w:t>Bandura</w:t>
      </w:r>
      <w:proofErr w:type="spellEnd"/>
      <w:r w:rsidR="00E900D7">
        <w:rPr>
          <w:rFonts w:asciiTheme="majorBidi" w:hAnsiTheme="majorBidi" w:cstheme="majorBidi"/>
          <w:sz w:val="28"/>
          <w:szCs w:val="28"/>
        </w:rPr>
        <w:t xml:space="preserve">, </w:t>
      </w:r>
      <w:proofErr w:type="gramStart"/>
      <w:r w:rsidR="00E900D7">
        <w:rPr>
          <w:rFonts w:asciiTheme="majorBidi" w:hAnsiTheme="majorBidi" w:cstheme="majorBidi"/>
          <w:sz w:val="28"/>
          <w:szCs w:val="28"/>
        </w:rPr>
        <w:t>1986 )</w:t>
      </w:r>
      <w:proofErr w:type="gramEnd"/>
      <w:r w:rsidR="00754CA7">
        <w:rPr>
          <w:rFonts w:asciiTheme="majorBidi" w:hAnsiTheme="majorBidi" w:cstheme="majorBidi"/>
          <w:sz w:val="28"/>
          <w:szCs w:val="28"/>
        </w:rPr>
        <w:t xml:space="preserve">, </w:t>
      </w:r>
      <w:r w:rsidR="00754CA7" w:rsidRPr="00754CA7">
        <w:rPr>
          <w:rFonts w:asciiTheme="majorBidi" w:hAnsiTheme="majorBidi" w:cstheme="majorBidi"/>
          <w:sz w:val="28"/>
          <w:szCs w:val="28"/>
        </w:rPr>
        <w:t xml:space="preserve">mais aussi aux croyances à propos de leurs capacités à mobiliser la motivation, les ressources cognitives et les comportements nécessaires pour exercer un contrôle sur les événements de la vie (Wood et </w:t>
      </w:r>
      <w:proofErr w:type="spellStart"/>
      <w:r w:rsidR="00754CA7" w:rsidRPr="00754CA7">
        <w:rPr>
          <w:rFonts w:asciiTheme="majorBidi" w:hAnsiTheme="majorBidi" w:cstheme="majorBidi"/>
          <w:sz w:val="28"/>
          <w:szCs w:val="28"/>
        </w:rPr>
        <w:t>Bandura</w:t>
      </w:r>
      <w:proofErr w:type="spellEnd"/>
      <w:r w:rsidR="00754CA7" w:rsidRPr="00754CA7">
        <w:rPr>
          <w:rFonts w:asciiTheme="majorBidi" w:hAnsiTheme="majorBidi" w:cstheme="majorBidi"/>
          <w:sz w:val="28"/>
          <w:szCs w:val="28"/>
        </w:rPr>
        <w:t xml:space="preserve">, 1989). </w:t>
      </w:r>
    </w:p>
    <w:p w:rsidR="00E8678E" w:rsidRPr="00E8678E" w:rsidRDefault="00E8678E" w:rsidP="00E8678E">
      <w:pPr>
        <w:spacing w:line="240" w:lineRule="auto"/>
        <w:jc w:val="both"/>
        <w:rPr>
          <w:rFonts w:asciiTheme="majorBidi" w:hAnsiTheme="majorBidi" w:cstheme="majorBidi"/>
          <w:sz w:val="28"/>
          <w:szCs w:val="28"/>
        </w:rPr>
      </w:pPr>
      <w:r w:rsidRPr="00E8678E">
        <w:rPr>
          <w:rFonts w:asciiTheme="majorBidi" w:hAnsiTheme="majorBidi" w:cstheme="majorBidi"/>
          <w:sz w:val="28"/>
          <w:szCs w:val="28"/>
        </w:rPr>
        <w:lastRenderedPageBreak/>
        <w:t>Ces croyances constituent le mécanisme le plus central et le plus général de la gestion de soi (</w:t>
      </w:r>
      <w:proofErr w:type="spellStart"/>
      <w:r w:rsidRPr="00E8678E">
        <w:rPr>
          <w:rFonts w:asciiTheme="majorBidi" w:hAnsiTheme="majorBidi" w:cstheme="majorBidi"/>
          <w:sz w:val="28"/>
          <w:szCs w:val="28"/>
        </w:rPr>
        <w:t>personal</w:t>
      </w:r>
      <w:proofErr w:type="spellEnd"/>
      <w:r w:rsidRPr="00E8678E">
        <w:rPr>
          <w:rFonts w:asciiTheme="majorBidi" w:hAnsiTheme="majorBidi" w:cstheme="majorBidi"/>
          <w:sz w:val="28"/>
          <w:szCs w:val="28"/>
        </w:rPr>
        <w:t xml:space="preserve"> </w:t>
      </w:r>
      <w:proofErr w:type="spellStart"/>
      <w:r w:rsidRPr="00E8678E">
        <w:rPr>
          <w:rFonts w:asciiTheme="majorBidi" w:hAnsiTheme="majorBidi" w:cstheme="majorBidi"/>
          <w:sz w:val="28"/>
          <w:szCs w:val="28"/>
        </w:rPr>
        <w:t>agency</w:t>
      </w:r>
      <w:proofErr w:type="spellEnd"/>
      <w:r w:rsidRPr="00E8678E">
        <w:rPr>
          <w:rFonts w:asciiTheme="majorBidi" w:hAnsiTheme="majorBidi" w:cstheme="majorBidi"/>
          <w:sz w:val="28"/>
          <w:szCs w:val="28"/>
        </w:rPr>
        <w:t xml:space="preserve">). En particulier, le SEP est supposé aider les gens à choisir leurs activités et leurs environnements et déterminer la dépense d’efforts, leur persistance, les types de pensées (positives vs négatives) et les réactions émotionnelles face aux obstacles. Le SEP influe positivement sur la performance. Il a un rôle direct en permettant aux personnes de mobiliser et organiser leurs compétences. Il a un rôle indirect en influençant le choix des objectifs et des actions. Les résultats de la méta-analyse effectuée par </w:t>
      </w:r>
      <w:proofErr w:type="spellStart"/>
      <w:r w:rsidRPr="00E8678E">
        <w:rPr>
          <w:rFonts w:asciiTheme="majorBidi" w:hAnsiTheme="majorBidi" w:cstheme="majorBidi"/>
          <w:sz w:val="28"/>
          <w:szCs w:val="28"/>
        </w:rPr>
        <w:t>Sadri</w:t>
      </w:r>
      <w:proofErr w:type="spellEnd"/>
      <w:r w:rsidRPr="00E8678E">
        <w:rPr>
          <w:rFonts w:asciiTheme="majorBidi" w:hAnsiTheme="majorBidi" w:cstheme="majorBidi"/>
          <w:sz w:val="28"/>
          <w:szCs w:val="28"/>
        </w:rPr>
        <w:t xml:space="preserve"> et Robertson (1993) confirment que le SEP est corrélé avec la performance (r après correction = .40) et avec le choix du comportement (r après correction = .34). La liaison du SEP avec la performance est plus faible dans les études en milieu naturel (r = .37) que dans les situations expérimentales(r = .60).</w:t>
      </w:r>
    </w:p>
    <w:p w:rsidR="00E8678E" w:rsidRPr="00E8678E" w:rsidRDefault="00E8678E" w:rsidP="00E8678E">
      <w:pPr>
        <w:spacing w:line="240" w:lineRule="auto"/>
        <w:jc w:val="both"/>
        <w:rPr>
          <w:rFonts w:asciiTheme="majorBidi" w:hAnsiTheme="majorBidi" w:cstheme="majorBidi"/>
          <w:sz w:val="28"/>
          <w:szCs w:val="28"/>
        </w:rPr>
      </w:pPr>
      <w:r w:rsidRPr="00E8678E">
        <w:rPr>
          <w:rFonts w:asciiTheme="majorBidi" w:hAnsiTheme="majorBidi" w:cstheme="majorBidi"/>
          <w:sz w:val="28"/>
          <w:szCs w:val="28"/>
        </w:rPr>
        <w:t>Le meilleur moyen de développer un sentiment d’efficacité personnelle est de vivre des expériences qu’on maîtrise et réussit. Les croyances dans sa propre efficacité peuvent aussi être développées par modelage en prenant connaissance d’expériences réali</w:t>
      </w:r>
      <w:r w:rsidR="00E17ABD">
        <w:rPr>
          <w:rFonts w:asciiTheme="majorBidi" w:hAnsiTheme="majorBidi" w:cstheme="majorBidi"/>
          <w:sz w:val="28"/>
          <w:szCs w:val="28"/>
        </w:rPr>
        <w:t xml:space="preserve">sées par d’autres personnes. La </w:t>
      </w:r>
      <w:r w:rsidRPr="00E8678E">
        <w:rPr>
          <w:rFonts w:asciiTheme="majorBidi" w:hAnsiTheme="majorBidi" w:cstheme="majorBidi"/>
          <w:sz w:val="28"/>
          <w:szCs w:val="28"/>
        </w:rPr>
        <w:t>persuasion verbale, par exemple les encouragements, peut accroître le sentiment d’efficacité, mais celui-ci ne survivra pas longtemps à l’épreuve de la réalité s’il a été “artificiellement ”mené à un niveau irréaliste. Enfin les états physiologiques expérimentés dans certaines situations peuvent être interprétés par l’individu comme le signe de difficultés pour atteindre un résultat visé. Ainsi, les manifestations somatiques du stress sont-elles souvent attribuées à un manque de capacité.</w:t>
      </w:r>
    </w:p>
    <w:p w:rsidR="00E8678E" w:rsidRDefault="00E8678E" w:rsidP="00E8678E">
      <w:pPr>
        <w:spacing w:line="240" w:lineRule="auto"/>
        <w:jc w:val="both"/>
        <w:rPr>
          <w:rFonts w:asciiTheme="majorBidi" w:hAnsiTheme="majorBidi" w:cstheme="majorBidi"/>
          <w:sz w:val="28"/>
          <w:szCs w:val="28"/>
        </w:rPr>
      </w:pPr>
      <w:r w:rsidRPr="00E17ABD">
        <w:rPr>
          <w:rFonts w:asciiTheme="majorBidi" w:hAnsiTheme="majorBidi" w:cstheme="majorBidi"/>
          <w:sz w:val="28"/>
          <w:szCs w:val="28"/>
        </w:rPr>
        <w:t xml:space="preserve">L’ensemble substantiel de recherches sur les différents effets du SEP est résumé ainsi par </w:t>
      </w:r>
      <w:proofErr w:type="spellStart"/>
      <w:r w:rsidRPr="00E17ABD">
        <w:rPr>
          <w:rFonts w:asciiTheme="majorBidi" w:hAnsiTheme="majorBidi" w:cstheme="majorBidi"/>
          <w:sz w:val="28"/>
          <w:szCs w:val="28"/>
        </w:rPr>
        <w:t>Bandura</w:t>
      </w:r>
      <w:proofErr w:type="spellEnd"/>
      <w:r w:rsidRPr="00E17ABD">
        <w:rPr>
          <w:rFonts w:asciiTheme="majorBidi" w:hAnsiTheme="majorBidi" w:cstheme="majorBidi"/>
          <w:sz w:val="28"/>
          <w:szCs w:val="28"/>
        </w:rPr>
        <w:t>, (1995). Les personnes qui ont un faible SEP</w:t>
      </w:r>
      <w:r w:rsidR="00AE28A2">
        <w:rPr>
          <w:rFonts w:asciiTheme="majorBidi" w:hAnsiTheme="majorBidi" w:cstheme="majorBidi"/>
          <w:sz w:val="28"/>
          <w:szCs w:val="28"/>
        </w:rPr>
        <w:t xml:space="preserve"> </w:t>
      </w:r>
      <w:proofErr w:type="gramStart"/>
      <w:r w:rsidR="00AE28A2">
        <w:rPr>
          <w:rFonts w:asciiTheme="majorBidi" w:hAnsiTheme="majorBidi" w:cstheme="majorBidi"/>
          <w:sz w:val="28"/>
          <w:szCs w:val="28"/>
        </w:rPr>
        <w:t>( sentiment</w:t>
      </w:r>
      <w:proofErr w:type="gramEnd"/>
      <w:r w:rsidR="00AE28A2">
        <w:rPr>
          <w:rFonts w:asciiTheme="majorBidi" w:hAnsiTheme="majorBidi" w:cstheme="majorBidi"/>
          <w:sz w:val="28"/>
          <w:szCs w:val="28"/>
        </w:rPr>
        <w:t xml:space="preserve"> d’efficacité personnelle )</w:t>
      </w:r>
      <w:r w:rsidRPr="00E17ABD">
        <w:rPr>
          <w:rFonts w:asciiTheme="majorBidi" w:hAnsiTheme="majorBidi" w:cstheme="majorBidi"/>
          <w:sz w:val="28"/>
          <w:szCs w:val="28"/>
        </w:rPr>
        <w:t xml:space="preserve"> dans un domaine particulier évitent les tâches difficiles qu’elles per</w:t>
      </w:r>
      <w:r w:rsidR="00AE28A2">
        <w:rPr>
          <w:rFonts w:asciiTheme="majorBidi" w:hAnsiTheme="majorBidi" w:cstheme="majorBidi"/>
          <w:sz w:val="28"/>
          <w:szCs w:val="28"/>
        </w:rPr>
        <w:t xml:space="preserve">çoivent comme menaçantes. Elles </w:t>
      </w:r>
      <w:r w:rsidRPr="00E17ABD">
        <w:rPr>
          <w:rFonts w:asciiTheme="majorBidi" w:hAnsiTheme="majorBidi" w:cstheme="majorBidi"/>
          <w:sz w:val="28"/>
          <w:szCs w:val="28"/>
        </w:rPr>
        <w:t>ont des niveaux faibles d’aspiration et une faible implication par rapport aux buts qu’elles ont choisis. Confrontées à des difficultés, elles butent sur leurs déficiences personnelles, sur les obstacles et sur les conséquences négatives de leurs actes plutôt que de se concentrer sur la façon d’obtenir une performance satisfaisante. Elles diminuent leurs efforts et abandonnent rapidement face aux difficultés. Elles sont lentes à retrouver leur sens de l’efficacité après un échec ou un délai dans l’obtention de résultats. Elles considèrent une performance insuffisante comme la marque d’une déficience d’aptitude et le moindre échec entame leur foi en leurs capacités. Ces caractéristiques minimisent les opportunités d’accomplissements et exposent l’individu au stress et à la dépression.</w:t>
      </w:r>
    </w:p>
    <w:p w:rsidR="007961EB" w:rsidRDefault="007961EB" w:rsidP="00E8678E">
      <w:pPr>
        <w:spacing w:line="240" w:lineRule="auto"/>
        <w:jc w:val="both"/>
        <w:rPr>
          <w:rFonts w:asciiTheme="majorBidi" w:hAnsiTheme="majorBidi" w:cstheme="majorBidi"/>
          <w:sz w:val="28"/>
          <w:szCs w:val="28"/>
        </w:rPr>
      </w:pPr>
    </w:p>
    <w:p w:rsidR="007961EB" w:rsidRPr="007961EB" w:rsidRDefault="007961EB" w:rsidP="00E8678E">
      <w:pPr>
        <w:spacing w:line="240" w:lineRule="auto"/>
        <w:jc w:val="both"/>
        <w:rPr>
          <w:rFonts w:asciiTheme="majorBidi" w:hAnsiTheme="majorBidi" w:cstheme="majorBidi"/>
          <w:b/>
          <w:bCs/>
          <w:sz w:val="28"/>
          <w:szCs w:val="28"/>
        </w:rPr>
      </w:pPr>
    </w:p>
    <w:p w:rsidR="007961EB" w:rsidRPr="00E17ABD" w:rsidRDefault="007961EB" w:rsidP="00E8678E">
      <w:pPr>
        <w:spacing w:line="240" w:lineRule="auto"/>
        <w:jc w:val="both"/>
        <w:rPr>
          <w:rFonts w:asciiTheme="majorBidi" w:hAnsiTheme="majorBidi" w:cstheme="majorBidi"/>
          <w:sz w:val="28"/>
          <w:szCs w:val="28"/>
        </w:rPr>
      </w:pPr>
    </w:p>
    <w:p w:rsidR="007D32E9" w:rsidRPr="00E17ABD" w:rsidRDefault="007D32E9" w:rsidP="00DB36C0">
      <w:pPr>
        <w:rPr>
          <w:rFonts w:asciiTheme="majorBidi" w:hAnsiTheme="majorBidi" w:cstheme="majorBidi"/>
          <w:b/>
          <w:bCs/>
          <w:sz w:val="28"/>
          <w:szCs w:val="28"/>
        </w:rPr>
      </w:pPr>
    </w:p>
    <w:sectPr w:rsidR="007D32E9" w:rsidRPr="00E17ABD" w:rsidSect="004C2A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422A8C"/>
    <w:rsid w:val="001E772B"/>
    <w:rsid w:val="00255C4A"/>
    <w:rsid w:val="002F01F6"/>
    <w:rsid w:val="004152D6"/>
    <w:rsid w:val="00422A8C"/>
    <w:rsid w:val="00433ECE"/>
    <w:rsid w:val="00466D86"/>
    <w:rsid w:val="004C2A07"/>
    <w:rsid w:val="004E25CA"/>
    <w:rsid w:val="005371C3"/>
    <w:rsid w:val="00754CA7"/>
    <w:rsid w:val="007961EB"/>
    <w:rsid w:val="007D32E9"/>
    <w:rsid w:val="00891A34"/>
    <w:rsid w:val="00951A7C"/>
    <w:rsid w:val="009F5083"/>
    <w:rsid w:val="00A64CE1"/>
    <w:rsid w:val="00AC4F55"/>
    <w:rsid w:val="00AE28A2"/>
    <w:rsid w:val="00B97B0E"/>
    <w:rsid w:val="00C00FDE"/>
    <w:rsid w:val="00CA04F8"/>
    <w:rsid w:val="00DB36C0"/>
    <w:rsid w:val="00E17ABD"/>
    <w:rsid w:val="00E8678E"/>
    <w:rsid w:val="00E900D7"/>
    <w:rsid w:val="00E959F7"/>
    <w:rsid w:val="00EC038A"/>
    <w:rsid w:val="00EC4E55"/>
    <w:rsid w:val="00F610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07"/>
  </w:style>
  <w:style w:type="paragraph" w:styleId="Titre1">
    <w:name w:val="heading 1"/>
    <w:basedOn w:val="Normal"/>
    <w:next w:val="Normal"/>
    <w:link w:val="Titre1Car"/>
    <w:uiPriority w:val="9"/>
    <w:qFormat/>
    <w:rsid w:val="00DB36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DB36C0"/>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36C0"/>
    <w:rPr>
      <w:rFonts w:ascii="Cambria" w:eastAsia="Times New Roman" w:hAnsi="Cambria" w:cs="Times New Roman"/>
      <w:b/>
      <w:bCs/>
      <w:color w:val="4F81BD"/>
      <w:sz w:val="26"/>
      <w:szCs w:val="26"/>
      <w:lang w:val="en-US" w:bidi="en-US"/>
    </w:rPr>
  </w:style>
  <w:style w:type="character" w:customStyle="1" w:styleId="Titre1Car">
    <w:name w:val="Titre 1 Car"/>
    <w:basedOn w:val="Policepardfaut"/>
    <w:link w:val="Titre1"/>
    <w:uiPriority w:val="9"/>
    <w:rsid w:val="00DB36C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qFormat/>
    <w:rsid w:val="00DB36C0"/>
    <w:pPr>
      <w:outlineLvl w:val="9"/>
    </w:pPr>
    <w:rPr>
      <w:rFonts w:ascii="Cambria" w:eastAsia="Times New Roman" w:hAnsi="Cambria" w:cs="Times New Roman"/>
      <w:color w:val="365F91"/>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1088</Words>
  <Characters>5985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2021-04-24T12:45:00Z</dcterms:created>
  <dcterms:modified xsi:type="dcterms:W3CDTF">2021-04-26T20:33:00Z</dcterms:modified>
</cp:coreProperties>
</file>