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F1400" w:rsidRDefault="006F1400" w:rsidP="006F1400">
      <w:pPr>
        <w:autoSpaceDE w:val="0"/>
        <w:autoSpaceDN w:val="0"/>
        <w:adjustRightInd w:val="0"/>
        <w:spacing w:after="0" w:line="240" w:lineRule="auto"/>
        <w:jc w:val="center"/>
        <w:rPr>
          <w:rFonts w:ascii="Times New Roman" w:hAnsi="Times New Roman"/>
          <w:b/>
          <w:bCs/>
          <w:sz w:val="28"/>
          <w:szCs w:val="28"/>
        </w:rPr>
      </w:pPr>
      <w:r w:rsidRPr="00693D9D">
        <w:rPr>
          <w:rFonts w:ascii="Times New Roman" w:hAnsi="Times New Roman"/>
          <w:b/>
          <w:bCs/>
          <w:sz w:val="28"/>
          <w:szCs w:val="28"/>
        </w:rPr>
        <w:t xml:space="preserve">Chapitre 3 </w:t>
      </w:r>
    </w:p>
    <w:p w:rsidR="00693D9D" w:rsidRPr="00693D9D" w:rsidRDefault="00693D9D" w:rsidP="006F1400">
      <w:pPr>
        <w:autoSpaceDE w:val="0"/>
        <w:autoSpaceDN w:val="0"/>
        <w:adjustRightInd w:val="0"/>
        <w:spacing w:after="0" w:line="240" w:lineRule="auto"/>
        <w:jc w:val="center"/>
        <w:rPr>
          <w:rFonts w:ascii="Times New Roman" w:hAnsi="Times New Roman"/>
          <w:b/>
          <w:bCs/>
          <w:sz w:val="28"/>
          <w:szCs w:val="28"/>
        </w:rPr>
      </w:pPr>
    </w:p>
    <w:p w:rsidR="006F1400" w:rsidRPr="00693D9D" w:rsidRDefault="006F1400" w:rsidP="006F1400">
      <w:pPr>
        <w:autoSpaceDE w:val="0"/>
        <w:autoSpaceDN w:val="0"/>
        <w:adjustRightInd w:val="0"/>
        <w:spacing w:after="0" w:line="240" w:lineRule="auto"/>
        <w:jc w:val="center"/>
        <w:rPr>
          <w:rFonts w:ascii="Times New Roman" w:hAnsi="Times New Roman"/>
          <w:b/>
          <w:bCs/>
          <w:sz w:val="28"/>
          <w:szCs w:val="28"/>
        </w:rPr>
      </w:pPr>
      <w:r w:rsidRPr="00693D9D">
        <w:rPr>
          <w:rFonts w:ascii="Times New Roman" w:hAnsi="Times New Roman"/>
          <w:b/>
          <w:bCs/>
          <w:sz w:val="28"/>
          <w:szCs w:val="28"/>
        </w:rPr>
        <w:t>Mesures de protection actives contre les inondations</w:t>
      </w:r>
    </w:p>
    <w:p w:rsidR="006F1400" w:rsidRDefault="006F1400" w:rsidP="006F1400">
      <w:pPr>
        <w:autoSpaceDE w:val="0"/>
        <w:autoSpaceDN w:val="0"/>
        <w:adjustRightInd w:val="0"/>
        <w:spacing w:after="0" w:line="240" w:lineRule="auto"/>
        <w:jc w:val="center"/>
        <w:rPr>
          <w:rFonts w:ascii="Arial" w:hAnsi="Arial" w:cs="Arial"/>
          <w:b/>
          <w:bCs/>
          <w:sz w:val="32"/>
          <w:szCs w:val="32"/>
          <w:u w:val="single"/>
        </w:rPr>
      </w:pPr>
    </w:p>
    <w:p w:rsidR="006F1400" w:rsidRPr="00693D9D" w:rsidRDefault="006F1400" w:rsidP="006F1400">
      <w:pPr>
        <w:autoSpaceDE w:val="0"/>
        <w:autoSpaceDN w:val="0"/>
        <w:adjustRightInd w:val="0"/>
        <w:spacing w:after="0" w:line="240" w:lineRule="auto"/>
        <w:jc w:val="both"/>
        <w:rPr>
          <w:rFonts w:ascii="Times New Roman" w:hAnsi="Times New Roman"/>
          <w:bCs/>
          <w:sz w:val="24"/>
          <w:szCs w:val="24"/>
        </w:rPr>
      </w:pPr>
      <w:r w:rsidRPr="00693D9D">
        <w:rPr>
          <w:rFonts w:ascii="Times New Roman" w:hAnsi="Times New Roman"/>
          <w:bCs/>
          <w:sz w:val="24"/>
          <w:szCs w:val="24"/>
        </w:rPr>
        <w:t>Les mesures de protection contre les inondations sont réalisées par les trois méthodes suivantes :</w:t>
      </w:r>
    </w:p>
    <w:p w:rsidR="006F1400" w:rsidRPr="00693D9D" w:rsidRDefault="006F1400" w:rsidP="006F1400">
      <w:pPr>
        <w:numPr>
          <w:ilvl w:val="0"/>
          <w:numId w:val="1"/>
        </w:numPr>
        <w:autoSpaceDE w:val="0"/>
        <w:autoSpaceDN w:val="0"/>
        <w:adjustRightInd w:val="0"/>
        <w:spacing w:before="120" w:after="120" w:line="240" w:lineRule="auto"/>
        <w:ind w:left="782" w:hanging="357"/>
        <w:jc w:val="both"/>
        <w:rPr>
          <w:rFonts w:ascii="Times New Roman" w:hAnsi="Times New Roman"/>
          <w:b/>
          <w:bCs/>
          <w:sz w:val="24"/>
          <w:szCs w:val="24"/>
          <w:u w:val="single"/>
        </w:rPr>
      </w:pPr>
      <w:r w:rsidRPr="00693D9D">
        <w:rPr>
          <w:rFonts w:ascii="Times New Roman" w:hAnsi="Times New Roman"/>
          <w:b/>
          <w:bCs/>
          <w:sz w:val="24"/>
          <w:szCs w:val="24"/>
          <w:u w:val="single"/>
        </w:rPr>
        <w:t xml:space="preserve">Rétention des crues </w:t>
      </w:r>
    </w:p>
    <w:p w:rsidR="006F1400" w:rsidRPr="00693D9D" w:rsidRDefault="00693D9D" w:rsidP="006F1400">
      <w:pPr>
        <w:numPr>
          <w:ilvl w:val="1"/>
          <w:numId w:val="1"/>
        </w:numPr>
        <w:autoSpaceDE w:val="0"/>
        <w:autoSpaceDN w:val="0"/>
        <w:adjustRightInd w:val="0"/>
        <w:spacing w:after="0" w:line="240" w:lineRule="auto"/>
        <w:jc w:val="both"/>
        <w:rPr>
          <w:rFonts w:ascii="Times New Roman" w:hAnsi="Times New Roman"/>
          <w:bCs/>
          <w:sz w:val="24"/>
          <w:szCs w:val="24"/>
        </w:rPr>
      </w:pPr>
      <w:r w:rsidRPr="00693D9D">
        <w:rPr>
          <w:rFonts w:ascii="Times New Roman" w:hAnsi="Times New Roman"/>
          <w:bCs/>
          <w:sz w:val="24"/>
          <w:szCs w:val="24"/>
          <w:lang w:val="en-US"/>
        </w:rPr>
        <w:t>Regulation</w:t>
      </w:r>
      <w:r w:rsidR="006F1400" w:rsidRPr="00693D9D">
        <w:rPr>
          <w:rFonts w:ascii="Times New Roman" w:hAnsi="Times New Roman"/>
          <w:bCs/>
          <w:sz w:val="24"/>
          <w:szCs w:val="24"/>
          <w:lang w:val="en-US"/>
        </w:rPr>
        <w:t xml:space="preserve"> des </w:t>
      </w:r>
      <w:proofErr w:type="spellStart"/>
      <w:r w:rsidR="006F1400" w:rsidRPr="00693D9D">
        <w:rPr>
          <w:rFonts w:ascii="Times New Roman" w:hAnsi="Times New Roman"/>
          <w:bCs/>
          <w:sz w:val="24"/>
          <w:szCs w:val="24"/>
          <w:lang w:val="en-US"/>
        </w:rPr>
        <w:t>lacs</w:t>
      </w:r>
      <w:proofErr w:type="spellEnd"/>
      <w:r w:rsidR="006F1400" w:rsidRPr="00693D9D">
        <w:rPr>
          <w:rFonts w:ascii="Times New Roman" w:hAnsi="Times New Roman"/>
          <w:bCs/>
          <w:sz w:val="24"/>
          <w:szCs w:val="24"/>
          <w:lang w:val="en-US"/>
        </w:rPr>
        <w:t xml:space="preserve"> </w:t>
      </w:r>
      <w:proofErr w:type="spellStart"/>
      <w:r w:rsidR="006F1400" w:rsidRPr="00693D9D">
        <w:rPr>
          <w:rFonts w:ascii="Times New Roman" w:hAnsi="Times New Roman"/>
          <w:bCs/>
          <w:sz w:val="24"/>
          <w:szCs w:val="24"/>
          <w:lang w:val="en-US"/>
        </w:rPr>
        <w:t>naturels</w:t>
      </w:r>
      <w:proofErr w:type="spellEnd"/>
    </w:p>
    <w:p w:rsidR="006F1400" w:rsidRPr="00693D9D" w:rsidRDefault="006F1400" w:rsidP="006F1400">
      <w:pPr>
        <w:autoSpaceDE w:val="0"/>
        <w:autoSpaceDN w:val="0"/>
        <w:adjustRightInd w:val="0"/>
        <w:spacing w:after="0" w:line="240" w:lineRule="auto"/>
        <w:jc w:val="both"/>
        <w:rPr>
          <w:rFonts w:ascii="Times New Roman" w:hAnsi="Times New Roman"/>
          <w:b/>
          <w:bCs/>
          <w:sz w:val="32"/>
          <w:szCs w:val="32"/>
          <w:u w:val="single"/>
        </w:rPr>
      </w:pPr>
    </w:p>
    <w:p w:rsidR="006F1400" w:rsidRDefault="009B693B" w:rsidP="006F1400">
      <w:pPr>
        <w:autoSpaceDE w:val="0"/>
        <w:autoSpaceDN w:val="0"/>
        <w:adjustRightInd w:val="0"/>
        <w:spacing w:after="0" w:line="240" w:lineRule="auto"/>
        <w:jc w:val="center"/>
        <w:rPr>
          <w:rFonts w:ascii="Arial" w:hAnsi="Arial" w:cs="Arial"/>
          <w:bCs/>
          <w:sz w:val="32"/>
          <w:szCs w:val="32"/>
        </w:rPr>
      </w:pPr>
      <w:r>
        <w:rPr>
          <w:rFonts w:ascii="Arial" w:hAnsi="Arial" w:cs="Arial"/>
          <w:bCs/>
          <w:noProof/>
          <w:sz w:val="32"/>
          <w:szCs w:val="32"/>
        </w:rPr>
        <w:pict>
          <v:shapetype id="_x0000_t202" coordsize="21600,21600" o:spt="202" path="m,l,21600r21600,l21600,xe">
            <v:stroke joinstyle="miter"/>
            <v:path gradientshapeok="t" o:connecttype="rect"/>
          </v:shapetype>
          <v:shape id="_x0000_s1026" type="#_x0000_t202" style="position:absolute;left:0;text-align:left;margin-left:158.2pt;margin-top:8.5pt;width:64.5pt;height:35.95pt;z-index:251660288;mso-width-relative:margin;mso-height-relative:margin" filled="f" stroked="f">
            <v:textbox>
              <w:txbxContent>
                <w:p w:rsidR="006F1400" w:rsidRPr="00FD5966" w:rsidRDefault="006F1400" w:rsidP="006F1400">
                  <w:pPr>
                    <w:rPr>
                      <w:b/>
                    </w:rPr>
                  </w:pPr>
                  <w:r w:rsidRPr="00FD5966">
                    <w:rPr>
                      <w:b/>
                    </w:rPr>
                    <w:t>Lac naturel</w:t>
                  </w:r>
                </w:p>
              </w:txbxContent>
            </v:textbox>
          </v:shape>
        </w:pict>
      </w:r>
      <w:r>
        <w:rPr>
          <w:rFonts w:ascii="Arial" w:hAnsi="Arial" w:cs="Arial"/>
          <w:bCs/>
          <w:noProof/>
          <w:sz w:val="32"/>
          <w:szCs w:val="32"/>
          <w:lang w:eastAsia="fr-FR"/>
        </w:rPr>
        <w:pict>
          <v:shape id="_x0000_s1027" type="#_x0000_t202" style="position:absolute;left:0;text-align:left;margin-left:158.2pt;margin-top:87.65pt;width:64.5pt;height:35.95pt;z-index:251661312;mso-width-relative:margin;mso-height-relative:margin" filled="f" stroked="f">
            <v:textbox>
              <w:txbxContent>
                <w:p w:rsidR="006F1400" w:rsidRPr="00FD5966" w:rsidRDefault="006F1400" w:rsidP="006F1400">
                  <w:pPr>
                    <w:rPr>
                      <w:b/>
                    </w:rPr>
                  </w:pPr>
                  <w:r w:rsidRPr="00FD5966">
                    <w:rPr>
                      <w:b/>
                    </w:rPr>
                    <w:t xml:space="preserve">Lac </w:t>
                  </w:r>
                  <w:r>
                    <w:rPr>
                      <w:b/>
                    </w:rPr>
                    <w:t>artificiel</w:t>
                  </w:r>
                </w:p>
              </w:txbxContent>
            </v:textbox>
          </v:shape>
        </w:pict>
      </w:r>
      <w:r w:rsidR="006F1400">
        <w:rPr>
          <w:rFonts w:ascii="Arial" w:hAnsi="Arial" w:cs="Arial"/>
          <w:bCs/>
          <w:noProof/>
          <w:sz w:val="32"/>
          <w:szCs w:val="32"/>
          <w:lang w:eastAsia="fr-FR"/>
        </w:rPr>
        <w:drawing>
          <wp:inline distT="0" distB="0" distL="0" distR="0">
            <wp:extent cx="5133975" cy="2486025"/>
            <wp:effectExtent l="19050" t="0" r="9525"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a:blip r:embed="rId5"/>
                    <a:srcRect/>
                    <a:stretch>
                      <a:fillRect/>
                    </a:stretch>
                  </pic:blipFill>
                  <pic:spPr bwMode="auto">
                    <a:xfrm>
                      <a:off x="0" y="0"/>
                      <a:ext cx="5133975" cy="2486025"/>
                    </a:xfrm>
                    <a:prstGeom prst="rect">
                      <a:avLst/>
                    </a:prstGeom>
                    <a:noFill/>
                    <a:ln w="9525">
                      <a:noFill/>
                      <a:miter lim="800000"/>
                      <a:headEnd/>
                      <a:tailEnd/>
                    </a:ln>
                  </pic:spPr>
                </pic:pic>
              </a:graphicData>
            </a:graphic>
          </wp:inline>
        </w:drawing>
      </w:r>
    </w:p>
    <w:p w:rsidR="006F1400" w:rsidRPr="00693D9D" w:rsidRDefault="006F1400" w:rsidP="006F1400">
      <w:pPr>
        <w:autoSpaceDE w:val="0"/>
        <w:autoSpaceDN w:val="0"/>
        <w:adjustRightInd w:val="0"/>
        <w:spacing w:after="0" w:line="240" w:lineRule="auto"/>
        <w:jc w:val="center"/>
        <w:rPr>
          <w:rFonts w:ascii="Times New Roman" w:hAnsi="Times New Roman"/>
          <w:b/>
          <w:bCs/>
          <w:i/>
          <w:sz w:val="24"/>
          <w:szCs w:val="24"/>
        </w:rPr>
      </w:pPr>
      <w:r w:rsidRPr="00693D9D">
        <w:rPr>
          <w:rFonts w:ascii="Times New Roman" w:hAnsi="Times New Roman"/>
          <w:b/>
          <w:bCs/>
          <w:i/>
          <w:sz w:val="24"/>
          <w:szCs w:val="24"/>
        </w:rPr>
        <w:t>Figure 01- Régulation de lac naturel</w:t>
      </w:r>
    </w:p>
    <w:p w:rsidR="006F1400" w:rsidRPr="00693D9D" w:rsidRDefault="006F1400" w:rsidP="006F1400">
      <w:pPr>
        <w:autoSpaceDE w:val="0"/>
        <w:autoSpaceDN w:val="0"/>
        <w:adjustRightInd w:val="0"/>
        <w:spacing w:after="0" w:line="240" w:lineRule="auto"/>
        <w:rPr>
          <w:rFonts w:ascii="Times New Roman" w:hAnsi="Times New Roman"/>
          <w:b/>
          <w:bCs/>
          <w:i/>
          <w:sz w:val="24"/>
          <w:szCs w:val="24"/>
        </w:rPr>
      </w:pPr>
    </w:p>
    <w:p w:rsidR="00693D9D" w:rsidRPr="00693D9D" w:rsidRDefault="00693D9D" w:rsidP="006F1400">
      <w:pPr>
        <w:autoSpaceDE w:val="0"/>
        <w:autoSpaceDN w:val="0"/>
        <w:adjustRightInd w:val="0"/>
        <w:spacing w:after="0" w:line="240" w:lineRule="auto"/>
        <w:rPr>
          <w:rFonts w:ascii="Times New Roman" w:hAnsi="Times New Roman"/>
          <w:b/>
          <w:bCs/>
          <w:i/>
          <w:sz w:val="24"/>
          <w:szCs w:val="24"/>
        </w:rPr>
      </w:pPr>
    </w:p>
    <w:p w:rsidR="00693D9D" w:rsidRDefault="00693D9D" w:rsidP="006F1400">
      <w:pPr>
        <w:autoSpaceDE w:val="0"/>
        <w:autoSpaceDN w:val="0"/>
        <w:adjustRightInd w:val="0"/>
        <w:spacing w:after="0" w:line="240" w:lineRule="auto"/>
        <w:rPr>
          <w:rFonts w:ascii="Arial" w:hAnsi="Arial" w:cs="Arial"/>
          <w:bCs/>
          <w:sz w:val="24"/>
          <w:szCs w:val="24"/>
        </w:rPr>
      </w:pPr>
    </w:p>
    <w:p w:rsidR="006F1400" w:rsidRPr="00693D9D" w:rsidRDefault="006F1400" w:rsidP="006F1400">
      <w:pPr>
        <w:autoSpaceDE w:val="0"/>
        <w:autoSpaceDN w:val="0"/>
        <w:adjustRightInd w:val="0"/>
        <w:spacing w:after="0" w:line="240" w:lineRule="auto"/>
        <w:rPr>
          <w:rFonts w:ascii="Times New Roman" w:hAnsi="Times New Roman"/>
          <w:bCs/>
          <w:sz w:val="24"/>
          <w:szCs w:val="24"/>
        </w:rPr>
      </w:pPr>
      <w:r w:rsidRPr="00693D9D">
        <w:rPr>
          <w:rFonts w:ascii="Times New Roman" w:hAnsi="Times New Roman"/>
          <w:bCs/>
          <w:sz w:val="24"/>
          <w:szCs w:val="24"/>
        </w:rPr>
        <w:t>La régulation des lacs naturels et artificiels peut se faire par le laminage des crues qui à pour objectif le stockage temporaire d’une fraction du volume de la crue tout en assurant le passage d’un certain débit vers l’aval du lac par l’intermédiaire d’un seuil naturel ou artificiel.</w:t>
      </w:r>
    </w:p>
    <w:p w:rsidR="006F1400" w:rsidRPr="00693D9D" w:rsidRDefault="006F1400" w:rsidP="006F1400">
      <w:pPr>
        <w:autoSpaceDE w:val="0"/>
        <w:autoSpaceDN w:val="0"/>
        <w:adjustRightInd w:val="0"/>
        <w:spacing w:after="0" w:line="240" w:lineRule="auto"/>
        <w:rPr>
          <w:rFonts w:ascii="Times New Roman" w:hAnsi="Times New Roman"/>
          <w:bCs/>
          <w:sz w:val="24"/>
          <w:szCs w:val="24"/>
        </w:rPr>
      </w:pPr>
    </w:p>
    <w:p w:rsidR="006F1400" w:rsidRPr="00693D9D" w:rsidRDefault="006F1400" w:rsidP="006F1400">
      <w:pPr>
        <w:numPr>
          <w:ilvl w:val="1"/>
          <w:numId w:val="1"/>
        </w:numPr>
        <w:autoSpaceDE w:val="0"/>
        <w:autoSpaceDN w:val="0"/>
        <w:adjustRightInd w:val="0"/>
        <w:spacing w:after="0" w:line="240" w:lineRule="auto"/>
        <w:jc w:val="both"/>
        <w:rPr>
          <w:rFonts w:ascii="Times New Roman" w:hAnsi="Times New Roman"/>
          <w:b/>
          <w:bCs/>
          <w:sz w:val="24"/>
          <w:szCs w:val="24"/>
        </w:rPr>
      </w:pPr>
      <w:r w:rsidRPr="00693D9D">
        <w:rPr>
          <w:rFonts w:ascii="Times New Roman" w:hAnsi="Times New Roman"/>
          <w:b/>
          <w:bCs/>
          <w:sz w:val="24"/>
          <w:szCs w:val="24"/>
        </w:rPr>
        <w:t xml:space="preserve"> Exploitation des zones inondables ou d’épanchement </w:t>
      </w:r>
    </w:p>
    <w:p w:rsidR="006F1400" w:rsidRPr="00693D9D" w:rsidRDefault="006F1400" w:rsidP="006F1400">
      <w:pPr>
        <w:autoSpaceDE w:val="0"/>
        <w:autoSpaceDN w:val="0"/>
        <w:adjustRightInd w:val="0"/>
        <w:spacing w:after="0" w:line="240" w:lineRule="auto"/>
        <w:rPr>
          <w:rFonts w:ascii="Times New Roman" w:hAnsi="Times New Roman"/>
          <w:b/>
          <w:bCs/>
          <w:sz w:val="24"/>
          <w:szCs w:val="24"/>
        </w:rPr>
      </w:pPr>
    </w:p>
    <w:p w:rsidR="006F1400" w:rsidRPr="00693D9D" w:rsidRDefault="00693D9D" w:rsidP="006F1400">
      <w:pPr>
        <w:autoSpaceDE w:val="0"/>
        <w:autoSpaceDN w:val="0"/>
        <w:adjustRightInd w:val="0"/>
        <w:spacing w:after="0" w:line="240" w:lineRule="auto"/>
        <w:jc w:val="both"/>
        <w:rPr>
          <w:rFonts w:ascii="Times New Roman" w:hAnsi="Times New Roman"/>
          <w:bCs/>
          <w:sz w:val="24"/>
          <w:szCs w:val="24"/>
        </w:rPr>
      </w:pPr>
      <w:r>
        <w:rPr>
          <w:rFonts w:ascii="Times New Roman" w:hAnsi="Times New Roman"/>
          <w:bCs/>
          <w:sz w:val="24"/>
          <w:szCs w:val="24"/>
        </w:rPr>
        <w:t xml:space="preserve">        </w:t>
      </w:r>
      <w:r w:rsidR="006F1400" w:rsidRPr="00693D9D">
        <w:rPr>
          <w:rFonts w:ascii="Times New Roman" w:hAnsi="Times New Roman"/>
          <w:bCs/>
          <w:sz w:val="24"/>
          <w:szCs w:val="24"/>
        </w:rPr>
        <w:t xml:space="preserve">Mise en exploitation des zones inondables ou d’épanchement par la réalisation d’ouvrage de déversement dans la zone d’épanchement, de réseaux de drainage et </w:t>
      </w:r>
      <w:proofErr w:type="gramStart"/>
      <w:r w:rsidR="006F1400" w:rsidRPr="00693D9D">
        <w:rPr>
          <w:rFonts w:ascii="Times New Roman" w:hAnsi="Times New Roman"/>
          <w:bCs/>
          <w:sz w:val="24"/>
          <w:szCs w:val="24"/>
        </w:rPr>
        <w:t>d(</w:t>
      </w:r>
      <w:proofErr w:type="gramEnd"/>
      <w:r w:rsidR="006F1400" w:rsidRPr="00693D9D">
        <w:rPr>
          <w:rFonts w:ascii="Times New Roman" w:hAnsi="Times New Roman"/>
          <w:bCs/>
          <w:sz w:val="24"/>
          <w:szCs w:val="24"/>
        </w:rPr>
        <w:t xml:space="preserve">ouvrage de contrôle au niveau de la section de sortie aval de la zone d’épanchement. </w:t>
      </w:r>
    </w:p>
    <w:p w:rsidR="006F1400" w:rsidRPr="000C4A8D" w:rsidRDefault="006F1400" w:rsidP="006F1400">
      <w:pPr>
        <w:autoSpaceDE w:val="0"/>
        <w:autoSpaceDN w:val="0"/>
        <w:adjustRightInd w:val="0"/>
        <w:spacing w:after="0" w:line="240" w:lineRule="auto"/>
        <w:jc w:val="center"/>
        <w:rPr>
          <w:rFonts w:ascii="Arial" w:hAnsi="Arial" w:cs="Arial"/>
          <w:bCs/>
          <w:sz w:val="24"/>
          <w:szCs w:val="24"/>
        </w:rPr>
      </w:pPr>
      <w:r>
        <w:rPr>
          <w:rFonts w:ascii="Arial" w:hAnsi="Arial" w:cs="Arial"/>
          <w:bCs/>
          <w:noProof/>
          <w:sz w:val="24"/>
          <w:szCs w:val="24"/>
          <w:lang w:eastAsia="fr-FR"/>
        </w:rPr>
        <w:lastRenderedPageBreak/>
        <w:drawing>
          <wp:inline distT="0" distB="0" distL="0" distR="0">
            <wp:extent cx="4841327" cy="2247900"/>
            <wp:effectExtent l="6090" t="0" r="808" b="0"/>
            <wp:docPr id="2" name="Objet 2"/>
            <wp:cNvGraphicFramePr>
              <a:graphicFrameLocks xmlns:a="http://schemas.openxmlformats.org/drawingml/2006/main"/>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8431213" cy="4657725"/>
                      <a:chOff x="892175" y="2003425"/>
                      <a:chExt cx="8431213" cy="4657725"/>
                    </a:xfrm>
                  </a:grpSpPr>
                  <a:grpSp>
                    <a:nvGrpSpPr>
                      <a:cNvPr id="22" name="Groupe 21"/>
                      <a:cNvGrpSpPr/>
                    </a:nvGrpSpPr>
                    <a:grpSpPr>
                      <a:xfrm>
                        <a:off x="892175" y="2003425"/>
                        <a:ext cx="8431213" cy="4657725"/>
                        <a:chOff x="892175" y="2003425"/>
                        <a:chExt cx="8431213" cy="4657725"/>
                      </a:xfrm>
                    </a:grpSpPr>
                    <a:sp>
                      <a:nvSpPr>
                        <a:cNvPr id="20" name="Freeform 3"/>
                        <a:cNvSpPr/>
                      </a:nvSpPr>
                      <a:spPr>
                        <a:xfrm>
                          <a:off x="898525" y="2009775"/>
                          <a:ext cx="8418513" cy="4645025"/>
                        </a:xfrm>
                        <a:custGeom>
                          <a:avLst/>
                          <a:gdLst>
                            <a:gd name="connsiteX0" fmla="*/ 0 w 8418576"/>
                            <a:gd name="connsiteY0" fmla="*/ 0 h 4645151"/>
                            <a:gd name="connsiteX1" fmla="*/ 0 w 8418576"/>
                            <a:gd name="connsiteY1" fmla="*/ 4645151 h 4645151"/>
                            <a:gd name="connsiteX2" fmla="*/ 8418575 w 8418576"/>
                            <a:gd name="connsiteY2" fmla="*/ 4645151 h 4645151"/>
                            <a:gd name="connsiteX3" fmla="*/ 8418575 w 8418576"/>
                            <a:gd name="connsiteY3" fmla="*/ 0 h 4645151"/>
                            <a:gd name="connsiteX4" fmla="*/ 0 w 8418576"/>
                            <a:gd name="connsiteY4" fmla="*/ 0 h 4645151"/>
                          </a:gdLst>
                          <a:ahLst/>
                          <a:cxnLst>
                            <a:cxn ang="0">
                              <a:pos x="connsiteX0" y="connsiteY0"/>
                            </a:cxn>
                            <a:cxn ang="1">
                              <a:pos x="connsiteX1" y="connsiteY1"/>
                            </a:cxn>
                            <a:cxn ang="2">
                              <a:pos x="connsiteX2" y="connsiteY2"/>
                            </a:cxn>
                            <a:cxn ang="3">
                              <a:pos x="connsiteX3" y="connsiteY3"/>
                            </a:cxn>
                            <a:cxn ang="4">
                              <a:pos x="connsiteX4" y="connsiteY4"/>
                            </a:cxn>
                          </a:cxnLst>
                          <a:rect l="l" t="t" r="r" b="b"/>
                          <a:pathLst>
                            <a:path w="8418576" h="4645151">
                              <a:moveTo>
                                <a:pt x="0" y="0"/>
                              </a:moveTo>
                              <a:lnTo>
                                <a:pt x="0" y="4645151"/>
                              </a:lnTo>
                              <a:lnTo>
                                <a:pt x="8418575" y="4645151"/>
                              </a:lnTo>
                              <a:lnTo>
                                <a:pt x="8418575" y="0"/>
                              </a:lnTo>
                              <a:lnTo>
                                <a:pt x="0" y="0"/>
                              </a:lnTo>
                            </a:path>
                          </a:pathLst>
                        </a:custGeom>
                        <a:solidFill>
                          <a:srgbClr val="FFFFFF">
                            <a:alpha val="100000"/>
                          </a:srgbClr>
                        </a:solidFill>
                        <a:ln w="12700">
                          <a:solidFill>
                            <a:srgbClr val="000000">
                              <a:alpha val="0"/>
                            </a:srgbClr>
                          </a:solidFill>
                          <a:prstDash val="solid"/>
                        </a:ln>
                      </a:spPr>
                      <a:txSp>
                        <a:txBody>
                          <a:bodyPr anchor="ctr"/>
                          <a:lstStyle>
                            <a:defPPr>
                              <a:defRPr lang="en-US"/>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fontAlgn="auto">
                              <a:spcBef>
                                <a:spcPts val="0"/>
                              </a:spcBef>
                              <a:spcAft>
                                <a:spcPts val="0"/>
                              </a:spcAft>
                              <a:defRPr/>
                            </a:pPr>
                            <a:endParaRPr lang="zh-CN" alt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21" name="Freeform 3"/>
                        <a:cNvSpPr/>
                      </a:nvSpPr>
                      <a:spPr>
                        <a:xfrm>
                          <a:off x="892175" y="2003425"/>
                          <a:ext cx="8431213" cy="4657725"/>
                        </a:xfrm>
                        <a:custGeom>
                          <a:avLst/>
                          <a:gdLst>
                            <a:gd name="connsiteX0" fmla="*/ 6350 w 8431276"/>
                            <a:gd name="connsiteY0" fmla="*/ 6350 h 4657851"/>
                            <a:gd name="connsiteX1" fmla="*/ 6350 w 8431276"/>
                            <a:gd name="connsiteY1" fmla="*/ 4651501 h 4657851"/>
                            <a:gd name="connsiteX2" fmla="*/ 8424925 w 8431276"/>
                            <a:gd name="connsiteY2" fmla="*/ 4651501 h 4657851"/>
                            <a:gd name="connsiteX3" fmla="*/ 8424925 w 8431276"/>
                            <a:gd name="connsiteY3" fmla="*/ 6350 h 4657851"/>
                            <a:gd name="connsiteX4" fmla="*/ 6350 w 8431276"/>
                            <a:gd name="connsiteY4" fmla="*/ 6350 h 4657851"/>
                          </a:gdLst>
                          <a:ahLst/>
                          <a:cxnLst>
                            <a:cxn ang="0">
                              <a:pos x="connsiteX0" y="connsiteY0"/>
                            </a:cxn>
                            <a:cxn ang="1">
                              <a:pos x="connsiteX1" y="connsiteY1"/>
                            </a:cxn>
                            <a:cxn ang="2">
                              <a:pos x="connsiteX2" y="connsiteY2"/>
                            </a:cxn>
                            <a:cxn ang="3">
                              <a:pos x="connsiteX3" y="connsiteY3"/>
                            </a:cxn>
                            <a:cxn ang="4">
                              <a:pos x="connsiteX4" y="connsiteY4"/>
                            </a:cxn>
                          </a:cxnLst>
                          <a:rect l="l" t="t" r="r" b="b"/>
                          <a:pathLst>
                            <a:path w="8431276" h="4657851">
                              <a:moveTo>
                                <a:pt x="6350" y="6350"/>
                              </a:moveTo>
                              <a:lnTo>
                                <a:pt x="6350" y="4651501"/>
                              </a:lnTo>
                              <a:lnTo>
                                <a:pt x="8424925" y="4651501"/>
                              </a:lnTo>
                              <a:lnTo>
                                <a:pt x="8424925" y="6350"/>
                              </a:lnTo>
                              <a:lnTo>
                                <a:pt x="6350" y="6350"/>
                              </a:lnTo>
                            </a:path>
                          </a:pathLst>
                        </a:custGeom>
                        <a:solidFill>
                          <a:srgbClr val="000000">
                            <a:alpha val="0"/>
                          </a:srgbClr>
                        </a:solidFill>
                        <a:ln w="12700">
                          <a:solidFill>
                            <a:srgbClr val="010101">
                              <a:alpha val="100000"/>
                            </a:srgbClr>
                          </a:solidFill>
                          <a:prstDash val="solid"/>
                        </a:ln>
                      </a:spPr>
                      <a:txSp>
                        <a:txBody>
                          <a:bodyPr anchor="ctr"/>
                          <a:lstStyle>
                            <a:defPPr>
                              <a:defRPr lang="en-US"/>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fontAlgn="auto">
                              <a:spcBef>
                                <a:spcPts val="0"/>
                              </a:spcBef>
                              <a:spcAft>
                                <a:spcPts val="0"/>
                              </a:spcAft>
                              <a:defRPr/>
                            </a:pPr>
                            <a:endParaRPr lang="zh-CN" altLang="en-US"/>
                          </a:p>
                        </a:txBody>
                        <a:useSpRect/>
                      </a:txSp>
                      <a:style>
                        <a:lnRef idx="2">
                          <a:schemeClr val="accent1">
                            <a:shade val="50000"/>
                          </a:schemeClr>
                        </a:lnRef>
                        <a:fillRef idx="1">
                          <a:schemeClr val="accent1"/>
                        </a:fillRef>
                        <a:effectRef idx="0">
                          <a:schemeClr val="accent1"/>
                        </a:effectRef>
                        <a:fontRef idx="minor">
                          <a:schemeClr val="lt1"/>
                        </a:fontRef>
                      </a:style>
                    </a:sp>
                    <a:pic>
                      <a:nvPicPr>
                        <a:cNvPr id="8206" name="Picture 3"/>
                        <a:cNvPicPr>
                          <a:picLocks noChangeAspect="1" noChangeArrowheads="1"/>
                        </a:cNvPicPr>
                      </a:nvPicPr>
                      <a:blipFill>
                        <a:blip r:embed="rId6"/>
                        <a:srcRect/>
                        <a:stretch>
                          <a:fillRect/>
                        </a:stretch>
                      </a:blipFill>
                      <a:spPr bwMode="auto">
                        <a:xfrm>
                          <a:off x="2273300" y="2044700"/>
                          <a:ext cx="6311900" cy="4572000"/>
                        </a:xfrm>
                        <a:prstGeom prst="rect">
                          <a:avLst/>
                        </a:prstGeom>
                        <a:noFill/>
                        <a:ln w="9525">
                          <a:noFill/>
                          <a:miter lim="800000"/>
                          <a:headEnd/>
                          <a:tailEnd/>
                        </a:ln>
                      </a:spPr>
                    </a:pic>
                    <a:sp>
                      <a:nvSpPr>
                        <a:cNvPr id="25" name="TextBox 1"/>
                        <a:cNvSpPr txBox="1"/>
                      </a:nvSpPr>
                      <a:spPr>
                        <a:xfrm>
                          <a:off x="4508500" y="6108700"/>
                          <a:ext cx="1320800" cy="431800"/>
                        </a:xfrm>
                        <a:prstGeom prst="rect">
                          <a:avLst/>
                        </a:prstGeom>
                        <a:noFill/>
                      </a:spPr>
                      <a:txSp>
                        <a:txBody>
                          <a:bodyPr wrap="none" lIns="0" tIns="0" rIns="0">
                            <a:spAutoFit/>
                          </a:bodyPr>
                          <a:lstStyle>
                            <a:defPPr>
                              <a:defRPr lang="en-US"/>
                            </a:defPPr>
                            <a:lvl1pPr algn="l" rtl="0" fontAlgn="base">
                              <a:spcBef>
                                <a:spcPct val="0"/>
                              </a:spcBef>
                              <a:spcAft>
                                <a:spcPct val="0"/>
                              </a:spcAft>
                              <a:defRPr kern="1200">
                                <a:solidFill>
                                  <a:schemeClr val="tx1"/>
                                </a:solidFill>
                                <a:latin typeface="Arial" pitchFamily="34" charset="0"/>
                                <a:ea typeface="+mn-ea"/>
                                <a:cs typeface="+mn-cs"/>
                              </a:defRPr>
                            </a:lvl1pPr>
                            <a:lvl2pPr marL="457200" algn="l" rtl="0" fontAlgn="base">
                              <a:spcBef>
                                <a:spcPct val="0"/>
                              </a:spcBef>
                              <a:spcAft>
                                <a:spcPct val="0"/>
                              </a:spcAft>
                              <a:defRPr kern="1200">
                                <a:solidFill>
                                  <a:schemeClr val="tx1"/>
                                </a:solidFill>
                                <a:latin typeface="Arial" pitchFamily="34" charset="0"/>
                                <a:ea typeface="+mn-ea"/>
                                <a:cs typeface="+mn-cs"/>
                              </a:defRPr>
                            </a:lvl2pPr>
                            <a:lvl3pPr marL="914400" algn="l" rtl="0" fontAlgn="base">
                              <a:spcBef>
                                <a:spcPct val="0"/>
                              </a:spcBef>
                              <a:spcAft>
                                <a:spcPct val="0"/>
                              </a:spcAft>
                              <a:defRPr kern="1200">
                                <a:solidFill>
                                  <a:schemeClr val="tx1"/>
                                </a:solidFill>
                                <a:latin typeface="Arial" pitchFamily="34" charset="0"/>
                                <a:ea typeface="+mn-ea"/>
                                <a:cs typeface="+mn-cs"/>
                              </a:defRPr>
                            </a:lvl3pPr>
                            <a:lvl4pPr marL="1371600" algn="l" rtl="0" fontAlgn="base">
                              <a:spcBef>
                                <a:spcPct val="0"/>
                              </a:spcBef>
                              <a:spcAft>
                                <a:spcPct val="0"/>
                              </a:spcAft>
                              <a:defRPr kern="1200">
                                <a:solidFill>
                                  <a:schemeClr val="tx1"/>
                                </a:solidFill>
                                <a:latin typeface="Arial" pitchFamily="34" charset="0"/>
                                <a:ea typeface="+mn-ea"/>
                                <a:cs typeface="+mn-cs"/>
                              </a:defRPr>
                            </a:lvl4pPr>
                            <a:lvl5pPr marL="1828800" algn="l" rtl="0" fontAlgn="base">
                              <a:spcBef>
                                <a:spcPct val="0"/>
                              </a:spcBef>
                              <a:spcAft>
                                <a:spcPct val="0"/>
                              </a:spcAft>
                              <a:defRPr kern="1200">
                                <a:solidFill>
                                  <a:schemeClr val="tx1"/>
                                </a:solidFill>
                                <a:latin typeface="Arial" pitchFamily="34" charset="0"/>
                                <a:ea typeface="+mn-ea"/>
                                <a:cs typeface="+mn-cs"/>
                              </a:defRPr>
                            </a:lvl5pPr>
                            <a:lvl6pPr marL="2286000" algn="l" defTabSz="914400" rtl="0" eaLnBrk="1" latinLnBrk="0" hangingPunct="1">
                              <a:defRPr kern="1200">
                                <a:solidFill>
                                  <a:schemeClr val="tx1"/>
                                </a:solidFill>
                                <a:latin typeface="Arial" pitchFamily="34" charset="0"/>
                                <a:ea typeface="+mn-ea"/>
                                <a:cs typeface="+mn-cs"/>
                              </a:defRPr>
                            </a:lvl6pPr>
                            <a:lvl7pPr marL="2743200" algn="l" defTabSz="914400" rtl="0" eaLnBrk="1" latinLnBrk="0" hangingPunct="1">
                              <a:defRPr kern="1200">
                                <a:solidFill>
                                  <a:schemeClr val="tx1"/>
                                </a:solidFill>
                                <a:latin typeface="Arial" pitchFamily="34" charset="0"/>
                                <a:ea typeface="+mn-ea"/>
                                <a:cs typeface="+mn-cs"/>
                              </a:defRPr>
                            </a:lvl7pPr>
                            <a:lvl8pPr marL="3200400" algn="l" defTabSz="914400" rtl="0" eaLnBrk="1" latinLnBrk="0" hangingPunct="1">
                              <a:defRPr kern="1200">
                                <a:solidFill>
                                  <a:schemeClr val="tx1"/>
                                </a:solidFill>
                                <a:latin typeface="Arial" pitchFamily="34" charset="0"/>
                                <a:ea typeface="+mn-ea"/>
                                <a:cs typeface="+mn-cs"/>
                              </a:defRPr>
                            </a:lvl8pPr>
                            <a:lvl9pPr marL="3657600" algn="l" defTabSz="914400" rtl="0" eaLnBrk="1" latinLnBrk="0" hangingPunct="1">
                              <a:defRPr kern="1200">
                                <a:solidFill>
                                  <a:schemeClr val="tx1"/>
                                </a:solidFill>
                                <a:latin typeface="Arial" pitchFamily="34" charset="0"/>
                                <a:ea typeface="+mn-ea"/>
                                <a:cs typeface="+mn-cs"/>
                              </a:defRPr>
                            </a:lvl9pPr>
                          </a:lstStyle>
                          <a:p>
                            <a:pPr fontAlgn="auto">
                              <a:lnSpc>
                                <a:spcPts val="1400"/>
                              </a:lnSpc>
                              <a:spcBef>
                                <a:spcPts val="0"/>
                              </a:spcBef>
                              <a:spcAft>
                                <a:spcPts val="0"/>
                              </a:spcAft>
                              <a:defRPr/>
                            </a:pPr>
                            <a:r>
                              <a:rPr lang="en-US" altLang="zh-CN" sz="1602" b="1" dirty="0">
                                <a:solidFill>
                                  <a:srgbClr val="000000"/>
                                </a:solidFill>
                                <a:latin typeface="Times New Roman" pitchFamily="18" charset="0"/>
                                <a:cs typeface="Times New Roman" pitchFamily="18" charset="0"/>
                              </a:rPr>
                              <a:t>év.</a:t>
                            </a:r>
                            <a:r>
                              <a:rPr lang="en-US" altLang="zh-CN" sz="1602" dirty="0">
                                <a:latin typeface="Times New Roman" pitchFamily="18" charset="0"/>
                                <a:cs typeface="Times New Roman" pitchFamily="18" charset="0"/>
                              </a:rPr>
                              <a:t> </a:t>
                            </a:r>
                            <a:r>
                              <a:rPr lang="en-US" altLang="zh-CN" sz="1602" b="1" dirty="0">
                                <a:solidFill>
                                  <a:srgbClr val="000000"/>
                                </a:solidFill>
                                <a:latin typeface="Times New Roman" pitchFamily="18" charset="0"/>
                                <a:cs typeface="Times New Roman" pitchFamily="18" charset="0"/>
                              </a:rPr>
                              <a:t>canaux</a:t>
                            </a:r>
                            <a:r>
                              <a:rPr lang="en-US" altLang="zh-CN" sz="1602" dirty="0">
                                <a:latin typeface="Times New Roman" pitchFamily="18" charset="0"/>
                                <a:cs typeface="Times New Roman" pitchFamily="18" charset="0"/>
                              </a:rPr>
                              <a:t> </a:t>
                            </a:r>
                            <a:r>
                              <a:rPr lang="en-US" altLang="zh-CN" sz="1602" b="1" dirty="0">
                                <a:solidFill>
                                  <a:srgbClr val="000000"/>
                                </a:solidFill>
                                <a:latin typeface="Times New Roman" pitchFamily="18" charset="0"/>
                                <a:cs typeface="Times New Roman" pitchFamily="18" charset="0"/>
                              </a:rPr>
                              <a:t>de</a:t>
                            </a:r>
                          </a:p>
                          <a:p>
                            <a:pPr fontAlgn="auto">
                              <a:lnSpc>
                                <a:spcPts val="1900"/>
                              </a:lnSpc>
                              <a:spcBef>
                                <a:spcPts val="0"/>
                              </a:spcBef>
                              <a:spcAft>
                                <a:spcPts val="0"/>
                              </a:spcAft>
                              <a:defRPr/>
                            </a:pPr>
                            <a:r>
                              <a:rPr lang="en-US" altLang="zh-CN" sz="1602" b="1" dirty="0">
                                <a:solidFill>
                                  <a:srgbClr val="000000"/>
                                </a:solidFill>
                                <a:latin typeface="Times New Roman" pitchFamily="18" charset="0"/>
                                <a:cs typeface="Times New Roman" pitchFamily="18" charset="0"/>
                              </a:rPr>
                              <a:t>drainage</a:t>
                            </a:r>
                          </a:p>
                        </a:txBody>
                        <a:useSpRect/>
                      </a:txSp>
                    </a:sp>
                    <a:sp>
                      <a:nvSpPr>
                        <a:cNvPr id="26" name="TextBox 1"/>
                        <a:cNvSpPr txBox="1"/>
                      </a:nvSpPr>
                      <a:spPr>
                        <a:xfrm>
                          <a:off x="1358900" y="5854700"/>
                          <a:ext cx="1930400" cy="673100"/>
                        </a:xfrm>
                        <a:prstGeom prst="rect">
                          <a:avLst/>
                        </a:prstGeom>
                        <a:noFill/>
                      </a:spPr>
                      <a:txSp>
                        <a:txBody>
                          <a:bodyPr wrap="none" lIns="0" tIns="0" rIns="0">
                            <a:spAutoFit/>
                          </a:bodyPr>
                          <a:lstStyle>
                            <a:defPPr>
                              <a:defRPr lang="en-US"/>
                            </a:defPPr>
                            <a:lvl1pPr algn="l" rtl="0" fontAlgn="base">
                              <a:spcBef>
                                <a:spcPct val="0"/>
                              </a:spcBef>
                              <a:spcAft>
                                <a:spcPct val="0"/>
                              </a:spcAft>
                              <a:defRPr kern="1200">
                                <a:solidFill>
                                  <a:schemeClr val="tx1"/>
                                </a:solidFill>
                                <a:latin typeface="Arial" pitchFamily="34" charset="0"/>
                                <a:ea typeface="+mn-ea"/>
                                <a:cs typeface="+mn-cs"/>
                              </a:defRPr>
                            </a:lvl1pPr>
                            <a:lvl2pPr marL="457200" algn="l" rtl="0" fontAlgn="base">
                              <a:spcBef>
                                <a:spcPct val="0"/>
                              </a:spcBef>
                              <a:spcAft>
                                <a:spcPct val="0"/>
                              </a:spcAft>
                              <a:defRPr kern="1200">
                                <a:solidFill>
                                  <a:schemeClr val="tx1"/>
                                </a:solidFill>
                                <a:latin typeface="Arial" pitchFamily="34" charset="0"/>
                                <a:ea typeface="+mn-ea"/>
                                <a:cs typeface="+mn-cs"/>
                              </a:defRPr>
                            </a:lvl2pPr>
                            <a:lvl3pPr marL="914400" algn="l" rtl="0" fontAlgn="base">
                              <a:spcBef>
                                <a:spcPct val="0"/>
                              </a:spcBef>
                              <a:spcAft>
                                <a:spcPct val="0"/>
                              </a:spcAft>
                              <a:defRPr kern="1200">
                                <a:solidFill>
                                  <a:schemeClr val="tx1"/>
                                </a:solidFill>
                                <a:latin typeface="Arial" pitchFamily="34" charset="0"/>
                                <a:ea typeface="+mn-ea"/>
                                <a:cs typeface="+mn-cs"/>
                              </a:defRPr>
                            </a:lvl3pPr>
                            <a:lvl4pPr marL="1371600" algn="l" rtl="0" fontAlgn="base">
                              <a:spcBef>
                                <a:spcPct val="0"/>
                              </a:spcBef>
                              <a:spcAft>
                                <a:spcPct val="0"/>
                              </a:spcAft>
                              <a:defRPr kern="1200">
                                <a:solidFill>
                                  <a:schemeClr val="tx1"/>
                                </a:solidFill>
                                <a:latin typeface="Arial" pitchFamily="34" charset="0"/>
                                <a:ea typeface="+mn-ea"/>
                                <a:cs typeface="+mn-cs"/>
                              </a:defRPr>
                            </a:lvl4pPr>
                            <a:lvl5pPr marL="1828800" algn="l" rtl="0" fontAlgn="base">
                              <a:spcBef>
                                <a:spcPct val="0"/>
                              </a:spcBef>
                              <a:spcAft>
                                <a:spcPct val="0"/>
                              </a:spcAft>
                              <a:defRPr kern="1200">
                                <a:solidFill>
                                  <a:schemeClr val="tx1"/>
                                </a:solidFill>
                                <a:latin typeface="Arial" pitchFamily="34" charset="0"/>
                                <a:ea typeface="+mn-ea"/>
                                <a:cs typeface="+mn-cs"/>
                              </a:defRPr>
                            </a:lvl5pPr>
                            <a:lvl6pPr marL="2286000" algn="l" defTabSz="914400" rtl="0" eaLnBrk="1" latinLnBrk="0" hangingPunct="1">
                              <a:defRPr kern="1200">
                                <a:solidFill>
                                  <a:schemeClr val="tx1"/>
                                </a:solidFill>
                                <a:latin typeface="Arial" pitchFamily="34" charset="0"/>
                                <a:ea typeface="+mn-ea"/>
                                <a:cs typeface="+mn-cs"/>
                              </a:defRPr>
                            </a:lvl6pPr>
                            <a:lvl7pPr marL="2743200" algn="l" defTabSz="914400" rtl="0" eaLnBrk="1" latinLnBrk="0" hangingPunct="1">
                              <a:defRPr kern="1200">
                                <a:solidFill>
                                  <a:schemeClr val="tx1"/>
                                </a:solidFill>
                                <a:latin typeface="Arial" pitchFamily="34" charset="0"/>
                                <a:ea typeface="+mn-ea"/>
                                <a:cs typeface="+mn-cs"/>
                              </a:defRPr>
                            </a:lvl7pPr>
                            <a:lvl8pPr marL="3200400" algn="l" defTabSz="914400" rtl="0" eaLnBrk="1" latinLnBrk="0" hangingPunct="1">
                              <a:defRPr kern="1200">
                                <a:solidFill>
                                  <a:schemeClr val="tx1"/>
                                </a:solidFill>
                                <a:latin typeface="Arial" pitchFamily="34" charset="0"/>
                                <a:ea typeface="+mn-ea"/>
                                <a:cs typeface="+mn-cs"/>
                              </a:defRPr>
                            </a:lvl8pPr>
                            <a:lvl9pPr marL="3657600" algn="l" defTabSz="914400" rtl="0" eaLnBrk="1" latinLnBrk="0" hangingPunct="1">
                              <a:defRPr kern="1200">
                                <a:solidFill>
                                  <a:schemeClr val="tx1"/>
                                </a:solidFill>
                                <a:latin typeface="Arial" pitchFamily="34" charset="0"/>
                                <a:ea typeface="+mn-ea"/>
                                <a:cs typeface="+mn-cs"/>
                              </a:defRPr>
                            </a:lvl9pPr>
                          </a:lstStyle>
                          <a:p>
                            <a:pPr fontAlgn="auto">
                              <a:lnSpc>
                                <a:spcPts val="1400"/>
                              </a:lnSpc>
                              <a:spcBef>
                                <a:spcPts val="0"/>
                              </a:spcBef>
                              <a:spcAft>
                                <a:spcPts val="0"/>
                              </a:spcAft>
                              <a:defRPr/>
                            </a:pPr>
                            <a:r>
                              <a:rPr lang="en-US" altLang="zh-CN" sz="1602" b="1" dirty="0">
                                <a:solidFill>
                                  <a:srgbClr val="000000"/>
                                </a:solidFill>
                                <a:latin typeface="Times New Roman" pitchFamily="18" charset="0"/>
                                <a:cs typeface="Times New Roman" pitchFamily="18" charset="0"/>
                              </a:rPr>
                              <a:t>Déversement</a:t>
                            </a:r>
                            <a:r>
                              <a:rPr lang="en-US" altLang="zh-CN" sz="1602" dirty="0">
                                <a:latin typeface="Times New Roman" pitchFamily="18" charset="0"/>
                                <a:cs typeface="Times New Roman" pitchFamily="18" charset="0"/>
                              </a:rPr>
                              <a:t> </a:t>
                            </a:r>
                            <a:r>
                              <a:rPr lang="en-US" altLang="zh-CN" sz="1602" b="1" dirty="0">
                                <a:solidFill>
                                  <a:srgbClr val="000000"/>
                                </a:solidFill>
                                <a:latin typeface="Times New Roman" pitchFamily="18" charset="0"/>
                                <a:cs typeface="Times New Roman" pitchFamily="18" charset="0"/>
                              </a:rPr>
                              <a:t>latéral</a:t>
                            </a:r>
                          </a:p>
                          <a:p>
                            <a:pPr fontAlgn="auto">
                              <a:lnSpc>
                                <a:spcPts val="1900"/>
                              </a:lnSpc>
                              <a:spcBef>
                                <a:spcPts val="0"/>
                              </a:spcBef>
                              <a:spcAft>
                                <a:spcPts val="0"/>
                              </a:spcAft>
                              <a:defRPr/>
                            </a:pPr>
                            <a:r>
                              <a:rPr lang="en-US" altLang="zh-CN" sz="1602" b="1" dirty="0">
                                <a:solidFill>
                                  <a:srgbClr val="000000"/>
                                </a:solidFill>
                                <a:latin typeface="Times New Roman" pitchFamily="18" charset="0"/>
                                <a:cs typeface="Times New Roman" pitchFamily="18" charset="0"/>
                              </a:rPr>
                              <a:t>dans</a:t>
                            </a:r>
                            <a:r>
                              <a:rPr lang="en-US" altLang="zh-CN" sz="1602" dirty="0">
                                <a:latin typeface="Times New Roman" pitchFamily="18" charset="0"/>
                                <a:cs typeface="Times New Roman" pitchFamily="18" charset="0"/>
                              </a:rPr>
                              <a:t> </a:t>
                            </a:r>
                            <a:r>
                              <a:rPr lang="en-US" altLang="zh-CN" sz="1602" b="1" dirty="0">
                                <a:solidFill>
                                  <a:srgbClr val="000000"/>
                                </a:solidFill>
                                <a:latin typeface="Times New Roman" pitchFamily="18" charset="0"/>
                                <a:cs typeface="Times New Roman" pitchFamily="18" charset="0"/>
                              </a:rPr>
                              <a:t>la</a:t>
                            </a:r>
                            <a:r>
                              <a:rPr lang="en-US" altLang="zh-CN" sz="1602" dirty="0">
                                <a:latin typeface="Times New Roman" pitchFamily="18" charset="0"/>
                                <a:cs typeface="Times New Roman" pitchFamily="18" charset="0"/>
                              </a:rPr>
                              <a:t> </a:t>
                            </a:r>
                            <a:r>
                              <a:rPr lang="en-US" altLang="zh-CN" sz="1602" b="1" dirty="0">
                                <a:solidFill>
                                  <a:srgbClr val="000000"/>
                                </a:solidFill>
                                <a:latin typeface="Times New Roman" pitchFamily="18" charset="0"/>
                                <a:cs typeface="Times New Roman" pitchFamily="18" charset="0"/>
                              </a:rPr>
                              <a:t>zone</a:t>
                            </a:r>
                          </a:p>
                          <a:p>
                            <a:pPr fontAlgn="auto">
                              <a:lnSpc>
                                <a:spcPts val="1900"/>
                              </a:lnSpc>
                              <a:spcBef>
                                <a:spcPts val="0"/>
                              </a:spcBef>
                              <a:spcAft>
                                <a:spcPts val="0"/>
                              </a:spcAft>
                              <a:defRPr/>
                            </a:pPr>
                            <a:r>
                              <a:rPr lang="en-US" altLang="zh-CN" sz="1602" b="1" dirty="0">
                                <a:solidFill>
                                  <a:srgbClr val="000000"/>
                                </a:solidFill>
                                <a:latin typeface="Times New Roman" pitchFamily="18" charset="0"/>
                                <a:cs typeface="Times New Roman" pitchFamily="18" charset="0"/>
                              </a:rPr>
                              <a:t>d’épanchement</a:t>
                            </a:r>
                          </a:p>
                        </a:txBody>
                        <a:useSpRect/>
                      </a:txSp>
                    </a:sp>
                    <a:sp>
                      <a:nvSpPr>
                        <a:cNvPr id="27" name="TextBox 1"/>
                        <a:cNvSpPr txBox="1"/>
                      </a:nvSpPr>
                      <a:spPr>
                        <a:xfrm>
                          <a:off x="7124700" y="6057900"/>
                          <a:ext cx="1879600" cy="431800"/>
                        </a:xfrm>
                        <a:prstGeom prst="rect">
                          <a:avLst/>
                        </a:prstGeom>
                        <a:noFill/>
                      </a:spPr>
                      <a:txSp>
                        <a:txBody>
                          <a:bodyPr wrap="none" lIns="0" tIns="0" rIns="0">
                            <a:spAutoFit/>
                          </a:bodyPr>
                          <a:lstStyle>
                            <a:defPPr>
                              <a:defRPr lang="en-US"/>
                            </a:defPPr>
                            <a:lvl1pPr algn="l" rtl="0" fontAlgn="base">
                              <a:spcBef>
                                <a:spcPct val="0"/>
                              </a:spcBef>
                              <a:spcAft>
                                <a:spcPct val="0"/>
                              </a:spcAft>
                              <a:defRPr kern="1200">
                                <a:solidFill>
                                  <a:schemeClr val="tx1"/>
                                </a:solidFill>
                                <a:latin typeface="Arial" pitchFamily="34" charset="0"/>
                                <a:ea typeface="+mn-ea"/>
                                <a:cs typeface="+mn-cs"/>
                              </a:defRPr>
                            </a:lvl1pPr>
                            <a:lvl2pPr marL="457200" algn="l" rtl="0" fontAlgn="base">
                              <a:spcBef>
                                <a:spcPct val="0"/>
                              </a:spcBef>
                              <a:spcAft>
                                <a:spcPct val="0"/>
                              </a:spcAft>
                              <a:defRPr kern="1200">
                                <a:solidFill>
                                  <a:schemeClr val="tx1"/>
                                </a:solidFill>
                                <a:latin typeface="Arial" pitchFamily="34" charset="0"/>
                                <a:ea typeface="+mn-ea"/>
                                <a:cs typeface="+mn-cs"/>
                              </a:defRPr>
                            </a:lvl2pPr>
                            <a:lvl3pPr marL="914400" algn="l" rtl="0" fontAlgn="base">
                              <a:spcBef>
                                <a:spcPct val="0"/>
                              </a:spcBef>
                              <a:spcAft>
                                <a:spcPct val="0"/>
                              </a:spcAft>
                              <a:defRPr kern="1200">
                                <a:solidFill>
                                  <a:schemeClr val="tx1"/>
                                </a:solidFill>
                                <a:latin typeface="Arial" pitchFamily="34" charset="0"/>
                                <a:ea typeface="+mn-ea"/>
                                <a:cs typeface="+mn-cs"/>
                              </a:defRPr>
                            </a:lvl3pPr>
                            <a:lvl4pPr marL="1371600" algn="l" rtl="0" fontAlgn="base">
                              <a:spcBef>
                                <a:spcPct val="0"/>
                              </a:spcBef>
                              <a:spcAft>
                                <a:spcPct val="0"/>
                              </a:spcAft>
                              <a:defRPr kern="1200">
                                <a:solidFill>
                                  <a:schemeClr val="tx1"/>
                                </a:solidFill>
                                <a:latin typeface="Arial" pitchFamily="34" charset="0"/>
                                <a:ea typeface="+mn-ea"/>
                                <a:cs typeface="+mn-cs"/>
                              </a:defRPr>
                            </a:lvl4pPr>
                            <a:lvl5pPr marL="1828800" algn="l" rtl="0" fontAlgn="base">
                              <a:spcBef>
                                <a:spcPct val="0"/>
                              </a:spcBef>
                              <a:spcAft>
                                <a:spcPct val="0"/>
                              </a:spcAft>
                              <a:defRPr kern="1200">
                                <a:solidFill>
                                  <a:schemeClr val="tx1"/>
                                </a:solidFill>
                                <a:latin typeface="Arial" pitchFamily="34" charset="0"/>
                                <a:ea typeface="+mn-ea"/>
                                <a:cs typeface="+mn-cs"/>
                              </a:defRPr>
                            </a:lvl5pPr>
                            <a:lvl6pPr marL="2286000" algn="l" defTabSz="914400" rtl="0" eaLnBrk="1" latinLnBrk="0" hangingPunct="1">
                              <a:defRPr kern="1200">
                                <a:solidFill>
                                  <a:schemeClr val="tx1"/>
                                </a:solidFill>
                                <a:latin typeface="Arial" pitchFamily="34" charset="0"/>
                                <a:ea typeface="+mn-ea"/>
                                <a:cs typeface="+mn-cs"/>
                              </a:defRPr>
                            </a:lvl6pPr>
                            <a:lvl7pPr marL="2743200" algn="l" defTabSz="914400" rtl="0" eaLnBrk="1" latinLnBrk="0" hangingPunct="1">
                              <a:defRPr kern="1200">
                                <a:solidFill>
                                  <a:schemeClr val="tx1"/>
                                </a:solidFill>
                                <a:latin typeface="Arial" pitchFamily="34" charset="0"/>
                                <a:ea typeface="+mn-ea"/>
                                <a:cs typeface="+mn-cs"/>
                              </a:defRPr>
                            </a:lvl7pPr>
                            <a:lvl8pPr marL="3200400" algn="l" defTabSz="914400" rtl="0" eaLnBrk="1" latinLnBrk="0" hangingPunct="1">
                              <a:defRPr kern="1200">
                                <a:solidFill>
                                  <a:schemeClr val="tx1"/>
                                </a:solidFill>
                                <a:latin typeface="Arial" pitchFamily="34" charset="0"/>
                                <a:ea typeface="+mn-ea"/>
                                <a:cs typeface="+mn-cs"/>
                              </a:defRPr>
                            </a:lvl8pPr>
                            <a:lvl9pPr marL="3657600" algn="l" defTabSz="914400" rtl="0" eaLnBrk="1" latinLnBrk="0" hangingPunct="1">
                              <a:defRPr kern="1200">
                                <a:solidFill>
                                  <a:schemeClr val="tx1"/>
                                </a:solidFill>
                                <a:latin typeface="Arial" pitchFamily="34" charset="0"/>
                                <a:ea typeface="+mn-ea"/>
                                <a:cs typeface="+mn-cs"/>
                              </a:defRPr>
                            </a:lvl9pPr>
                          </a:lstStyle>
                          <a:p>
                            <a:pPr fontAlgn="auto">
                              <a:lnSpc>
                                <a:spcPts val="1400"/>
                              </a:lnSpc>
                              <a:spcBef>
                                <a:spcPts val="0"/>
                              </a:spcBef>
                              <a:spcAft>
                                <a:spcPts val="0"/>
                              </a:spcAft>
                              <a:defRPr/>
                            </a:pPr>
                            <a:r>
                              <a:rPr lang="en-US" altLang="zh-CN" sz="1602" b="1" dirty="0">
                                <a:solidFill>
                                  <a:srgbClr val="000000"/>
                                </a:solidFill>
                                <a:latin typeface="Times New Roman" pitchFamily="18" charset="0"/>
                                <a:cs typeface="Times New Roman" pitchFamily="18" charset="0"/>
                              </a:rPr>
                              <a:t>Section</a:t>
                            </a:r>
                            <a:r>
                              <a:rPr lang="en-US" altLang="zh-CN" sz="1602" dirty="0">
                                <a:latin typeface="Times New Roman" pitchFamily="18" charset="0"/>
                                <a:cs typeface="Times New Roman" pitchFamily="18" charset="0"/>
                              </a:rPr>
                              <a:t> </a:t>
                            </a:r>
                            <a:r>
                              <a:rPr lang="en-US" altLang="zh-CN" sz="1602" b="1" dirty="0">
                                <a:solidFill>
                                  <a:srgbClr val="000000"/>
                                </a:solidFill>
                                <a:latin typeface="Times New Roman" pitchFamily="18" charset="0"/>
                                <a:cs typeface="Times New Roman" pitchFamily="18" charset="0"/>
                              </a:rPr>
                              <a:t>de</a:t>
                            </a:r>
                            <a:r>
                              <a:rPr lang="en-US" altLang="zh-CN" sz="1602" dirty="0">
                                <a:latin typeface="Times New Roman" pitchFamily="18" charset="0"/>
                                <a:cs typeface="Times New Roman" pitchFamily="18" charset="0"/>
                              </a:rPr>
                              <a:t> </a:t>
                            </a:r>
                            <a:r>
                              <a:rPr lang="en-US" altLang="zh-CN" sz="1602" b="1" dirty="0">
                                <a:solidFill>
                                  <a:srgbClr val="000000"/>
                                </a:solidFill>
                                <a:latin typeface="Times New Roman" pitchFamily="18" charset="0"/>
                                <a:cs typeface="Times New Roman" pitchFamily="18" charset="0"/>
                              </a:rPr>
                              <a:t>contrôle</a:t>
                            </a:r>
                          </a:p>
                          <a:p>
                            <a:pPr fontAlgn="auto">
                              <a:lnSpc>
                                <a:spcPts val="1900"/>
                              </a:lnSpc>
                              <a:spcBef>
                                <a:spcPts val="0"/>
                              </a:spcBef>
                              <a:spcAft>
                                <a:spcPts val="0"/>
                              </a:spcAft>
                              <a:defRPr/>
                            </a:pPr>
                            <a:r>
                              <a:rPr lang="en-US" altLang="zh-CN" sz="1602" b="1" dirty="0">
                                <a:solidFill>
                                  <a:srgbClr val="000000"/>
                                </a:solidFill>
                                <a:latin typeface="Times New Roman" pitchFamily="18" charset="0"/>
                                <a:cs typeface="Times New Roman" pitchFamily="18" charset="0"/>
                              </a:rPr>
                              <a:t>(par</a:t>
                            </a:r>
                            <a:r>
                              <a:rPr lang="en-US" altLang="zh-CN" sz="1602" dirty="0">
                                <a:latin typeface="Times New Roman" pitchFamily="18" charset="0"/>
                                <a:cs typeface="Times New Roman" pitchFamily="18" charset="0"/>
                              </a:rPr>
                              <a:t> </a:t>
                            </a:r>
                            <a:r>
                              <a:rPr lang="en-US" altLang="zh-CN" sz="1602" b="1" dirty="0">
                                <a:solidFill>
                                  <a:srgbClr val="000000"/>
                                </a:solidFill>
                                <a:latin typeface="Times New Roman" pitchFamily="18" charset="0"/>
                                <a:cs typeface="Times New Roman" pitchFamily="18" charset="0"/>
                              </a:rPr>
                              <a:t>ex.</a:t>
                            </a:r>
                            <a:r>
                              <a:rPr lang="en-US" altLang="zh-CN" sz="1602" dirty="0">
                                <a:latin typeface="Times New Roman" pitchFamily="18" charset="0"/>
                                <a:cs typeface="Times New Roman" pitchFamily="18" charset="0"/>
                              </a:rPr>
                              <a:t> </a:t>
                            </a:r>
                            <a:r>
                              <a:rPr lang="en-US" altLang="zh-CN" sz="1602" b="1" dirty="0">
                                <a:solidFill>
                                  <a:srgbClr val="000000"/>
                                </a:solidFill>
                                <a:latin typeface="Times New Roman" pitchFamily="18" charset="0"/>
                                <a:cs typeface="Times New Roman" pitchFamily="18" charset="0"/>
                              </a:rPr>
                              <a:t>pont)</a:t>
                            </a:r>
                          </a:p>
                        </a:txBody>
                        <a:useSpRect/>
                      </a:txSp>
                    </a:sp>
                    <a:sp>
                      <a:nvSpPr>
                        <a:cNvPr id="28" name="TextBox 1"/>
                        <a:cNvSpPr txBox="1"/>
                      </a:nvSpPr>
                      <a:spPr>
                        <a:xfrm rot="18484205">
                          <a:off x="4495007" y="3544094"/>
                          <a:ext cx="635000" cy="306387"/>
                        </a:xfrm>
                        <a:prstGeom prst="rect">
                          <a:avLst/>
                        </a:prstGeom>
                        <a:noFill/>
                      </a:spPr>
                      <a:txSp>
                        <a:txBody>
                          <a:bodyPr wrap="none" lIns="0" tIns="0" rIns="0">
                            <a:spAutoFit/>
                          </a:bodyPr>
                          <a:lstStyle>
                            <a:defPPr>
                              <a:defRPr lang="en-US"/>
                            </a:defPPr>
                            <a:lvl1pPr algn="l" rtl="0" fontAlgn="base">
                              <a:spcBef>
                                <a:spcPct val="0"/>
                              </a:spcBef>
                              <a:spcAft>
                                <a:spcPct val="0"/>
                              </a:spcAft>
                              <a:defRPr kern="1200">
                                <a:solidFill>
                                  <a:schemeClr val="tx1"/>
                                </a:solidFill>
                                <a:latin typeface="Arial" pitchFamily="34" charset="0"/>
                                <a:ea typeface="+mn-ea"/>
                                <a:cs typeface="+mn-cs"/>
                              </a:defRPr>
                            </a:lvl1pPr>
                            <a:lvl2pPr marL="457200" algn="l" rtl="0" fontAlgn="base">
                              <a:spcBef>
                                <a:spcPct val="0"/>
                              </a:spcBef>
                              <a:spcAft>
                                <a:spcPct val="0"/>
                              </a:spcAft>
                              <a:defRPr kern="1200">
                                <a:solidFill>
                                  <a:schemeClr val="tx1"/>
                                </a:solidFill>
                                <a:latin typeface="Arial" pitchFamily="34" charset="0"/>
                                <a:ea typeface="+mn-ea"/>
                                <a:cs typeface="+mn-cs"/>
                              </a:defRPr>
                            </a:lvl2pPr>
                            <a:lvl3pPr marL="914400" algn="l" rtl="0" fontAlgn="base">
                              <a:spcBef>
                                <a:spcPct val="0"/>
                              </a:spcBef>
                              <a:spcAft>
                                <a:spcPct val="0"/>
                              </a:spcAft>
                              <a:defRPr kern="1200">
                                <a:solidFill>
                                  <a:schemeClr val="tx1"/>
                                </a:solidFill>
                                <a:latin typeface="Arial" pitchFamily="34" charset="0"/>
                                <a:ea typeface="+mn-ea"/>
                                <a:cs typeface="+mn-cs"/>
                              </a:defRPr>
                            </a:lvl3pPr>
                            <a:lvl4pPr marL="1371600" algn="l" rtl="0" fontAlgn="base">
                              <a:spcBef>
                                <a:spcPct val="0"/>
                              </a:spcBef>
                              <a:spcAft>
                                <a:spcPct val="0"/>
                              </a:spcAft>
                              <a:defRPr kern="1200">
                                <a:solidFill>
                                  <a:schemeClr val="tx1"/>
                                </a:solidFill>
                                <a:latin typeface="Arial" pitchFamily="34" charset="0"/>
                                <a:ea typeface="+mn-ea"/>
                                <a:cs typeface="+mn-cs"/>
                              </a:defRPr>
                            </a:lvl4pPr>
                            <a:lvl5pPr marL="1828800" algn="l" rtl="0" fontAlgn="base">
                              <a:spcBef>
                                <a:spcPct val="0"/>
                              </a:spcBef>
                              <a:spcAft>
                                <a:spcPct val="0"/>
                              </a:spcAft>
                              <a:defRPr kern="1200">
                                <a:solidFill>
                                  <a:schemeClr val="tx1"/>
                                </a:solidFill>
                                <a:latin typeface="Arial" pitchFamily="34" charset="0"/>
                                <a:ea typeface="+mn-ea"/>
                                <a:cs typeface="+mn-cs"/>
                              </a:defRPr>
                            </a:lvl5pPr>
                            <a:lvl6pPr marL="2286000" algn="l" defTabSz="914400" rtl="0" eaLnBrk="1" latinLnBrk="0" hangingPunct="1">
                              <a:defRPr kern="1200">
                                <a:solidFill>
                                  <a:schemeClr val="tx1"/>
                                </a:solidFill>
                                <a:latin typeface="Arial" pitchFamily="34" charset="0"/>
                                <a:ea typeface="+mn-ea"/>
                                <a:cs typeface="+mn-cs"/>
                              </a:defRPr>
                            </a:lvl6pPr>
                            <a:lvl7pPr marL="2743200" algn="l" defTabSz="914400" rtl="0" eaLnBrk="1" latinLnBrk="0" hangingPunct="1">
                              <a:defRPr kern="1200">
                                <a:solidFill>
                                  <a:schemeClr val="tx1"/>
                                </a:solidFill>
                                <a:latin typeface="Arial" pitchFamily="34" charset="0"/>
                                <a:ea typeface="+mn-ea"/>
                                <a:cs typeface="+mn-cs"/>
                              </a:defRPr>
                            </a:lvl7pPr>
                            <a:lvl8pPr marL="3200400" algn="l" defTabSz="914400" rtl="0" eaLnBrk="1" latinLnBrk="0" hangingPunct="1">
                              <a:defRPr kern="1200">
                                <a:solidFill>
                                  <a:schemeClr val="tx1"/>
                                </a:solidFill>
                                <a:latin typeface="Arial" pitchFamily="34" charset="0"/>
                                <a:ea typeface="+mn-ea"/>
                                <a:cs typeface="+mn-cs"/>
                              </a:defRPr>
                            </a:lvl8pPr>
                            <a:lvl9pPr marL="3657600" algn="l" defTabSz="914400" rtl="0" eaLnBrk="1" latinLnBrk="0" hangingPunct="1">
                              <a:defRPr kern="1200">
                                <a:solidFill>
                                  <a:schemeClr val="tx1"/>
                                </a:solidFill>
                                <a:latin typeface="Arial" pitchFamily="34" charset="0"/>
                                <a:ea typeface="+mn-ea"/>
                                <a:cs typeface="+mn-cs"/>
                              </a:defRPr>
                            </a:lvl9pPr>
                          </a:lstStyle>
                          <a:p>
                            <a:pPr fontAlgn="auto">
                              <a:lnSpc>
                                <a:spcPts val="2200"/>
                              </a:lnSpc>
                              <a:spcBef>
                                <a:spcPts val="0"/>
                              </a:spcBef>
                              <a:spcAft>
                                <a:spcPts val="0"/>
                              </a:spcAft>
                              <a:defRPr/>
                            </a:pPr>
                            <a:r>
                              <a:rPr lang="en-US" altLang="zh-CN" sz="1601" b="1" dirty="0" err="1">
                                <a:solidFill>
                                  <a:srgbClr val="000000"/>
                                </a:solidFill>
                                <a:latin typeface="Times New Roman" pitchFamily="18" charset="0"/>
                                <a:cs typeface="Times New Roman" pitchFamily="18" charset="0"/>
                              </a:rPr>
                              <a:t>Rivière</a:t>
                            </a:r>
                            <a:endParaRPr lang="en-US" altLang="zh-CN" sz="1601" b="1" dirty="0">
                              <a:solidFill>
                                <a:srgbClr val="000000"/>
                              </a:solidFill>
                              <a:latin typeface="Times New Roman" pitchFamily="18" charset="0"/>
                              <a:cs typeface="Times New Roman" pitchFamily="18" charset="0"/>
                            </a:endParaRPr>
                          </a:p>
                        </a:txBody>
                        <a:useSpRect/>
                      </a:txSp>
                    </a:sp>
                  </a:grpSp>
                </lc:lockedCanvas>
              </a:graphicData>
            </a:graphic>
          </wp:inline>
        </w:drawing>
      </w:r>
    </w:p>
    <w:p w:rsidR="006F1400" w:rsidRDefault="006F1400" w:rsidP="006F1400">
      <w:pPr>
        <w:autoSpaceDE w:val="0"/>
        <w:autoSpaceDN w:val="0"/>
        <w:adjustRightInd w:val="0"/>
        <w:spacing w:after="0" w:line="240" w:lineRule="auto"/>
        <w:jc w:val="center"/>
        <w:rPr>
          <w:rFonts w:ascii="Times New Roman" w:hAnsi="Times New Roman"/>
          <w:b/>
          <w:bCs/>
          <w:i/>
          <w:sz w:val="24"/>
          <w:szCs w:val="24"/>
        </w:rPr>
      </w:pPr>
      <w:r w:rsidRPr="00AC187B">
        <w:rPr>
          <w:rFonts w:ascii="Arial" w:hAnsi="Arial" w:cs="Arial"/>
          <w:bCs/>
          <w:sz w:val="24"/>
          <w:szCs w:val="24"/>
        </w:rPr>
        <w:t xml:space="preserve"> </w:t>
      </w:r>
      <w:r w:rsidRPr="00693D9D">
        <w:rPr>
          <w:rFonts w:ascii="Times New Roman" w:hAnsi="Times New Roman"/>
          <w:b/>
          <w:bCs/>
          <w:i/>
          <w:sz w:val="24"/>
          <w:szCs w:val="24"/>
        </w:rPr>
        <w:t>Figure 02- exploitation des zones inondables ou d’épanchement</w:t>
      </w:r>
    </w:p>
    <w:p w:rsidR="00693D9D" w:rsidRDefault="00693D9D" w:rsidP="006F1400">
      <w:pPr>
        <w:autoSpaceDE w:val="0"/>
        <w:autoSpaceDN w:val="0"/>
        <w:adjustRightInd w:val="0"/>
        <w:spacing w:after="0" w:line="240" w:lineRule="auto"/>
        <w:jc w:val="center"/>
        <w:rPr>
          <w:rFonts w:ascii="Times New Roman" w:hAnsi="Times New Roman"/>
          <w:b/>
          <w:bCs/>
          <w:i/>
          <w:sz w:val="24"/>
          <w:szCs w:val="24"/>
        </w:rPr>
      </w:pPr>
    </w:p>
    <w:p w:rsidR="00693D9D" w:rsidRPr="00693D9D" w:rsidRDefault="00693D9D" w:rsidP="006F1400">
      <w:pPr>
        <w:autoSpaceDE w:val="0"/>
        <w:autoSpaceDN w:val="0"/>
        <w:adjustRightInd w:val="0"/>
        <w:spacing w:after="0" w:line="240" w:lineRule="auto"/>
        <w:jc w:val="center"/>
        <w:rPr>
          <w:rFonts w:ascii="Times New Roman" w:hAnsi="Times New Roman"/>
          <w:b/>
          <w:bCs/>
          <w:i/>
          <w:sz w:val="24"/>
          <w:szCs w:val="24"/>
        </w:rPr>
      </w:pPr>
    </w:p>
    <w:p w:rsidR="006F1400" w:rsidRPr="00693D9D" w:rsidRDefault="006F1400" w:rsidP="006F1400">
      <w:pPr>
        <w:autoSpaceDE w:val="0"/>
        <w:autoSpaceDN w:val="0"/>
        <w:adjustRightInd w:val="0"/>
        <w:spacing w:after="0" w:line="240" w:lineRule="auto"/>
        <w:jc w:val="center"/>
        <w:rPr>
          <w:rFonts w:ascii="Times New Roman" w:hAnsi="Times New Roman"/>
          <w:b/>
          <w:bCs/>
          <w:i/>
          <w:sz w:val="24"/>
          <w:szCs w:val="24"/>
        </w:rPr>
      </w:pPr>
    </w:p>
    <w:p w:rsidR="006F1400" w:rsidRPr="00693D9D" w:rsidRDefault="006F1400" w:rsidP="006F1400">
      <w:pPr>
        <w:numPr>
          <w:ilvl w:val="1"/>
          <w:numId w:val="1"/>
        </w:numPr>
        <w:autoSpaceDE w:val="0"/>
        <w:autoSpaceDN w:val="0"/>
        <w:adjustRightInd w:val="0"/>
        <w:spacing w:after="120" w:line="240" w:lineRule="auto"/>
        <w:ind w:left="782" w:hanging="357"/>
        <w:jc w:val="both"/>
        <w:rPr>
          <w:rFonts w:ascii="Times New Roman" w:hAnsi="Times New Roman"/>
          <w:b/>
          <w:bCs/>
          <w:sz w:val="24"/>
          <w:szCs w:val="24"/>
          <w:u w:val="single"/>
        </w:rPr>
      </w:pPr>
      <w:r w:rsidRPr="00693D9D">
        <w:rPr>
          <w:rFonts w:ascii="Times New Roman" w:hAnsi="Times New Roman"/>
          <w:b/>
          <w:bCs/>
          <w:sz w:val="24"/>
          <w:szCs w:val="24"/>
        </w:rPr>
        <w:t xml:space="preserve"> Réalisation des bassins de rétention</w:t>
      </w:r>
    </w:p>
    <w:p w:rsidR="00693D9D" w:rsidRDefault="00693D9D" w:rsidP="006F1400">
      <w:pPr>
        <w:autoSpaceDE w:val="0"/>
        <w:autoSpaceDN w:val="0"/>
        <w:adjustRightInd w:val="0"/>
        <w:spacing w:after="0" w:line="240" w:lineRule="auto"/>
        <w:ind w:left="423"/>
        <w:jc w:val="both"/>
        <w:rPr>
          <w:rFonts w:ascii="Arial" w:hAnsi="Arial" w:cs="Arial"/>
          <w:bCs/>
          <w:sz w:val="24"/>
          <w:szCs w:val="24"/>
        </w:rPr>
      </w:pPr>
    </w:p>
    <w:p w:rsidR="006F1400" w:rsidRDefault="006F1400" w:rsidP="006F1400">
      <w:pPr>
        <w:autoSpaceDE w:val="0"/>
        <w:autoSpaceDN w:val="0"/>
        <w:adjustRightInd w:val="0"/>
        <w:spacing w:after="0" w:line="240" w:lineRule="auto"/>
        <w:ind w:left="423"/>
        <w:jc w:val="both"/>
        <w:rPr>
          <w:rFonts w:ascii="Times New Roman" w:hAnsi="Times New Roman"/>
          <w:bCs/>
          <w:sz w:val="24"/>
          <w:szCs w:val="24"/>
        </w:rPr>
      </w:pPr>
      <w:r w:rsidRPr="00693D9D">
        <w:rPr>
          <w:rFonts w:ascii="Times New Roman" w:hAnsi="Times New Roman"/>
          <w:bCs/>
          <w:sz w:val="24"/>
          <w:szCs w:val="24"/>
        </w:rPr>
        <w:t xml:space="preserve">Les bassins de rétention sont </w:t>
      </w:r>
      <w:proofErr w:type="gramStart"/>
      <w:r w:rsidRPr="00693D9D">
        <w:rPr>
          <w:rFonts w:ascii="Times New Roman" w:hAnsi="Times New Roman"/>
          <w:bCs/>
          <w:sz w:val="24"/>
          <w:szCs w:val="24"/>
        </w:rPr>
        <w:t>implanté</w:t>
      </w:r>
      <w:proofErr w:type="gramEnd"/>
      <w:r w:rsidRPr="00693D9D">
        <w:rPr>
          <w:rFonts w:ascii="Times New Roman" w:hAnsi="Times New Roman"/>
          <w:bCs/>
          <w:sz w:val="24"/>
          <w:szCs w:val="24"/>
        </w:rPr>
        <w:t xml:space="preserve"> en aval de la zone d’inondation. Ces bassins sont crée par la réalisation de barrages ou de retenues collinaires qui ont pour rôle le stockage temporaire ou permanent d’une fraction ou de la totalité du volume la crue.  </w:t>
      </w:r>
    </w:p>
    <w:p w:rsidR="00693D9D" w:rsidRPr="00693D9D" w:rsidRDefault="00693D9D" w:rsidP="006F1400">
      <w:pPr>
        <w:autoSpaceDE w:val="0"/>
        <w:autoSpaceDN w:val="0"/>
        <w:adjustRightInd w:val="0"/>
        <w:spacing w:after="0" w:line="240" w:lineRule="auto"/>
        <w:ind w:left="423"/>
        <w:jc w:val="both"/>
        <w:rPr>
          <w:rFonts w:ascii="Times New Roman" w:hAnsi="Times New Roman"/>
          <w:bCs/>
          <w:sz w:val="24"/>
          <w:szCs w:val="24"/>
          <w:u w:val="single"/>
        </w:rPr>
      </w:pPr>
    </w:p>
    <w:p w:rsidR="006F1400" w:rsidRDefault="006F1400" w:rsidP="006F1400">
      <w:pPr>
        <w:autoSpaceDE w:val="0"/>
        <w:autoSpaceDN w:val="0"/>
        <w:adjustRightInd w:val="0"/>
        <w:spacing w:after="0" w:line="240" w:lineRule="auto"/>
        <w:jc w:val="right"/>
        <w:rPr>
          <w:rFonts w:ascii="Arial" w:hAnsi="Arial" w:cs="Arial"/>
          <w:bCs/>
          <w:sz w:val="24"/>
          <w:szCs w:val="24"/>
          <w:u w:val="single"/>
        </w:rPr>
      </w:pPr>
    </w:p>
    <w:p w:rsidR="006F1400" w:rsidRDefault="006F1400" w:rsidP="006F1400">
      <w:pPr>
        <w:autoSpaceDE w:val="0"/>
        <w:autoSpaceDN w:val="0"/>
        <w:adjustRightInd w:val="0"/>
        <w:spacing w:after="0" w:line="240" w:lineRule="auto"/>
        <w:jc w:val="center"/>
        <w:rPr>
          <w:rFonts w:ascii="Arial" w:hAnsi="Arial" w:cs="Arial"/>
          <w:bCs/>
          <w:sz w:val="24"/>
          <w:szCs w:val="24"/>
        </w:rPr>
      </w:pPr>
      <w:r>
        <w:rPr>
          <w:rFonts w:ascii="Arial" w:hAnsi="Arial" w:cs="Arial"/>
          <w:bCs/>
          <w:noProof/>
          <w:sz w:val="24"/>
          <w:szCs w:val="24"/>
          <w:lang w:eastAsia="fr-FR"/>
        </w:rPr>
        <w:drawing>
          <wp:inline distT="0" distB="0" distL="0" distR="0">
            <wp:extent cx="4257675" cy="2286000"/>
            <wp:effectExtent l="19050" t="0" r="9525" b="0"/>
            <wp:docPr id="3" name="Objet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jet 3"/>
                    <pic:cNvPicPr>
                      <a:picLocks noChangeAspect="1" noChangeArrowheads="1"/>
                    </pic:cNvPicPr>
                  </pic:nvPicPr>
                  <pic:blipFill>
                    <a:blip r:embed="rId7"/>
                    <a:srcRect b="-302"/>
                    <a:stretch>
                      <a:fillRect/>
                    </a:stretch>
                  </pic:blipFill>
                  <pic:spPr bwMode="auto">
                    <a:xfrm>
                      <a:off x="0" y="0"/>
                      <a:ext cx="4257675" cy="2286000"/>
                    </a:xfrm>
                    <a:prstGeom prst="rect">
                      <a:avLst/>
                    </a:prstGeom>
                    <a:noFill/>
                    <a:ln w="9525">
                      <a:noFill/>
                      <a:miter lim="800000"/>
                      <a:headEnd/>
                      <a:tailEnd/>
                    </a:ln>
                  </pic:spPr>
                </pic:pic>
              </a:graphicData>
            </a:graphic>
          </wp:inline>
        </w:drawing>
      </w:r>
    </w:p>
    <w:p w:rsidR="00693D9D" w:rsidRDefault="00693D9D" w:rsidP="006F1400">
      <w:pPr>
        <w:autoSpaceDE w:val="0"/>
        <w:autoSpaceDN w:val="0"/>
        <w:adjustRightInd w:val="0"/>
        <w:spacing w:after="0" w:line="240" w:lineRule="auto"/>
        <w:jc w:val="center"/>
        <w:rPr>
          <w:rFonts w:ascii="Arial" w:hAnsi="Arial" w:cs="Arial"/>
          <w:bCs/>
          <w:sz w:val="24"/>
          <w:szCs w:val="24"/>
        </w:rPr>
      </w:pPr>
    </w:p>
    <w:p w:rsidR="006F1400" w:rsidRPr="00693D9D" w:rsidRDefault="006F1400" w:rsidP="006F1400">
      <w:pPr>
        <w:autoSpaceDE w:val="0"/>
        <w:autoSpaceDN w:val="0"/>
        <w:adjustRightInd w:val="0"/>
        <w:spacing w:after="0" w:line="240" w:lineRule="auto"/>
        <w:jc w:val="center"/>
        <w:rPr>
          <w:rFonts w:ascii="Times New Roman" w:hAnsi="Times New Roman"/>
          <w:b/>
          <w:bCs/>
          <w:i/>
          <w:sz w:val="24"/>
          <w:szCs w:val="24"/>
        </w:rPr>
      </w:pPr>
      <w:r w:rsidRPr="00693D9D">
        <w:rPr>
          <w:rFonts w:ascii="Times New Roman" w:hAnsi="Times New Roman"/>
          <w:b/>
          <w:bCs/>
          <w:i/>
          <w:sz w:val="24"/>
          <w:szCs w:val="24"/>
        </w:rPr>
        <w:t>Figure 03 Bassins de rétention en aval de la zone inondable</w:t>
      </w:r>
    </w:p>
    <w:p w:rsidR="006F1400" w:rsidRDefault="006F1400" w:rsidP="006F1400">
      <w:pPr>
        <w:autoSpaceDE w:val="0"/>
        <w:autoSpaceDN w:val="0"/>
        <w:adjustRightInd w:val="0"/>
        <w:spacing w:after="0" w:line="240" w:lineRule="auto"/>
        <w:jc w:val="right"/>
        <w:rPr>
          <w:rFonts w:ascii="Arial" w:hAnsi="Arial" w:cs="Arial"/>
          <w:bCs/>
          <w:sz w:val="24"/>
          <w:szCs w:val="24"/>
          <w:u w:val="single"/>
        </w:rPr>
      </w:pPr>
    </w:p>
    <w:p w:rsidR="006F1400" w:rsidRPr="00B87490" w:rsidRDefault="006F1400" w:rsidP="006F1400">
      <w:pPr>
        <w:autoSpaceDE w:val="0"/>
        <w:autoSpaceDN w:val="0"/>
        <w:adjustRightInd w:val="0"/>
        <w:spacing w:after="0" w:line="240" w:lineRule="auto"/>
        <w:jc w:val="center"/>
        <w:rPr>
          <w:rFonts w:ascii="Arial" w:hAnsi="Arial" w:cs="Arial"/>
          <w:bCs/>
          <w:sz w:val="24"/>
          <w:szCs w:val="24"/>
        </w:rPr>
      </w:pPr>
      <w:r>
        <w:rPr>
          <w:rFonts w:ascii="Arial" w:hAnsi="Arial" w:cs="Arial"/>
          <w:bCs/>
          <w:noProof/>
          <w:sz w:val="24"/>
          <w:szCs w:val="24"/>
          <w:lang w:eastAsia="fr-FR"/>
        </w:rPr>
        <w:lastRenderedPageBreak/>
        <w:drawing>
          <wp:inline distT="0" distB="0" distL="0" distR="0">
            <wp:extent cx="3867150" cy="2247900"/>
            <wp:effectExtent l="19050" t="0" r="0" b="0"/>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4"/>
                    <pic:cNvPicPr>
                      <a:picLocks noChangeAspect="1" noChangeArrowheads="1"/>
                    </pic:cNvPicPr>
                  </pic:nvPicPr>
                  <pic:blipFill>
                    <a:blip r:embed="rId8"/>
                    <a:srcRect/>
                    <a:stretch>
                      <a:fillRect/>
                    </a:stretch>
                  </pic:blipFill>
                  <pic:spPr bwMode="auto">
                    <a:xfrm>
                      <a:off x="0" y="0"/>
                      <a:ext cx="3867150" cy="2247900"/>
                    </a:xfrm>
                    <a:prstGeom prst="rect">
                      <a:avLst/>
                    </a:prstGeom>
                    <a:noFill/>
                    <a:ln w="9525">
                      <a:noFill/>
                      <a:miter lim="800000"/>
                      <a:headEnd/>
                      <a:tailEnd/>
                    </a:ln>
                  </pic:spPr>
                </pic:pic>
              </a:graphicData>
            </a:graphic>
          </wp:inline>
        </w:drawing>
      </w:r>
    </w:p>
    <w:p w:rsidR="00693D9D" w:rsidRDefault="00693D9D" w:rsidP="006F1400">
      <w:pPr>
        <w:autoSpaceDE w:val="0"/>
        <w:autoSpaceDN w:val="0"/>
        <w:adjustRightInd w:val="0"/>
        <w:spacing w:after="0" w:line="240" w:lineRule="auto"/>
        <w:jc w:val="center"/>
        <w:rPr>
          <w:rFonts w:ascii="Arial" w:hAnsi="Arial" w:cs="Arial"/>
          <w:bCs/>
          <w:sz w:val="24"/>
          <w:szCs w:val="24"/>
        </w:rPr>
      </w:pPr>
    </w:p>
    <w:p w:rsidR="006F1400" w:rsidRPr="00693D9D" w:rsidRDefault="006F1400" w:rsidP="006F1400">
      <w:pPr>
        <w:autoSpaceDE w:val="0"/>
        <w:autoSpaceDN w:val="0"/>
        <w:adjustRightInd w:val="0"/>
        <w:spacing w:after="0" w:line="240" w:lineRule="auto"/>
        <w:jc w:val="center"/>
        <w:rPr>
          <w:rFonts w:ascii="Times New Roman" w:hAnsi="Times New Roman"/>
          <w:b/>
          <w:bCs/>
          <w:i/>
          <w:sz w:val="24"/>
          <w:szCs w:val="24"/>
        </w:rPr>
      </w:pPr>
      <w:r w:rsidRPr="00693D9D">
        <w:rPr>
          <w:rFonts w:ascii="Times New Roman" w:hAnsi="Times New Roman"/>
          <w:b/>
          <w:bCs/>
          <w:i/>
          <w:sz w:val="24"/>
          <w:szCs w:val="24"/>
        </w:rPr>
        <w:t>Figure 04 Bassins de rétention non réglés par des vannes</w:t>
      </w:r>
    </w:p>
    <w:p w:rsidR="006F1400" w:rsidRPr="00693D9D" w:rsidRDefault="006F1400" w:rsidP="006F1400">
      <w:pPr>
        <w:autoSpaceDE w:val="0"/>
        <w:autoSpaceDN w:val="0"/>
        <w:adjustRightInd w:val="0"/>
        <w:spacing w:after="0" w:line="240" w:lineRule="auto"/>
        <w:jc w:val="center"/>
        <w:rPr>
          <w:rFonts w:ascii="Times New Roman" w:hAnsi="Times New Roman"/>
          <w:b/>
          <w:bCs/>
          <w:i/>
          <w:sz w:val="24"/>
          <w:szCs w:val="24"/>
        </w:rPr>
      </w:pPr>
    </w:p>
    <w:p w:rsidR="006F1400" w:rsidRPr="00AC187B" w:rsidRDefault="006F1400" w:rsidP="006F1400">
      <w:pPr>
        <w:autoSpaceDE w:val="0"/>
        <w:autoSpaceDN w:val="0"/>
        <w:adjustRightInd w:val="0"/>
        <w:spacing w:after="0" w:line="240" w:lineRule="auto"/>
        <w:jc w:val="center"/>
        <w:rPr>
          <w:rFonts w:ascii="Arial" w:hAnsi="Arial" w:cs="Arial"/>
          <w:bCs/>
          <w:sz w:val="24"/>
          <w:szCs w:val="24"/>
        </w:rPr>
      </w:pPr>
      <w:r>
        <w:rPr>
          <w:rFonts w:ascii="Arial" w:hAnsi="Arial" w:cs="Arial"/>
          <w:bCs/>
          <w:noProof/>
          <w:sz w:val="24"/>
          <w:szCs w:val="24"/>
          <w:lang w:eastAsia="fr-FR"/>
        </w:rPr>
        <w:drawing>
          <wp:inline distT="0" distB="0" distL="0" distR="0">
            <wp:extent cx="4051557" cy="2019300"/>
            <wp:effectExtent l="6093" t="0" r="0" b="0"/>
            <wp:docPr id="5" name="Objet 5"/>
            <wp:cNvGraphicFramePr>
              <a:graphicFrameLocks xmlns:a="http://schemas.openxmlformats.org/drawingml/2006/main"/>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8258175" cy="4584700"/>
                      <a:chOff x="923925" y="2108200"/>
                      <a:chExt cx="8258175" cy="4584700"/>
                    </a:xfrm>
                  </a:grpSpPr>
                  <a:grpSp>
                    <a:nvGrpSpPr>
                      <a:cNvPr id="8" name="Groupe 7"/>
                      <a:cNvGrpSpPr/>
                    </a:nvGrpSpPr>
                    <a:grpSpPr>
                      <a:xfrm>
                        <a:off x="923925" y="2108200"/>
                        <a:ext cx="8258175" cy="4584700"/>
                        <a:chOff x="923925" y="2108200"/>
                        <a:chExt cx="8258175" cy="4584700"/>
                      </a:xfrm>
                    </a:grpSpPr>
                    <a:sp>
                      <a:nvSpPr>
                        <a:cNvPr id="17" name="Freeform 3"/>
                        <a:cNvSpPr/>
                      </a:nvSpPr>
                      <a:spPr>
                        <a:xfrm>
                          <a:off x="1000125" y="2184400"/>
                          <a:ext cx="8175625" cy="4506913"/>
                        </a:xfrm>
                        <a:custGeom>
                          <a:avLst/>
                          <a:gdLst>
                            <a:gd name="connsiteX0" fmla="*/ 6350 w 8176006"/>
                            <a:gd name="connsiteY0" fmla="*/ 6350 h 4506214"/>
                            <a:gd name="connsiteX1" fmla="*/ 6350 w 8176006"/>
                            <a:gd name="connsiteY1" fmla="*/ 4499864 h 4506214"/>
                            <a:gd name="connsiteX2" fmla="*/ 8169655 w 8176006"/>
                            <a:gd name="connsiteY2" fmla="*/ 4499864 h 4506214"/>
                            <a:gd name="connsiteX3" fmla="*/ 8169655 w 8176006"/>
                            <a:gd name="connsiteY3" fmla="*/ 6350 h 4506214"/>
                            <a:gd name="connsiteX4" fmla="*/ 6350 w 8176006"/>
                            <a:gd name="connsiteY4" fmla="*/ 6350 h 4506214"/>
                          </a:gdLst>
                          <a:ahLst/>
                          <a:cxnLst>
                            <a:cxn ang="0">
                              <a:pos x="connsiteX0" y="connsiteY0"/>
                            </a:cxn>
                            <a:cxn ang="1">
                              <a:pos x="connsiteX1" y="connsiteY1"/>
                            </a:cxn>
                            <a:cxn ang="2">
                              <a:pos x="connsiteX2" y="connsiteY2"/>
                            </a:cxn>
                            <a:cxn ang="3">
                              <a:pos x="connsiteX3" y="connsiteY3"/>
                            </a:cxn>
                            <a:cxn ang="4">
                              <a:pos x="connsiteX4" y="connsiteY4"/>
                            </a:cxn>
                          </a:cxnLst>
                          <a:rect l="l" t="t" r="r" b="b"/>
                          <a:pathLst>
                            <a:path w="8176006" h="4506214">
                              <a:moveTo>
                                <a:pt x="6350" y="6350"/>
                              </a:moveTo>
                              <a:lnTo>
                                <a:pt x="6350" y="4499864"/>
                              </a:lnTo>
                              <a:lnTo>
                                <a:pt x="8169655" y="4499864"/>
                              </a:lnTo>
                              <a:lnTo>
                                <a:pt x="8169655" y="6350"/>
                              </a:lnTo>
                              <a:lnTo>
                                <a:pt x="6350" y="6350"/>
                              </a:lnTo>
                            </a:path>
                          </a:pathLst>
                        </a:custGeom>
                        <a:solidFill>
                          <a:srgbClr val="000000">
                            <a:alpha val="0"/>
                          </a:srgbClr>
                        </a:solidFill>
                        <a:ln w="12700">
                          <a:solidFill>
                            <a:srgbClr val="808080">
                              <a:alpha val="100000"/>
                            </a:srgbClr>
                          </a:solidFill>
                          <a:prstDash val="solid"/>
                        </a:ln>
                      </a:spPr>
                      <a:txSp>
                        <a:txBody>
                          <a:bodyPr anchor="ctr"/>
                          <a:lstStyle>
                            <a:defPPr>
                              <a:defRPr lang="en-US"/>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fontAlgn="auto">
                              <a:spcBef>
                                <a:spcPts val="0"/>
                              </a:spcBef>
                              <a:spcAft>
                                <a:spcPts val="0"/>
                              </a:spcAft>
                              <a:defRPr/>
                            </a:pPr>
                            <a:endParaRPr lang="zh-CN" alt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18" name="Freeform 3"/>
                        <a:cNvSpPr/>
                      </a:nvSpPr>
                      <a:spPr>
                        <a:xfrm>
                          <a:off x="923925" y="2108200"/>
                          <a:ext cx="8175625" cy="4506913"/>
                        </a:xfrm>
                        <a:custGeom>
                          <a:avLst/>
                          <a:gdLst>
                            <a:gd name="connsiteX0" fmla="*/ 6350 w 8176006"/>
                            <a:gd name="connsiteY0" fmla="*/ 6350 h 4506214"/>
                            <a:gd name="connsiteX1" fmla="*/ 6350 w 8176006"/>
                            <a:gd name="connsiteY1" fmla="*/ 4499864 h 4506214"/>
                            <a:gd name="connsiteX2" fmla="*/ 8169655 w 8176006"/>
                            <a:gd name="connsiteY2" fmla="*/ 4499864 h 4506214"/>
                            <a:gd name="connsiteX3" fmla="*/ 8169655 w 8176006"/>
                            <a:gd name="connsiteY3" fmla="*/ 6350 h 4506214"/>
                            <a:gd name="connsiteX4" fmla="*/ 6350 w 8176006"/>
                            <a:gd name="connsiteY4" fmla="*/ 6350 h 4506214"/>
                          </a:gdLst>
                          <a:ahLst/>
                          <a:cxnLst>
                            <a:cxn ang="0">
                              <a:pos x="connsiteX0" y="connsiteY0"/>
                            </a:cxn>
                            <a:cxn ang="1">
                              <a:pos x="connsiteX1" y="connsiteY1"/>
                            </a:cxn>
                            <a:cxn ang="2">
                              <a:pos x="connsiteX2" y="connsiteY2"/>
                            </a:cxn>
                            <a:cxn ang="3">
                              <a:pos x="connsiteX3" y="connsiteY3"/>
                            </a:cxn>
                            <a:cxn ang="4">
                              <a:pos x="connsiteX4" y="connsiteY4"/>
                            </a:cxn>
                          </a:cxnLst>
                          <a:rect l="l" t="t" r="r" b="b"/>
                          <a:pathLst>
                            <a:path w="8176006" h="4506214">
                              <a:moveTo>
                                <a:pt x="6350" y="6350"/>
                              </a:moveTo>
                              <a:lnTo>
                                <a:pt x="6350" y="4499864"/>
                              </a:lnTo>
                              <a:lnTo>
                                <a:pt x="8169655" y="4499864"/>
                              </a:lnTo>
                              <a:lnTo>
                                <a:pt x="8169655" y="6350"/>
                              </a:lnTo>
                              <a:lnTo>
                                <a:pt x="6350" y="6350"/>
                              </a:lnTo>
                            </a:path>
                          </a:pathLst>
                        </a:custGeom>
                        <a:solidFill>
                          <a:srgbClr val="000000">
                            <a:alpha val="0"/>
                          </a:srgbClr>
                        </a:solidFill>
                        <a:ln w="12700">
                          <a:solidFill>
                            <a:srgbClr val="010101">
                              <a:alpha val="100000"/>
                            </a:srgbClr>
                          </a:solidFill>
                          <a:prstDash val="solid"/>
                        </a:ln>
                      </a:spPr>
                      <a:txSp>
                        <a:txBody>
                          <a:bodyPr anchor="ctr"/>
                          <a:lstStyle>
                            <a:defPPr>
                              <a:defRPr lang="en-US"/>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fontAlgn="auto">
                              <a:spcBef>
                                <a:spcPts val="0"/>
                              </a:spcBef>
                              <a:spcAft>
                                <a:spcPts val="0"/>
                              </a:spcAft>
                              <a:defRPr/>
                            </a:pPr>
                            <a:endParaRPr lang="zh-CN" altLang="en-US"/>
                          </a:p>
                        </a:txBody>
                        <a:useSpRect/>
                      </a:txSp>
                      <a:style>
                        <a:lnRef idx="2">
                          <a:schemeClr val="accent1">
                            <a:shade val="50000"/>
                          </a:schemeClr>
                        </a:lnRef>
                        <a:fillRef idx="1">
                          <a:schemeClr val="accent1"/>
                        </a:fillRef>
                        <a:effectRef idx="0">
                          <a:schemeClr val="accent1"/>
                        </a:effectRef>
                        <a:fontRef idx="minor">
                          <a:schemeClr val="lt1"/>
                        </a:fontRef>
                      </a:style>
                    </a:sp>
                    <a:pic>
                      <a:nvPicPr>
                        <a:cNvPr id="11268" name="Picture 3"/>
                        <a:cNvPicPr>
                          <a:picLocks noChangeAspect="1" noChangeArrowheads="1"/>
                        </a:cNvPicPr>
                      </a:nvPicPr>
                      <a:blipFill>
                        <a:blip r:embed="rId9"/>
                        <a:srcRect/>
                        <a:stretch>
                          <a:fillRect/>
                        </a:stretch>
                      </a:blipFill>
                      <a:spPr bwMode="auto">
                        <a:xfrm>
                          <a:off x="927100" y="2108200"/>
                          <a:ext cx="8255000" cy="4584700"/>
                        </a:xfrm>
                        <a:prstGeom prst="rect">
                          <a:avLst/>
                        </a:prstGeom>
                        <a:noFill/>
                        <a:ln w="9525">
                          <a:noFill/>
                          <a:miter lim="800000"/>
                          <a:headEnd/>
                          <a:tailEnd/>
                        </a:ln>
                      </a:spPr>
                    </a:pic>
                    <a:sp>
                      <a:nvSpPr>
                        <a:cNvPr id="11269" name="TextBox 1"/>
                        <a:cNvSpPr txBox="1">
                          <a:spLocks noChangeArrowheads="1"/>
                        </a:cNvSpPr>
                      </a:nvSpPr>
                      <a:spPr bwMode="auto">
                        <a:xfrm>
                          <a:off x="1511300" y="4914900"/>
                          <a:ext cx="1992313" cy="469900"/>
                        </a:xfrm>
                        <a:prstGeom prst="rect">
                          <a:avLst/>
                        </a:prstGeom>
                        <a:noFill/>
                        <a:ln w="9525">
                          <a:noFill/>
                          <a:miter lim="800000"/>
                          <a:headEnd/>
                          <a:tailEnd/>
                        </a:ln>
                      </a:spPr>
                      <a:txSp>
                        <a:txBody>
                          <a:bodyPr wrap="none" lIns="0" tIns="0" rIns="0">
                            <a:spAutoFit/>
                          </a:bodyPr>
                          <a:lstStyle>
                            <a:defPPr>
                              <a:defRPr lang="en-US"/>
                            </a:defPPr>
                            <a:lvl1pPr algn="l" rtl="0" fontAlgn="base">
                              <a:spcBef>
                                <a:spcPct val="0"/>
                              </a:spcBef>
                              <a:spcAft>
                                <a:spcPct val="0"/>
                              </a:spcAft>
                              <a:defRPr kern="1200">
                                <a:solidFill>
                                  <a:schemeClr val="tx1"/>
                                </a:solidFill>
                                <a:latin typeface="Arial" pitchFamily="34" charset="0"/>
                                <a:ea typeface="+mn-ea"/>
                                <a:cs typeface="+mn-cs"/>
                              </a:defRPr>
                            </a:lvl1pPr>
                            <a:lvl2pPr marL="457200" algn="l" rtl="0" fontAlgn="base">
                              <a:spcBef>
                                <a:spcPct val="0"/>
                              </a:spcBef>
                              <a:spcAft>
                                <a:spcPct val="0"/>
                              </a:spcAft>
                              <a:defRPr kern="1200">
                                <a:solidFill>
                                  <a:schemeClr val="tx1"/>
                                </a:solidFill>
                                <a:latin typeface="Arial" pitchFamily="34" charset="0"/>
                                <a:ea typeface="+mn-ea"/>
                                <a:cs typeface="+mn-cs"/>
                              </a:defRPr>
                            </a:lvl2pPr>
                            <a:lvl3pPr marL="914400" algn="l" rtl="0" fontAlgn="base">
                              <a:spcBef>
                                <a:spcPct val="0"/>
                              </a:spcBef>
                              <a:spcAft>
                                <a:spcPct val="0"/>
                              </a:spcAft>
                              <a:defRPr kern="1200">
                                <a:solidFill>
                                  <a:schemeClr val="tx1"/>
                                </a:solidFill>
                                <a:latin typeface="Arial" pitchFamily="34" charset="0"/>
                                <a:ea typeface="+mn-ea"/>
                                <a:cs typeface="+mn-cs"/>
                              </a:defRPr>
                            </a:lvl3pPr>
                            <a:lvl4pPr marL="1371600" algn="l" rtl="0" fontAlgn="base">
                              <a:spcBef>
                                <a:spcPct val="0"/>
                              </a:spcBef>
                              <a:spcAft>
                                <a:spcPct val="0"/>
                              </a:spcAft>
                              <a:defRPr kern="1200">
                                <a:solidFill>
                                  <a:schemeClr val="tx1"/>
                                </a:solidFill>
                                <a:latin typeface="Arial" pitchFamily="34" charset="0"/>
                                <a:ea typeface="+mn-ea"/>
                                <a:cs typeface="+mn-cs"/>
                              </a:defRPr>
                            </a:lvl4pPr>
                            <a:lvl5pPr marL="1828800" algn="l" rtl="0" fontAlgn="base">
                              <a:spcBef>
                                <a:spcPct val="0"/>
                              </a:spcBef>
                              <a:spcAft>
                                <a:spcPct val="0"/>
                              </a:spcAft>
                              <a:defRPr kern="1200">
                                <a:solidFill>
                                  <a:schemeClr val="tx1"/>
                                </a:solidFill>
                                <a:latin typeface="Arial" pitchFamily="34" charset="0"/>
                                <a:ea typeface="+mn-ea"/>
                                <a:cs typeface="+mn-cs"/>
                              </a:defRPr>
                            </a:lvl5pPr>
                            <a:lvl6pPr marL="2286000" algn="l" defTabSz="914400" rtl="0" eaLnBrk="1" latinLnBrk="0" hangingPunct="1">
                              <a:defRPr kern="1200">
                                <a:solidFill>
                                  <a:schemeClr val="tx1"/>
                                </a:solidFill>
                                <a:latin typeface="Arial" pitchFamily="34" charset="0"/>
                                <a:ea typeface="+mn-ea"/>
                                <a:cs typeface="+mn-cs"/>
                              </a:defRPr>
                            </a:lvl6pPr>
                            <a:lvl7pPr marL="2743200" algn="l" defTabSz="914400" rtl="0" eaLnBrk="1" latinLnBrk="0" hangingPunct="1">
                              <a:defRPr kern="1200">
                                <a:solidFill>
                                  <a:schemeClr val="tx1"/>
                                </a:solidFill>
                                <a:latin typeface="Arial" pitchFamily="34" charset="0"/>
                                <a:ea typeface="+mn-ea"/>
                                <a:cs typeface="+mn-cs"/>
                              </a:defRPr>
                            </a:lvl7pPr>
                            <a:lvl8pPr marL="3200400" algn="l" defTabSz="914400" rtl="0" eaLnBrk="1" latinLnBrk="0" hangingPunct="1">
                              <a:defRPr kern="1200">
                                <a:solidFill>
                                  <a:schemeClr val="tx1"/>
                                </a:solidFill>
                                <a:latin typeface="Arial" pitchFamily="34" charset="0"/>
                                <a:ea typeface="+mn-ea"/>
                                <a:cs typeface="+mn-cs"/>
                              </a:defRPr>
                            </a:lvl8pPr>
                            <a:lvl9pPr marL="3657600" algn="l" defTabSz="914400" rtl="0" eaLnBrk="1" latinLnBrk="0" hangingPunct="1">
                              <a:defRPr kern="1200">
                                <a:solidFill>
                                  <a:schemeClr val="tx1"/>
                                </a:solidFill>
                                <a:latin typeface="Arial" pitchFamily="34" charset="0"/>
                                <a:ea typeface="+mn-ea"/>
                                <a:cs typeface="+mn-cs"/>
                              </a:defRPr>
                            </a:lvl9pPr>
                          </a:lstStyle>
                          <a:p>
                            <a:pPr>
                              <a:lnSpc>
                                <a:spcPts val="1400"/>
                              </a:lnSpc>
                            </a:pPr>
                            <a:r>
                              <a:rPr lang="en-US" altLang="zh-CN" b="1">
                                <a:solidFill>
                                  <a:srgbClr val="000000"/>
                                </a:solidFill>
                                <a:latin typeface="Times New Roman" pitchFamily="18" charset="0"/>
                                <a:cs typeface="Times New Roman" pitchFamily="18" charset="0"/>
                              </a:rPr>
                              <a:t>Volume</a:t>
                            </a:r>
                            <a:r>
                              <a:rPr lang="en-US" altLang="zh-CN">
                                <a:latin typeface="Times New Roman" pitchFamily="18" charset="0"/>
                                <a:cs typeface="Times New Roman" pitchFamily="18" charset="0"/>
                              </a:rPr>
                              <a:t> </a:t>
                            </a:r>
                            <a:r>
                              <a:rPr lang="en-US" altLang="zh-CN" b="1">
                                <a:solidFill>
                                  <a:srgbClr val="000000"/>
                                </a:solidFill>
                                <a:latin typeface="Times New Roman" pitchFamily="18" charset="0"/>
                                <a:cs typeface="Times New Roman" pitchFamily="18" charset="0"/>
                              </a:rPr>
                              <a:t>de</a:t>
                            </a:r>
                            <a:r>
                              <a:rPr lang="en-US" altLang="zh-CN">
                                <a:latin typeface="Times New Roman" pitchFamily="18" charset="0"/>
                                <a:cs typeface="Times New Roman" pitchFamily="18" charset="0"/>
                              </a:rPr>
                              <a:t> </a:t>
                            </a:r>
                            <a:r>
                              <a:rPr lang="en-US" altLang="zh-CN" b="1">
                                <a:solidFill>
                                  <a:srgbClr val="000000"/>
                                </a:solidFill>
                                <a:latin typeface="Times New Roman" pitchFamily="18" charset="0"/>
                                <a:cs typeface="Times New Roman" pitchFamily="18" charset="0"/>
                              </a:rPr>
                              <a:t>rétention</a:t>
                            </a:r>
                          </a:p>
                          <a:p>
                            <a:pPr>
                              <a:lnSpc>
                                <a:spcPts val="1900"/>
                              </a:lnSpc>
                            </a:pPr>
                            <a:r>
                              <a:rPr lang="en-US" altLang="zh-CN" b="1">
                                <a:solidFill>
                                  <a:srgbClr val="000000"/>
                                </a:solidFill>
                                <a:latin typeface="Times New Roman" pitchFamily="18" charset="0"/>
                                <a:cs typeface="Times New Roman" pitchFamily="18" charset="0"/>
                              </a:rPr>
                              <a:t>des</a:t>
                            </a:r>
                            <a:r>
                              <a:rPr lang="en-US" altLang="zh-CN">
                                <a:latin typeface="Times New Roman" pitchFamily="18" charset="0"/>
                                <a:cs typeface="Times New Roman" pitchFamily="18" charset="0"/>
                              </a:rPr>
                              <a:t> </a:t>
                            </a:r>
                            <a:r>
                              <a:rPr lang="en-US" altLang="zh-CN" b="1">
                                <a:solidFill>
                                  <a:srgbClr val="000000"/>
                                </a:solidFill>
                                <a:latin typeface="Times New Roman" pitchFamily="18" charset="0"/>
                                <a:cs typeface="Times New Roman" pitchFamily="18" charset="0"/>
                              </a:rPr>
                              <a:t>crues</a:t>
                            </a:r>
                          </a:p>
                        </a:txBody>
                        <a:useSpRect/>
                      </a:txSp>
                    </a:sp>
                    <a:sp>
                      <a:nvSpPr>
                        <a:cNvPr id="11271" name="Rectangle 26"/>
                        <a:cNvSpPr>
                          <a:spLocks noChangeArrowheads="1"/>
                        </a:cNvSpPr>
                      </a:nvSpPr>
                      <a:spPr bwMode="auto">
                        <a:xfrm>
                          <a:off x="1219200" y="2438400"/>
                          <a:ext cx="3581400" cy="990600"/>
                        </a:xfrm>
                        <a:prstGeom prst="rect">
                          <a:avLst/>
                        </a:prstGeom>
                        <a:noFill/>
                        <a:ln w="9525">
                          <a:noFill/>
                          <a:miter lim="800000"/>
                          <a:headEnd/>
                          <a:tailEnd/>
                        </a:ln>
                      </a:spPr>
                      <a:txSp>
                        <a:txBody>
                          <a:bodyPr>
                            <a:spAutoFit/>
                          </a:bodyPr>
                          <a:lstStyle>
                            <a:defPPr>
                              <a:defRPr lang="en-US"/>
                            </a:defPPr>
                            <a:lvl1pPr algn="l" rtl="0" fontAlgn="base">
                              <a:spcBef>
                                <a:spcPct val="0"/>
                              </a:spcBef>
                              <a:spcAft>
                                <a:spcPct val="0"/>
                              </a:spcAft>
                              <a:defRPr kern="1200">
                                <a:solidFill>
                                  <a:schemeClr val="tx1"/>
                                </a:solidFill>
                                <a:latin typeface="Arial" pitchFamily="34" charset="0"/>
                                <a:ea typeface="+mn-ea"/>
                                <a:cs typeface="+mn-cs"/>
                              </a:defRPr>
                            </a:lvl1pPr>
                            <a:lvl2pPr marL="457200" algn="l" rtl="0" fontAlgn="base">
                              <a:spcBef>
                                <a:spcPct val="0"/>
                              </a:spcBef>
                              <a:spcAft>
                                <a:spcPct val="0"/>
                              </a:spcAft>
                              <a:defRPr kern="1200">
                                <a:solidFill>
                                  <a:schemeClr val="tx1"/>
                                </a:solidFill>
                                <a:latin typeface="Arial" pitchFamily="34" charset="0"/>
                                <a:ea typeface="+mn-ea"/>
                                <a:cs typeface="+mn-cs"/>
                              </a:defRPr>
                            </a:lvl2pPr>
                            <a:lvl3pPr marL="914400" algn="l" rtl="0" fontAlgn="base">
                              <a:spcBef>
                                <a:spcPct val="0"/>
                              </a:spcBef>
                              <a:spcAft>
                                <a:spcPct val="0"/>
                              </a:spcAft>
                              <a:defRPr kern="1200">
                                <a:solidFill>
                                  <a:schemeClr val="tx1"/>
                                </a:solidFill>
                                <a:latin typeface="Arial" pitchFamily="34" charset="0"/>
                                <a:ea typeface="+mn-ea"/>
                                <a:cs typeface="+mn-cs"/>
                              </a:defRPr>
                            </a:lvl3pPr>
                            <a:lvl4pPr marL="1371600" algn="l" rtl="0" fontAlgn="base">
                              <a:spcBef>
                                <a:spcPct val="0"/>
                              </a:spcBef>
                              <a:spcAft>
                                <a:spcPct val="0"/>
                              </a:spcAft>
                              <a:defRPr kern="1200">
                                <a:solidFill>
                                  <a:schemeClr val="tx1"/>
                                </a:solidFill>
                                <a:latin typeface="Arial" pitchFamily="34" charset="0"/>
                                <a:ea typeface="+mn-ea"/>
                                <a:cs typeface="+mn-cs"/>
                              </a:defRPr>
                            </a:lvl4pPr>
                            <a:lvl5pPr marL="1828800" algn="l" rtl="0" fontAlgn="base">
                              <a:spcBef>
                                <a:spcPct val="0"/>
                              </a:spcBef>
                              <a:spcAft>
                                <a:spcPct val="0"/>
                              </a:spcAft>
                              <a:defRPr kern="1200">
                                <a:solidFill>
                                  <a:schemeClr val="tx1"/>
                                </a:solidFill>
                                <a:latin typeface="Arial" pitchFamily="34" charset="0"/>
                                <a:ea typeface="+mn-ea"/>
                                <a:cs typeface="+mn-cs"/>
                              </a:defRPr>
                            </a:lvl5pPr>
                            <a:lvl6pPr marL="2286000" algn="l" defTabSz="914400" rtl="0" eaLnBrk="1" latinLnBrk="0" hangingPunct="1">
                              <a:defRPr kern="1200">
                                <a:solidFill>
                                  <a:schemeClr val="tx1"/>
                                </a:solidFill>
                                <a:latin typeface="Arial" pitchFamily="34" charset="0"/>
                                <a:ea typeface="+mn-ea"/>
                                <a:cs typeface="+mn-cs"/>
                              </a:defRPr>
                            </a:lvl6pPr>
                            <a:lvl7pPr marL="2743200" algn="l" defTabSz="914400" rtl="0" eaLnBrk="1" latinLnBrk="0" hangingPunct="1">
                              <a:defRPr kern="1200">
                                <a:solidFill>
                                  <a:schemeClr val="tx1"/>
                                </a:solidFill>
                                <a:latin typeface="Arial" pitchFamily="34" charset="0"/>
                                <a:ea typeface="+mn-ea"/>
                                <a:cs typeface="+mn-cs"/>
                              </a:defRPr>
                            </a:lvl7pPr>
                            <a:lvl8pPr marL="3200400" algn="l" defTabSz="914400" rtl="0" eaLnBrk="1" latinLnBrk="0" hangingPunct="1">
                              <a:defRPr kern="1200">
                                <a:solidFill>
                                  <a:schemeClr val="tx1"/>
                                </a:solidFill>
                                <a:latin typeface="Arial" pitchFamily="34" charset="0"/>
                                <a:ea typeface="+mn-ea"/>
                                <a:cs typeface="+mn-cs"/>
                              </a:defRPr>
                            </a:lvl8pPr>
                            <a:lvl9pPr marL="3657600" algn="l" defTabSz="914400" rtl="0" eaLnBrk="1" latinLnBrk="0" hangingPunct="1">
                              <a:defRPr kern="1200">
                                <a:solidFill>
                                  <a:schemeClr val="tx1"/>
                                </a:solidFill>
                                <a:latin typeface="Arial" pitchFamily="34" charset="0"/>
                                <a:ea typeface="+mn-ea"/>
                                <a:cs typeface="+mn-cs"/>
                              </a:defRPr>
                            </a:lvl9pPr>
                          </a:lstStyle>
                          <a:p>
                            <a:pPr>
                              <a:lnSpc>
                                <a:spcPts val="2200"/>
                              </a:lnSpc>
                              <a:tabLst>
                                <a:tab pos="469900" algn="l"/>
                                <a:tab pos="1066800" algn="l"/>
                              </a:tabLst>
                            </a:pPr>
                            <a:r>
                              <a:rPr lang="en-US" altLang="zh-CN" b="1" dirty="0">
                                <a:solidFill>
                                  <a:srgbClr val="000000"/>
                                </a:solidFill>
                                <a:latin typeface="Times New Roman" pitchFamily="18" charset="0"/>
                                <a:cs typeface="Times New Roman" pitchFamily="18" charset="0"/>
                              </a:rPr>
                              <a:t>Volume</a:t>
                            </a:r>
                            <a:r>
                              <a:rPr lang="en-US" altLang="zh-CN" dirty="0">
                                <a:latin typeface="Times New Roman" pitchFamily="18" charset="0"/>
                                <a:cs typeface="Times New Roman" pitchFamily="18" charset="0"/>
                              </a:rPr>
                              <a:t> </a:t>
                            </a:r>
                            <a:r>
                              <a:rPr lang="en-US" altLang="zh-CN" b="1" dirty="0">
                                <a:solidFill>
                                  <a:srgbClr val="000000"/>
                                </a:solidFill>
                                <a:latin typeface="Times New Roman" pitchFamily="18" charset="0"/>
                                <a:cs typeface="Times New Roman" pitchFamily="18" charset="0"/>
                              </a:rPr>
                              <a:t>de</a:t>
                            </a:r>
                            <a:r>
                              <a:rPr lang="en-US" altLang="zh-CN" dirty="0">
                                <a:latin typeface="Times New Roman" pitchFamily="18" charset="0"/>
                                <a:cs typeface="Times New Roman" pitchFamily="18" charset="0"/>
                              </a:rPr>
                              <a:t> </a:t>
                            </a:r>
                            <a:r>
                              <a:rPr lang="en-US" altLang="zh-CN" b="1" dirty="0" err="1">
                                <a:solidFill>
                                  <a:srgbClr val="000000"/>
                                </a:solidFill>
                                <a:latin typeface="Times New Roman" pitchFamily="18" charset="0"/>
                                <a:cs typeface="Times New Roman" pitchFamily="18" charset="0"/>
                              </a:rPr>
                              <a:t>rétention</a:t>
                            </a:r>
                            <a:endParaRPr lang="en-US" altLang="zh-CN" b="1" dirty="0">
                              <a:solidFill>
                                <a:srgbClr val="000000"/>
                              </a:solidFill>
                              <a:latin typeface="Times New Roman" pitchFamily="18" charset="0"/>
                              <a:cs typeface="Times New Roman" pitchFamily="18" charset="0"/>
                            </a:endParaRPr>
                          </a:p>
                          <a:p>
                            <a:pPr>
                              <a:lnSpc>
                                <a:spcPts val="1900"/>
                              </a:lnSpc>
                              <a:tabLst>
                                <a:tab pos="469900" algn="l"/>
                                <a:tab pos="1066800" algn="l"/>
                              </a:tabLst>
                            </a:pPr>
                            <a:r>
                              <a:rPr lang="en-US" altLang="zh-CN" dirty="0">
                                <a:cs typeface="Times New Roman" pitchFamily="18" charset="0"/>
                              </a:rPr>
                              <a:t>		</a:t>
                            </a:r>
                            <a:r>
                              <a:rPr lang="en-US" altLang="zh-CN" b="1" dirty="0">
                                <a:solidFill>
                                  <a:srgbClr val="000000"/>
                                </a:solidFill>
                                <a:latin typeface="Times New Roman" pitchFamily="18" charset="0"/>
                                <a:cs typeface="Times New Roman" pitchFamily="18" charset="0"/>
                              </a:rPr>
                              <a:t>des</a:t>
                            </a:r>
                            <a:r>
                              <a:rPr lang="en-US" altLang="zh-CN" dirty="0">
                                <a:latin typeface="Times New Roman" pitchFamily="18" charset="0"/>
                                <a:cs typeface="Times New Roman" pitchFamily="18" charset="0"/>
                              </a:rPr>
                              <a:t> </a:t>
                            </a:r>
                            <a:r>
                              <a:rPr lang="en-US" altLang="zh-CN" b="1" dirty="0" err="1">
                                <a:solidFill>
                                  <a:srgbClr val="000000"/>
                                </a:solidFill>
                                <a:latin typeface="Times New Roman" pitchFamily="18" charset="0"/>
                                <a:cs typeface="Times New Roman" pitchFamily="18" charset="0"/>
                              </a:rPr>
                              <a:t>crues</a:t>
                            </a:r>
                            <a:endParaRPr lang="en-US" altLang="zh-CN" b="1" dirty="0">
                              <a:solidFill>
                                <a:srgbClr val="000000"/>
                              </a:solidFill>
                              <a:latin typeface="Times New Roman" pitchFamily="18" charset="0"/>
                              <a:cs typeface="Times New Roman" pitchFamily="18" charset="0"/>
                            </a:endParaRPr>
                          </a:p>
                          <a:p>
                            <a:pPr>
                              <a:lnSpc>
                                <a:spcPts val="1000"/>
                              </a:lnSpc>
                              <a:tabLst>
                                <a:tab pos="469900" algn="l"/>
                                <a:tab pos="1066800" algn="l"/>
                              </a:tabLst>
                            </a:pPr>
                            <a:endParaRPr lang="en-US" altLang="zh-CN" dirty="0">
                              <a:cs typeface="Times New Roman" pitchFamily="18" charset="0"/>
                            </a:endParaRPr>
                          </a:p>
                          <a:p>
                            <a:pPr>
                              <a:lnSpc>
                                <a:spcPts val="1900"/>
                              </a:lnSpc>
                              <a:tabLst>
                                <a:tab pos="469900" algn="l"/>
                                <a:tab pos="1066800" algn="l"/>
                              </a:tabLst>
                            </a:pPr>
                            <a:r>
                              <a:rPr lang="en-US" altLang="zh-CN" b="1" dirty="0">
                                <a:solidFill>
                                  <a:srgbClr val="000000"/>
                                </a:solidFill>
                                <a:latin typeface="Times New Roman" pitchFamily="18" charset="0"/>
                                <a:cs typeface="Times New Roman" pitchFamily="18" charset="0"/>
                              </a:rPr>
                              <a:t>Lac</a:t>
                            </a:r>
                            <a:r>
                              <a:rPr lang="en-US" altLang="zh-CN" dirty="0">
                                <a:latin typeface="Times New Roman" pitchFamily="18" charset="0"/>
                                <a:cs typeface="Times New Roman" pitchFamily="18" charset="0"/>
                              </a:rPr>
                              <a:t> </a:t>
                            </a:r>
                            <a:r>
                              <a:rPr lang="en-US" altLang="zh-CN" b="1" dirty="0">
                                <a:solidFill>
                                  <a:srgbClr val="000000"/>
                                </a:solidFill>
                                <a:latin typeface="Times New Roman" pitchFamily="18" charset="0"/>
                                <a:cs typeface="Times New Roman" pitchFamily="18" charset="0"/>
                              </a:rPr>
                              <a:t>permanent</a:t>
                            </a:r>
                          </a:p>
                        </a:txBody>
                        <a:useSpRect/>
                      </a:txSp>
                    </a:sp>
                  </a:grpSp>
                </lc:lockedCanvas>
              </a:graphicData>
            </a:graphic>
          </wp:inline>
        </w:drawing>
      </w:r>
    </w:p>
    <w:p w:rsidR="00693D9D" w:rsidRDefault="00693D9D" w:rsidP="006F1400">
      <w:pPr>
        <w:autoSpaceDE w:val="0"/>
        <w:autoSpaceDN w:val="0"/>
        <w:adjustRightInd w:val="0"/>
        <w:spacing w:after="0" w:line="240" w:lineRule="auto"/>
        <w:jc w:val="center"/>
        <w:rPr>
          <w:rFonts w:ascii="Arial" w:hAnsi="Arial" w:cs="Arial"/>
          <w:bCs/>
          <w:sz w:val="24"/>
          <w:szCs w:val="24"/>
        </w:rPr>
      </w:pPr>
    </w:p>
    <w:p w:rsidR="006F1400" w:rsidRDefault="006F1400" w:rsidP="006F1400">
      <w:pPr>
        <w:autoSpaceDE w:val="0"/>
        <w:autoSpaceDN w:val="0"/>
        <w:adjustRightInd w:val="0"/>
        <w:spacing w:after="0" w:line="240" w:lineRule="auto"/>
        <w:jc w:val="center"/>
        <w:rPr>
          <w:rFonts w:ascii="Times New Roman" w:hAnsi="Times New Roman"/>
          <w:b/>
          <w:bCs/>
          <w:i/>
          <w:sz w:val="24"/>
          <w:szCs w:val="24"/>
        </w:rPr>
      </w:pPr>
      <w:r w:rsidRPr="00693D9D">
        <w:rPr>
          <w:rFonts w:ascii="Times New Roman" w:hAnsi="Times New Roman"/>
          <w:b/>
          <w:bCs/>
          <w:i/>
          <w:sz w:val="24"/>
          <w:szCs w:val="24"/>
        </w:rPr>
        <w:t>Figure 05 Bassins de rétention non réglés par des vannes</w:t>
      </w:r>
    </w:p>
    <w:p w:rsidR="00693D9D" w:rsidRDefault="00693D9D" w:rsidP="006F1400">
      <w:pPr>
        <w:autoSpaceDE w:val="0"/>
        <w:autoSpaceDN w:val="0"/>
        <w:adjustRightInd w:val="0"/>
        <w:spacing w:after="0" w:line="240" w:lineRule="auto"/>
        <w:jc w:val="center"/>
        <w:rPr>
          <w:rFonts w:ascii="Times New Roman" w:hAnsi="Times New Roman"/>
          <w:b/>
          <w:bCs/>
          <w:i/>
          <w:sz w:val="24"/>
          <w:szCs w:val="24"/>
        </w:rPr>
      </w:pPr>
    </w:p>
    <w:p w:rsidR="00693D9D" w:rsidRPr="00693D9D" w:rsidRDefault="00693D9D" w:rsidP="006F1400">
      <w:pPr>
        <w:autoSpaceDE w:val="0"/>
        <w:autoSpaceDN w:val="0"/>
        <w:adjustRightInd w:val="0"/>
        <w:spacing w:after="0" w:line="240" w:lineRule="auto"/>
        <w:jc w:val="center"/>
        <w:rPr>
          <w:rFonts w:ascii="Times New Roman" w:hAnsi="Times New Roman"/>
          <w:b/>
          <w:bCs/>
          <w:i/>
          <w:sz w:val="24"/>
          <w:szCs w:val="24"/>
        </w:rPr>
      </w:pPr>
    </w:p>
    <w:p w:rsidR="006F1400" w:rsidRPr="00693D9D" w:rsidRDefault="006F1400" w:rsidP="006F1400">
      <w:pPr>
        <w:numPr>
          <w:ilvl w:val="0"/>
          <w:numId w:val="2"/>
        </w:numPr>
        <w:autoSpaceDE w:val="0"/>
        <w:autoSpaceDN w:val="0"/>
        <w:adjustRightInd w:val="0"/>
        <w:spacing w:before="120" w:after="120" w:line="240" w:lineRule="auto"/>
        <w:jc w:val="both"/>
        <w:rPr>
          <w:rFonts w:ascii="Times New Roman" w:hAnsi="Times New Roman"/>
          <w:b/>
          <w:bCs/>
          <w:sz w:val="24"/>
          <w:szCs w:val="24"/>
          <w:u w:val="single"/>
        </w:rPr>
      </w:pPr>
      <w:proofErr w:type="spellStart"/>
      <w:r w:rsidRPr="00693D9D">
        <w:rPr>
          <w:rFonts w:ascii="Times New Roman" w:hAnsi="Times New Roman"/>
          <w:b/>
          <w:bCs/>
          <w:sz w:val="24"/>
          <w:szCs w:val="24"/>
          <w:u w:val="single"/>
          <w:lang w:val="en-US"/>
        </w:rPr>
        <w:t>Aménagement</w:t>
      </w:r>
      <w:proofErr w:type="spellEnd"/>
      <w:r w:rsidRPr="00693D9D">
        <w:rPr>
          <w:rFonts w:ascii="Times New Roman" w:hAnsi="Times New Roman"/>
          <w:b/>
          <w:bCs/>
          <w:sz w:val="24"/>
          <w:szCs w:val="24"/>
          <w:u w:val="single"/>
          <w:lang w:val="en-US"/>
        </w:rPr>
        <w:t xml:space="preserve"> du </w:t>
      </w:r>
      <w:proofErr w:type="spellStart"/>
      <w:r w:rsidRPr="00693D9D">
        <w:rPr>
          <w:rFonts w:ascii="Times New Roman" w:hAnsi="Times New Roman"/>
          <w:b/>
          <w:bCs/>
          <w:sz w:val="24"/>
          <w:szCs w:val="24"/>
          <w:u w:val="single"/>
          <w:lang w:val="en-US"/>
        </w:rPr>
        <w:t>cours</w:t>
      </w:r>
      <w:proofErr w:type="spellEnd"/>
      <w:r w:rsidRPr="00693D9D">
        <w:rPr>
          <w:rFonts w:ascii="Times New Roman" w:hAnsi="Times New Roman"/>
          <w:b/>
          <w:bCs/>
          <w:sz w:val="24"/>
          <w:szCs w:val="24"/>
          <w:u w:val="single"/>
          <w:lang w:val="en-US"/>
        </w:rPr>
        <w:t xml:space="preserve"> </w:t>
      </w:r>
      <w:proofErr w:type="spellStart"/>
      <w:r w:rsidRPr="00693D9D">
        <w:rPr>
          <w:rFonts w:ascii="Times New Roman" w:hAnsi="Times New Roman"/>
          <w:b/>
          <w:bCs/>
          <w:sz w:val="24"/>
          <w:szCs w:val="24"/>
          <w:u w:val="single"/>
          <w:lang w:val="en-US"/>
        </w:rPr>
        <w:t>d’eau</w:t>
      </w:r>
      <w:proofErr w:type="spellEnd"/>
    </w:p>
    <w:p w:rsidR="00693D9D" w:rsidRPr="00693D9D" w:rsidRDefault="00693D9D" w:rsidP="00693D9D">
      <w:pPr>
        <w:autoSpaceDE w:val="0"/>
        <w:autoSpaceDN w:val="0"/>
        <w:adjustRightInd w:val="0"/>
        <w:spacing w:before="120" w:after="120" w:line="240" w:lineRule="auto"/>
        <w:ind w:left="783"/>
        <w:jc w:val="both"/>
        <w:rPr>
          <w:rFonts w:ascii="Times New Roman" w:hAnsi="Times New Roman"/>
          <w:b/>
          <w:bCs/>
          <w:sz w:val="24"/>
          <w:szCs w:val="24"/>
          <w:u w:val="single"/>
        </w:rPr>
      </w:pPr>
    </w:p>
    <w:p w:rsidR="006F1400" w:rsidRPr="00693D9D" w:rsidRDefault="006F1400" w:rsidP="006F1400">
      <w:pPr>
        <w:autoSpaceDE w:val="0"/>
        <w:autoSpaceDN w:val="0"/>
        <w:adjustRightInd w:val="0"/>
        <w:spacing w:before="120" w:after="120" w:line="240" w:lineRule="auto"/>
        <w:ind w:left="423"/>
        <w:jc w:val="both"/>
        <w:rPr>
          <w:rFonts w:ascii="Times New Roman" w:hAnsi="Times New Roman"/>
          <w:bCs/>
          <w:sz w:val="24"/>
          <w:szCs w:val="24"/>
        </w:rPr>
      </w:pPr>
      <w:r w:rsidRPr="00693D9D">
        <w:rPr>
          <w:rFonts w:ascii="Times New Roman" w:hAnsi="Times New Roman"/>
          <w:bCs/>
          <w:sz w:val="24"/>
          <w:szCs w:val="24"/>
        </w:rPr>
        <w:t>L’aménagement du cours d’eau vise généralement à augmenter la capacité du cours d'eau et de permettre le passage des crues dans des conditions de sécurité favorables pour les agglomérations est les zones situées au voisinage du cours d’eau. L’aménagement se fait selon les techniques suivantes :</w:t>
      </w:r>
    </w:p>
    <w:p w:rsidR="006F1400" w:rsidRPr="00693D9D" w:rsidRDefault="006F1400" w:rsidP="006F1400">
      <w:pPr>
        <w:numPr>
          <w:ilvl w:val="0"/>
          <w:numId w:val="3"/>
        </w:numPr>
        <w:autoSpaceDE w:val="0"/>
        <w:autoSpaceDN w:val="0"/>
        <w:adjustRightInd w:val="0"/>
        <w:spacing w:before="120" w:after="120" w:line="240" w:lineRule="auto"/>
        <w:ind w:left="783" w:hanging="357"/>
        <w:jc w:val="both"/>
        <w:rPr>
          <w:rFonts w:ascii="Times New Roman" w:hAnsi="Times New Roman"/>
          <w:bCs/>
          <w:sz w:val="24"/>
          <w:szCs w:val="24"/>
        </w:rPr>
      </w:pPr>
      <w:r w:rsidRPr="00693D9D">
        <w:rPr>
          <w:rFonts w:ascii="Times New Roman" w:hAnsi="Times New Roman"/>
          <w:b/>
          <w:bCs/>
          <w:sz w:val="24"/>
          <w:szCs w:val="24"/>
        </w:rPr>
        <w:t xml:space="preserve">Elimination des obstacles à l'écoulement : </w:t>
      </w:r>
      <w:r w:rsidRPr="00693D9D">
        <w:rPr>
          <w:rFonts w:ascii="Times New Roman" w:hAnsi="Times New Roman"/>
          <w:bCs/>
          <w:sz w:val="24"/>
          <w:szCs w:val="24"/>
        </w:rPr>
        <w:t>(Rétrécissements locaux, végétation, passage sous ponts, ponceaux)</w:t>
      </w:r>
    </w:p>
    <w:p w:rsidR="006F1400" w:rsidRPr="00693D9D" w:rsidRDefault="006F1400" w:rsidP="006F1400">
      <w:pPr>
        <w:numPr>
          <w:ilvl w:val="0"/>
          <w:numId w:val="3"/>
        </w:numPr>
        <w:autoSpaceDE w:val="0"/>
        <w:autoSpaceDN w:val="0"/>
        <w:adjustRightInd w:val="0"/>
        <w:spacing w:before="120" w:after="120" w:line="240" w:lineRule="auto"/>
        <w:ind w:left="783"/>
        <w:jc w:val="both"/>
        <w:rPr>
          <w:rFonts w:ascii="Times New Roman" w:hAnsi="Times New Roman"/>
          <w:bCs/>
          <w:sz w:val="24"/>
          <w:szCs w:val="24"/>
        </w:rPr>
      </w:pPr>
      <w:r w:rsidRPr="00693D9D">
        <w:rPr>
          <w:rFonts w:ascii="Times New Roman" w:hAnsi="Times New Roman"/>
          <w:b/>
          <w:bCs/>
          <w:sz w:val="24"/>
          <w:szCs w:val="24"/>
        </w:rPr>
        <w:t xml:space="preserve">Agrandissement de la section: </w:t>
      </w:r>
      <w:r w:rsidRPr="00693D9D">
        <w:rPr>
          <w:rFonts w:ascii="Times New Roman" w:hAnsi="Times New Roman"/>
          <w:bCs/>
          <w:sz w:val="24"/>
          <w:szCs w:val="24"/>
        </w:rPr>
        <w:t>(Endiguements, levées, élargissements, approfondissement du lit)</w:t>
      </w:r>
    </w:p>
    <w:p w:rsidR="006F1400" w:rsidRPr="00693D9D" w:rsidRDefault="006F1400" w:rsidP="006F1400">
      <w:pPr>
        <w:numPr>
          <w:ilvl w:val="0"/>
          <w:numId w:val="3"/>
        </w:numPr>
        <w:autoSpaceDE w:val="0"/>
        <w:autoSpaceDN w:val="0"/>
        <w:adjustRightInd w:val="0"/>
        <w:spacing w:before="120" w:after="120" w:line="240" w:lineRule="auto"/>
        <w:ind w:left="720"/>
        <w:jc w:val="both"/>
        <w:rPr>
          <w:rFonts w:ascii="Times New Roman" w:hAnsi="Times New Roman"/>
          <w:bCs/>
          <w:sz w:val="24"/>
          <w:szCs w:val="24"/>
        </w:rPr>
      </w:pPr>
      <w:r w:rsidRPr="00693D9D">
        <w:rPr>
          <w:rFonts w:ascii="Times New Roman" w:hAnsi="Times New Roman"/>
          <w:b/>
          <w:bCs/>
          <w:sz w:val="24"/>
          <w:szCs w:val="24"/>
        </w:rPr>
        <w:t xml:space="preserve">Augmentation de la capacité: </w:t>
      </w:r>
      <w:r w:rsidRPr="00693D9D">
        <w:rPr>
          <w:rFonts w:ascii="Times New Roman" w:hAnsi="Times New Roman"/>
          <w:bCs/>
          <w:sz w:val="24"/>
          <w:szCs w:val="24"/>
        </w:rPr>
        <w:t>(Raccourcissement du tracé, agrandissement de la pente du lit)</w:t>
      </w:r>
    </w:p>
    <w:p w:rsidR="006F1400" w:rsidRDefault="006F1400" w:rsidP="006F1400">
      <w:pPr>
        <w:autoSpaceDE w:val="0"/>
        <w:autoSpaceDN w:val="0"/>
        <w:adjustRightInd w:val="0"/>
        <w:spacing w:before="120" w:after="120" w:line="240" w:lineRule="auto"/>
        <w:jc w:val="center"/>
        <w:rPr>
          <w:rFonts w:ascii="Arial" w:hAnsi="Arial" w:cs="Arial"/>
          <w:bCs/>
          <w:sz w:val="24"/>
          <w:szCs w:val="24"/>
        </w:rPr>
      </w:pPr>
      <w:r>
        <w:rPr>
          <w:rFonts w:ascii="Arial" w:hAnsi="Arial" w:cs="Arial"/>
          <w:bCs/>
          <w:noProof/>
          <w:sz w:val="24"/>
          <w:szCs w:val="24"/>
          <w:lang w:eastAsia="fr-FR"/>
        </w:rPr>
        <w:lastRenderedPageBreak/>
        <w:drawing>
          <wp:inline distT="0" distB="0" distL="0" distR="0">
            <wp:extent cx="5979022" cy="809625"/>
            <wp:effectExtent l="0" t="0" r="2678" b="0"/>
            <wp:docPr id="6" name="Objet 6"/>
            <wp:cNvGraphicFramePr>
              <a:graphicFrameLocks xmlns:a="http://schemas.openxmlformats.org/drawingml/2006/main"/>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9131300" cy="1447800"/>
                      <a:chOff x="495300" y="1371600"/>
                      <a:chExt cx="9131300" cy="1447800"/>
                    </a:xfrm>
                  </a:grpSpPr>
                  <a:grpSp>
                    <a:nvGrpSpPr>
                      <a:cNvPr id="17413" name="Groupe 31"/>
                      <a:cNvGrpSpPr>
                        <a:grpSpLocks/>
                      </a:cNvGrpSpPr>
                    </a:nvGrpSpPr>
                    <a:grpSpPr bwMode="auto">
                      <a:xfrm>
                        <a:off x="495300" y="1371600"/>
                        <a:ext cx="9131300" cy="1447800"/>
                        <a:chOff x="495300" y="1905000"/>
                        <a:chExt cx="9131300" cy="1447800"/>
                      </a:xfrm>
                    </a:grpSpPr>
                    <a:pic>
                      <a:nvPicPr>
                        <a:cNvPr id="17415" name="Picture 3"/>
                        <a:cNvPicPr>
                          <a:picLocks noChangeAspect="1" noChangeArrowheads="1"/>
                        </a:cNvPicPr>
                      </a:nvPicPr>
                      <a:blipFill>
                        <a:blip r:embed="rId10"/>
                        <a:srcRect/>
                        <a:stretch>
                          <a:fillRect/>
                        </a:stretch>
                      </a:blipFill>
                      <a:spPr bwMode="auto">
                        <a:xfrm>
                          <a:off x="495300" y="1905000"/>
                          <a:ext cx="9131300" cy="1447800"/>
                        </a:xfrm>
                        <a:prstGeom prst="rect">
                          <a:avLst/>
                        </a:prstGeom>
                        <a:noFill/>
                        <a:ln w="9525">
                          <a:noFill/>
                          <a:miter lim="800000"/>
                          <a:headEnd/>
                          <a:tailEnd/>
                        </a:ln>
                      </a:spPr>
                    </a:pic>
                    <a:sp>
                      <a:nvSpPr>
                        <a:cNvPr id="28" name="TextBox 1"/>
                        <a:cNvSpPr txBox="1"/>
                      </a:nvSpPr>
                      <a:spPr>
                        <a:xfrm>
                          <a:off x="596900" y="2044700"/>
                          <a:ext cx="215900" cy="228600"/>
                        </a:xfrm>
                        <a:prstGeom prst="rect">
                          <a:avLst/>
                        </a:prstGeom>
                        <a:noFill/>
                      </a:spPr>
                      <a:txSp>
                        <a:txBody>
                          <a:bodyPr wrap="none" lIns="0" tIns="0" rIns="0">
                            <a:spAutoFit/>
                          </a:bodyPr>
                          <a:lstStyle>
                            <a:defPPr>
                              <a:defRPr lang="en-US"/>
                            </a:defPPr>
                            <a:lvl1pPr algn="l" rtl="0" fontAlgn="base">
                              <a:spcBef>
                                <a:spcPct val="0"/>
                              </a:spcBef>
                              <a:spcAft>
                                <a:spcPct val="0"/>
                              </a:spcAft>
                              <a:defRPr kern="1200">
                                <a:solidFill>
                                  <a:schemeClr val="tx1"/>
                                </a:solidFill>
                                <a:latin typeface="Arial" pitchFamily="34" charset="0"/>
                                <a:ea typeface="+mn-ea"/>
                                <a:cs typeface="+mn-cs"/>
                              </a:defRPr>
                            </a:lvl1pPr>
                            <a:lvl2pPr marL="457200" algn="l" rtl="0" fontAlgn="base">
                              <a:spcBef>
                                <a:spcPct val="0"/>
                              </a:spcBef>
                              <a:spcAft>
                                <a:spcPct val="0"/>
                              </a:spcAft>
                              <a:defRPr kern="1200">
                                <a:solidFill>
                                  <a:schemeClr val="tx1"/>
                                </a:solidFill>
                                <a:latin typeface="Arial" pitchFamily="34" charset="0"/>
                                <a:ea typeface="+mn-ea"/>
                                <a:cs typeface="+mn-cs"/>
                              </a:defRPr>
                            </a:lvl2pPr>
                            <a:lvl3pPr marL="914400" algn="l" rtl="0" fontAlgn="base">
                              <a:spcBef>
                                <a:spcPct val="0"/>
                              </a:spcBef>
                              <a:spcAft>
                                <a:spcPct val="0"/>
                              </a:spcAft>
                              <a:defRPr kern="1200">
                                <a:solidFill>
                                  <a:schemeClr val="tx1"/>
                                </a:solidFill>
                                <a:latin typeface="Arial" pitchFamily="34" charset="0"/>
                                <a:ea typeface="+mn-ea"/>
                                <a:cs typeface="+mn-cs"/>
                              </a:defRPr>
                            </a:lvl3pPr>
                            <a:lvl4pPr marL="1371600" algn="l" rtl="0" fontAlgn="base">
                              <a:spcBef>
                                <a:spcPct val="0"/>
                              </a:spcBef>
                              <a:spcAft>
                                <a:spcPct val="0"/>
                              </a:spcAft>
                              <a:defRPr kern="1200">
                                <a:solidFill>
                                  <a:schemeClr val="tx1"/>
                                </a:solidFill>
                                <a:latin typeface="Arial" pitchFamily="34" charset="0"/>
                                <a:ea typeface="+mn-ea"/>
                                <a:cs typeface="+mn-cs"/>
                              </a:defRPr>
                            </a:lvl4pPr>
                            <a:lvl5pPr marL="1828800" algn="l" rtl="0" fontAlgn="base">
                              <a:spcBef>
                                <a:spcPct val="0"/>
                              </a:spcBef>
                              <a:spcAft>
                                <a:spcPct val="0"/>
                              </a:spcAft>
                              <a:defRPr kern="1200">
                                <a:solidFill>
                                  <a:schemeClr val="tx1"/>
                                </a:solidFill>
                                <a:latin typeface="Arial" pitchFamily="34" charset="0"/>
                                <a:ea typeface="+mn-ea"/>
                                <a:cs typeface="+mn-cs"/>
                              </a:defRPr>
                            </a:lvl5pPr>
                            <a:lvl6pPr marL="2286000" algn="l" defTabSz="914400" rtl="0" eaLnBrk="1" latinLnBrk="0" hangingPunct="1">
                              <a:defRPr kern="1200">
                                <a:solidFill>
                                  <a:schemeClr val="tx1"/>
                                </a:solidFill>
                                <a:latin typeface="Arial" pitchFamily="34" charset="0"/>
                                <a:ea typeface="+mn-ea"/>
                                <a:cs typeface="+mn-cs"/>
                              </a:defRPr>
                            </a:lvl6pPr>
                            <a:lvl7pPr marL="2743200" algn="l" defTabSz="914400" rtl="0" eaLnBrk="1" latinLnBrk="0" hangingPunct="1">
                              <a:defRPr kern="1200">
                                <a:solidFill>
                                  <a:schemeClr val="tx1"/>
                                </a:solidFill>
                                <a:latin typeface="Arial" pitchFamily="34" charset="0"/>
                                <a:ea typeface="+mn-ea"/>
                                <a:cs typeface="+mn-cs"/>
                              </a:defRPr>
                            </a:lvl7pPr>
                            <a:lvl8pPr marL="3200400" algn="l" defTabSz="914400" rtl="0" eaLnBrk="1" latinLnBrk="0" hangingPunct="1">
                              <a:defRPr kern="1200">
                                <a:solidFill>
                                  <a:schemeClr val="tx1"/>
                                </a:solidFill>
                                <a:latin typeface="Arial" pitchFamily="34" charset="0"/>
                                <a:ea typeface="+mn-ea"/>
                                <a:cs typeface="+mn-cs"/>
                              </a:defRPr>
                            </a:lvl8pPr>
                            <a:lvl9pPr marL="3657600" algn="l" defTabSz="914400" rtl="0" eaLnBrk="1" latinLnBrk="0" hangingPunct="1">
                              <a:defRPr kern="1200">
                                <a:solidFill>
                                  <a:schemeClr val="tx1"/>
                                </a:solidFill>
                                <a:latin typeface="Arial" pitchFamily="34" charset="0"/>
                                <a:ea typeface="+mn-ea"/>
                                <a:cs typeface="+mn-cs"/>
                              </a:defRPr>
                            </a:lvl9pPr>
                          </a:lstStyle>
                          <a:p>
                            <a:pPr fontAlgn="auto">
                              <a:lnSpc>
                                <a:spcPts val="1800"/>
                              </a:lnSpc>
                              <a:spcBef>
                                <a:spcPts val="0"/>
                              </a:spcBef>
                              <a:spcAft>
                                <a:spcPts val="0"/>
                              </a:spcAft>
                              <a:defRPr/>
                            </a:pPr>
                            <a:r>
                              <a:rPr lang="en-US" altLang="zh-CN" sz="1997" dirty="0">
                                <a:solidFill>
                                  <a:srgbClr val="000000"/>
                                </a:solidFill>
                                <a:latin typeface="Times New Roman" pitchFamily="18" charset="0"/>
                                <a:cs typeface="Times New Roman" pitchFamily="18" charset="0"/>
                              </a:rPr>
                              <a:t>a)</a:t>
                            </a:r>
                          </a:p>
                        </a:txBody>
                        <a:useSpRect/>
                      </a:txSp>
                    </a:sp>
                    <a:sp>
                      <a:nvSpPr>
                        <a:cNvPr id="29" name="TextBox 1"/>
                        <a:cNvSpPr txBox="1"/>
                      </a:nvSpPr>
                      <a:spPr>
                        <a:xfrm>
                          <a:off x="3924300" y="2044700"/>
                          <a:ext cx="215900" cy="228600"/>
                        </a:xfrm>
                        <a:prstGeom prst="rect">
                          <a:avLst/>
                        </a:prstGeom>
                        <a:noFill/>
                      </a:spPr>
                      <a:txSp>
                        <a:txBody>
                          <a:bodyPr wrap="none" lIns="0" tIns="0" rIns="0">
                            <a:spAutoFit/>
                          </a:bodyPr>
                          <a:lstStyle>
                            <a:defPPr>
                              <a:defRPr lang="en-US"/>
                            </a:defPPr>
                            <a:lvl1pPr algn="l" rtl="0" fontAlgn="base">
                              <a:spcBef>
                                <a:spcPct val="0"/>
                              </a:spcBef>
                              <a:spcAft>
                                <a:spcPct val="0"/>
                              </a:spcAft>
                              <a:defRPr kern="1200">
                                <a:solidFill>
                                  <a:schemeClr val="tx1"/>
                                </a:solidFill>
                                <a:latin typeface="Arial" pitchFamily="34" charset="0"/>
                                <a:ea typeface="+mn-ea"/>
                                <a:cs typeface="+mn-cs"/>
                              </a:defRPr>
                            </a:lvl1pPr>
                            <a:lvl2pPr marL="457200" algn="l" rtl="0" fontAlgn="base">
                              <a:spcBef>
                                <a:spcPct val="0"/>
                              </a:spcBef>
                              <a:spcAft>
                                <a:spcPct val="0"/>
                              </a:spcAft>
                              <a:defRPr kern="1200">
                                <a:solidFill>
                                  <a:schemeClr val="tx1"/>
                                </a:solidFill>
                                <a:latin typeface="Arial" pitchFamily="34" charset="0"/>
                                <a:ea typeface="+mn-ea"/>
                                <a:cs typeface="+mn-cs"/>
                              </a:defRPr>
                            </a:lvl2pPr>
                            <a:lvl3pPr marL="914400" algn="l" rtl="0" fontAlgn="base">
                              <a:spcBef>
                                <a:spcPct val="0"/>
                              </a:spcBef>
                              <a:spcAft>
                                <a:spcPct val="0"/>
                              </a:spcAft>
                              <a:defRPr kern="1200">
                                <a:solidFill>
                                  <a:schemeClr val="tx1"/>
                                </a:solidFill>
                                <a:latin typeface="Arial" pitchFamily="34" charset="0"/>
                                <a:ea typeface="+mn-ea"/>
                                <a:cs typeface="+mn-cs"/>
                              </a:defRPr>
                            </a:lvl3pPr>
                            <a:lvl4pPr marL="1371600" algn="l" rtl="0" fontAlgn="base">
                              <a:spcBef>
                                <a:spcPct val="0"/>
                              </a:spcBef>
                              <a:spcAft>
                                <a:spcPct val="0"/>
                              </a:spcAft>
                              <a:defRPr kern="1200">
                                <a:solidFill>
                                  <a:schemeClr val="tx1"/>
                                </a:solidFill>
                                <a:latin typeface="Arial" pitchFamily="34" charset="0"/>
                                <a:ea typeface="+mn-ea"/>
                                <a:cs typeface="+mn-cs"/>
                              </a:defRPr>
                            </a:lvl4pPr>
                            <a:lvl5pPr marL="1828800" algn="l" rtl="0" fontAlgn="base">
                              <a:spcBef>
                                <a:spcPct val="0"/>
                              </a:spcBef>
                              <a:spcAft>
                                <a:spcPct val="0"/>
                              </a:spcAft>
                              <a:defRPr kern="1200">
                                <a:solidFill>
                                  <a:schemeClr val="tx1"/>
                                </a:solidFill>
                                <a:latin typeface="Arial" pitchFamily="34" charset="0"/>
                                <a:ea typeface="+mn-ea"/>
                                <a:cs typeface="+mn-cs"/>
                              </a:defRPr>
                            </a:lvl5pPr>
                            <a:lvl6pPr marL="2286000" algn="l" defTabSz="914400" rtl="0" eaLnBrk="1" latinLnBrk="0" hangingPunct="1">
                              <a:defRPr kern="1200">
                                <a:solidFill>
                                  <a:schemeClr val="tx1"/>
                                </a:solidFill>
                                <a:latin typeface="Arial" pitchFamily="34" charset="0"/>
                                <a:ea typeface="+mn-ea"/>
                                <a:cs typeface="+mn-cs"/>
                              </a:defRPr>
                            </a:lvl6pPr>
                            <a:lvl7pPr marL="2743200" algn="l" defTabSz="914400" rtl="0" eaLnBrk="1" latinLnBrk="0" hangingPunct="1">
                              <a:defRPr kern="1200">
                                <a:solidFill>
                                  <a:schemeClr val="tx1"/>
                                </a:solidFill>
                                <a:latin typeface="Arial" pitchFamily="34" charset="0"/>
                                <a:ea typeface="+mn-ea"/>
                                <a:cs typeface="+mn-cs"/>
                              </a:defRPr>
                            </a:lvl7pPr>
                            <a:lvl8pPr marL="3200400" algn="l" defTabSz="914400" rtl="0" eaLnBrk="1" latinLnBrk="0" hangingPunct="1">
                              <a:defRPr kern="1200">
                                <a:solidFill>
                                  <a:schemeClr val="tx1"/>
                                </a:solidFill>
                                <a:latin typeface="Arial" pitchFamily="34" charset="0"/>
                                <a:ea typeface="+mn-ea"/>
                                <a:cs typeface="+mn-cs"/>
                              </a:defRPr>
                            </a:lvl8pPr>
                            <a:lvl9pPr marL="3657600" algn="l" defTabSz="914400" rtl="0" eaLnBrk="1" latinLnBrk="0" hangingPunct="1">
                              <a:defRPr kern="1200">
                                <a:solidFill>
                                  <a:schemeClr val="tx1"/>
                                </a:solidFill>
                                <a:latin typeface="Arial" pitchFamily="34" charset="0"/>
                                <a:ea typeface="+mn-ea"/>
                                <a:cs typeface="+mn-cs"/>
                              </a:defRPr>
                            </a:lvl9pPr>
                          </a:lstStyle>
                          <a:p>
                            <a:pPr fontAlgn="auto">
                              <a:lnSpc>
                                <a:spcPts val="1800"/>
                              </a:lnSpc>
                              <a:spcBef>
                                <a:spcPts val="0"/>
                              </a:spcBef>
                              <a:spcAft>
                                <a:spcPts val="0"/>
                              </a:spcAft>
                              <a:defRPr/>
                            </a:pPr>
                            <a:r>
                              <a:rPr lang="en-US" altLang="zh-CN" sz="1997" dirty="0">
                                <a:solidFill>
                                  <a:srgbClr val="000000"/>
                                </a:solidFill>
                                <a:latin typeface="Times New Roman" pitchFamily="18" charset="0"/>
                                <a:cs typeface="Times New Roman" pitchFamily="18" charset="0"/>
                              </a:rPr>
                              <a:t>b)</a:t>
                            </a:r>
                          </a:p>
                        </a:txBody>
                        <a:useSpRect/>
                      </a:txSp>
                    </a:sp>
                    <a:sp>
                      <a:nvSpPr>
                        <a:cNvPr id="30" name="TextBox 1"/>
                        <a:cNvSpPr txBox="1"/>
                      </a:nvSpPr>
                      <a:spPr>
                        <a:xfrm>
                          <a:off x="6680200" y="2044700"/>
                          <a:ext cx="203200" cy="228600"/>
                        </a:xfrm>
                        <a:prstGeom prst="rect">
                          <a:avLst/>
                        </a:prstGeom>
                        <a:noFill/>
                      </a:spPr>
                      <a:txSp>
                        <a:txBody>
                          <a:bodyPr wrap="none" lIns="0" tIns="0" rIns="0">
                            <a:spAutoFit/>
                          </a:bodyPr>
                          <a:lstStyle>
                            <a:defPPr>
                              <a:defRPr lang="en-US"/>
                            </a:defPPr>
                            <a:lvl1pPr algn="l" rtl="0" fontAlgn="base">
                              <a:spcBef>
                                <a:spcPct val="0"/>
                              </a:spcBef>
                              <a:spcAft>
                                <a:spcPct val="0"/>
                              </a:spcAft>
                              <a:defRPr kern="1200">
                                <a:solidFill>
                                  <a:schemeClr val="tx1"/>
                                </a:solidFill>
                                <a:latin typeface="Arial" pitchFamily="34" charset="0"/>
                                <a:ea typeface="+mn-ea"/>
                                <a:cs typeface="+mn-cs"/>
                              </a:defRPr>
                            </a:lvl1pPr>
                            <a:lvl2pPr marL="457200" algn="l" rtl="0" fontAlgn="base">
                              <a:spcBef>
                                <a:spcPct val="0"/>
                              </a:spcBef>
                              <a:spcAft>
                                <a:spcPct val="0"/>
                              </a:spcAft>
                              <a:defRPr kern="1200">
                                <a:solidFill>
                                  <a:schemeClr val="tx1"/>
                                </a:solidFill>
                                <a:latin typeface="Arial" pitchFamily="34" charset="0"/>
                                <a:ea typeface="+mn-ea"/>
                                <a:cs typeface="+mn-cs"/>
                              </a:defRPr>
                            </a:lvl2pPr>
                            <a:lvl3pPr marL="914400" algn="l" rtl="0" fontAlgn="base">
                              <a:spcBef>
                                <a:spcPct val="0"/>
                              </a:spcBef>
                              <a:spcAft>
                                <a:spcPct val="0"/>
                              </a:spcAft>
                              <a:defRPr kern="1200">
                                <a:solidFill>
                                  <a:schemeClr val="tx1"/>
                                </a:solidFill>
                                <a:latin typeface="Arial" pitchFamily="34" charset="0"/>
                                <a:ea typeface="+mn-ea"/>
                                <a:cs typeface="+mn-cs"/>
                              </a:defRPr>
                            </a:lvl3pPr>
                            <a:lvl4pPr marL="1371600" algn="l" rtl="0" fontAlgn="base">
                              <a:spcBef>
                                <a:spcPct val="0"/>
                              </a:spcBef>
                              <a:spcAft>
                                <a:spcPct val="0"/>
                              </a:spcAft>
                              <a:defRPr kern="1200">
                                <a:solidFill>
                                  <a:schemeClr val="tx1"/>
                                </a:solidFill>
                                <a:latin typeface="Arial" pitchFamily="34" charset="0"/>
                                <a:ea typeface="+mn-ea"/>
                                <a:cs typeface="+mn-cs"/>
                              </a:defRPr>
                            </a:lvl4pPr>
                            <a:lvl5pPr marL="1828800" algn="l" rtl="0" fontAlgn="base">
                              <a:spcBef>
                                <a:spcPct val="0"/>
                              </a:spcBef>
                              <a:spcAft>
                                <a:spcPct val="0"/>
                              </a:spcAft>
                              <a:defRPr kern="1200">
                                <a:solidFill>
                                  <a:schemeClr val="tx1"/>
                                </a:solidFill>
                                <a:latin typeface="Arial" pitchFamily="34" charset="0"/>
                                <a:ea typeface="+mn-ea"/>
                                <a:cs typeface="+mn-cs"/>
                              </a:defRPr>
                            </a:lvl5pPr>
                            <a:lvl6pPr marL="2286000" algn="l" defTabSz="914400" rtl="0" eaLnBrk="1" latinLnBrk="0" hangingPunct="1">
                              <a:defRPr kern="1200">
                                <a:solidFill>
                                  <a:schemeClr val="tx1"/>
                                </a:solidFill>
                                <a:latin typeface="Arial" pitchFamily="34" charset="0"/>
                                <a:ea typeface="+mn-ea"/>
                                <a:cs typeface="+mn-cs"/>
                              </a:defRPr>
                            </a:lvl6pPr>
                            <a:lvl7pPr marL="2743200" algn="l" defTabSz="914400" rtl="0" eaLnBrk="1" latinLnBrk="0" hangingPunct="1">
                              <a:defRPr kern="1200">
                                <a:solidFill>
                                  <a:schemeClr val="tx1"/>
                                </a:solidFill>
                                <a:latin typeface="Arial" pitchFamily="34" charset="0"/>
                                <a:ea typeface="+mn-ea"/>
                                <a:cs typeface="+mn-cs"/>
                              </a:defRPr>
                            </a:lvl7pPr>
                            <a:lvl8pPr marL="3200400" algn="l" defTabSz="914400" rtl="0" eaLnBrk="1" latinLnBrk="0" hangingPunct="1">
                              <a:defRPr kern="1200">
                                <a:solidFill>
                                  <a:schemeClr val="tx1"/>
                                </a:solidFill>
                                <a:latin typeface="Arial" pitchFamily="34" charset="0"/>
                                <a:ea typeface="+mn-ea"/>
                                <a:cs typeface="+mn-cs"/>
                              </a:defRPr>
                            </a:lvl8pPr>
                            <a:lvl9pPr marL="3657600" algn="l" defTabSz="914400" rtl="0" eaLnBrk="1" latinLnBrk="0" hangingPunct="1">
                              <a:defRPr kern="1200">
                                <a:solidFill>
                                  <a:schemeClr val="tx1"/>
                                </a:solidFill>
                                <a:latin typeface="Arial" pitchFamily="34" charset="0"/>
                                <a:ea typeface="+mn-ea"/>
                                <a:cs typeface="+mn-cs"/>
                              </a:defRPr>
                            </a:lvl9pPr>
                          </a:lstStyle>
                          <a:p>
                            <a:pPr fontAlgn="auto">
                              <a:lnSpc>
                                <a:spcPts val="1800"/>
                              </a:lnSpc>
                              <a:spcBef>
                                <a:spcPts val="0"/>
                              </a:spcBef>
                              <a:spcAft>
                                <a:spcPts val="0"/>
                              </a:spcAft>
                              <a:defRPr/>
                            </a:pPr>
                            <a:r>
                              <a:rPr lang="en-US" altLang="zh-CN" sz="1997" dirty="0">
                                <a:solidFill>
                                  <a:srgbClr val="000000"/>
                                </a:solidFill>
                                <a:latin typeface="Times New Roman" pitchFamily="18" charset="0"/>
                                <a:cs typeface="Times New Roman" pitchFamily="18" charset="0"/>
                              </a:rPr>
                              <a:t>c)</a:t>
                            </a:r>
                          </a:p>
                        </a:txBody>
                        <a:useSpRect/>
                      </a:txSp>
                    </a:sp>
                  </a:grpSp>
                </lc:lockedCanvas>
              </a:graphicData>
            </a:graphic>
          </wp:inline>
        </w:drawing>
      </w:r>
    </w:p>
    <w:p w:rsidR="00693D9D" w:rsidRDefault="00693D9D" w:rsidP="006F1400">
      <w:pPr>
        <w:autoSpaceDE w:val="0"/>
        <w:autoSpaceDN w:val="0"/>
        <w:adjustRightInd w:val="0"/>
        <w:spacing w:before="120" w:after="120" w:line="240" w:lineRule="auto"/>
        <w:jc w:val="center"/>
        <w:rPr>
          <w:rFonts w:ascii="Arial" w:hAnsi="Arial" w:cs="Arial"/>
          <w:bCs/>
          <w:sz w:val="24"/>
          <w:szCs w:val="24"/>
        </w:rPr>
      </w:pPr>
    </w:p>
    <w:p w:rsidR="006F1400" w:rsidRPr="00693D9D" w:rsidRDefault="006F1400" w:rsidP="006F1400">
      <w:pPr>
        <w:autoSpaceDE w:val="0"/>
        <w:autoSpaceDN w:val="0"/>
        <w:adjustRightInd w:val="0"/>
        <w:spacing w:before="120" w:after="120" w:line="240" w:lineRule="auto"/>
        <w:jc w:val="center"/>
        <w:rPr>
          <w:rFonts w:ascii="Times New Roman" w:hAnsi="Times New Roman"/>
          <w:b/>
          <w:bCs/>
          <w:i/>
          <w:sz w:val="24"/>
          <w:szCs w:val="24"/>
        </w:rPr>
      </w:pPr>
      <w:r w:rsidRPr="00693D9D">
        <w:rPr>
          <w:rFonts w:ascii="Times New Roman" w:hAnsi="Times New Roman"/>
          <w:b/>
          <w:bCs/>
          <w:i/>
          <w:sz w:val="24"/>
          <w:szCs w:val="24"/>
        </w:rPr>
        <w:t>Figure 06- Agrandissement de la section du cours d’eau</w:t>
      </w:r>
    </w:p>
    <w:p w:rsidR="006F1400" w:rsidRDefault="006F1400" w:rsidP="006F1400">
      <w:pPr>
        <w:autoSpaceDE w:val="0"/>
        <w:autoSpaceDN w:val="0"/>
        <w:adjustRightInd w:val="0"/>
        <w:spacing w:before="120" w:after="120" w:line="240" w:lineRule="auto"/>
        <w:jc w:val="center"/>
        <w:rPr>
          <w:rFonts w:ascii="Arial" w:hAnsi="Arial" w:cs="Arial"/>
          <w:bCs/>
        </w:rPr>
      </w:pPr>
      <w:r>
        <w:rPr>
          <w:rFonts w:ascii="Arial" w:hAnsi="Arial" w:cs="Arial"/>
          <w:bCs/>
          <w:noProof/>
          <w:lang w:eastAsia="fr-FR"/>
        </w:rPr>
        <w:drawing>
          <wp:inline distT="0" distB="0" distL="0" distR="0">
            <wp:extent cx="5973304" cy="1524000"/>
            <wp:effectExtent l="6099" t="0" r="2297" b="0"/>
            <wp:docPr id="7" name="Objet 7"/>
            <wp:cNvGraphicFramePr>
              <a:graphicFrameLocks xmlns:a="http://schemas.openxmlformats.org/drawingml/2006/main"/>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9118600" cy="2679700"/>
                      <a:chOff x="520700" y="3975100"/>
                      <a:chExt cx="9118600" cy="2679700"/>
                    </a:xfrm>
                  </a:grpSpPr>
                  <a:grpSp>
                    <a:nvGrpSpPr>
                      <a:cNvPr id="11" name="Groupe 10"/>
                      <a:cNvGrpSpPr/>
                    </a:nvGrpSpPr>
                    <a:grpSpPr>
                      <a:xfrm>
                        <a:off x="520700" y="3975100"/>
                        <a:ext cx="9118600" cy="2679700"/>
                        <a:chOff x="520700" y="3975100"/>
                        <a:chExt cx="9118600" cy="2679700"/>
                      </a:xfrm>
                    </a:grpSpPr>
                    <a:pic>
                      <a:nvPicPr>
                        <a:cNvPr id="17410" name="Picture 3"/>
                        <a:cNvPicPr>
                          <a:picLocks noChangeAspect="1" noChangeArrowheads="1"/>
                        </a:cNvPicPr>
                      </a:nvPicPr>
                      <a:blipFill>
                        <a:blip r:embed="rId11"/>
                        <a:srcRect/>
                        <a:stretch>
                          <a:fillRect/>
                        </a:stretch>
                      </a:blipFill>
                      <a:spPr bwMode="auto">
                        <a:xfrm>
                          <a:off x="520700" y="3975100"/>
                          <a:ext cx="9118600" cy="2679700"/>
                        </a:xfrm>
                        <a:prstGeom prst="rect">
                          <a:avLst/>
                        </a:prstGeom>
                        <a:noFill/>
                        <a:ln w="9525">
                          <a:noFill/>
                          <a:miter lim="800000"/>
                          <a:headEnd/>
                          <a:tailEnd/>
                        </a:ln>
                      </a:spPr>
                    </a:pic>
                    <a:sp>
                      <a:nvSpPr>
                        <a:cNvPr id="27" name="TextBox 1"/>
                        <a:cNvSpPr txBox="1"/>
                      </a:nvSpPr>
                      <a:spPr>
                        <a:xfrm>
                          <a:off x="4940300" y="4248150"/>
                          <a:ext cx="2832100" cy="366713"/>
                        </a:xfrm>
                        <a:prstGeom prst="rect">
                          <a:avLst/>
                        </a:prstGeom>
                        <a:noFill/>
                      </a:spPr>
                      <a:txSp>
                        <a:txBody>
                          <a:bodyPr lIns="0" tIns="0" rIns="0">
                            <a:spAutoFit/>
                          </a:bodyPr>
                          <a:lstStyle>
                            <a:defPPr>
                              <a:defRPr lang="en-US"/>
                            </a:defPPr>
                            <a:lvl1pPr algn="l" rtl="0" fontAlgn="base">
                              <a:spcBef>
                                <a:spcPct val="0"/>
                              </a:spcBef>
                              <a:spcAft>
                                <a:spcPct val="0"/>
                              </a:spcAft>
                              <a:defRPr kern="1200">
                                <a:solidFill>
                                  <a:schemeClr val="tx1"/>
                                </a:solidFill>
                                <a:latin typeface="Arial" pitchFamily="34" charset="0"/>
                                <a:ea typeface="+mn-ea"/>
                                <a:cs typeface="+mn-cs"/>
                              </a:defRPr>
                            </a:lvl1pPr>
                            <a:lvl2pPr marL="457200" algn="l" rtl="0" fontAlgn="base">
                              <a:spcBef>
                                <a:spcPct val="0"/>
                              </a:spcBef>
                              <a:spcAft>
                                <a:spcPct val="0"/>
                              </a:spcAft>
                              <a:defRPr kern="1200">
                                <a:solidFill>
                                  <a:schemeClr val="tx1"/>
                                </a:solidFill>
                                <a:latin typeface="Arial" pitchFamily="34" charset="0"/>
                                <a:ea typeface="+mn-ea"/>
                                <a:cs typeface="+mn-cs"/>
                              </a:defRPr>
                            </a:lvl2pPr>
                            <a:lvl3pPr marL="914400" algn="l" rtl="0" fontAlgn="base">
                              <a:spcBef>
                                <a:spcPct val="0"/>
                              </a:spcBef>
                              <a:spcAft>
                                <a:spcPct val="0"/>
                              </a:spcAft>
                              <a:defRPr kern="1200">
                                <a:solidFill>
                                  <a:schemeClr val="tx1"/>
                                </a:solidFill>
                                <a:latin typeface="Arial" pitchFamily="34" charset="0"/>
                                <a:ea typeface="+mn-ea"/>
                                <a:cs typeface="+mn-cs"/>
                              </a:defRPr>
                            </a:lvl3pPr>
                            <a:lvl4pPr marL="1371600" algn="l" rtl="0" fontAlgn="base">
                              <a:spcBef>
                                <a:spcPct val="0"/>
                              </a:spcBef>
                              <a:spcAft>
                                <a:spcPct val="0"/>
                              </a:spcAft>
                              <a:defRPr kern="1200">
                                <a:solidFill>
                                  <a:schemeClr val="tx1"/>
                                </a:solidFill>
                                <a:latin typeface="Arial" pitchFamily="34" charset="0"/>
                                <a:ea typeface="+mn-ea"/>
                                <a:cs typeface="+mn-cs"/>
                              </a:defRPr>
                            </a:lvl4pPr>
                            <a:lvl5pPr marL="1828800" algn="l" rtl="0" fontAlgn="base">
                              <a:spcBef>
                                <a:spcPct val="0"/>
                              </a:spcBef>
                              <a:spcAft>
                                <a:spcPct val="0"/>
                              </a:spcAft>
                              <a:defRPr kern="1200">
                                <a:solidFill>
                                  <a:schemeClr val="tx1"/>
                                </a:solidFill>
                                <a:latin typeface="Arial" pitchFamily="34" charset="0"/>
                                <a:ea typeface="+mn-ea"/>
                                <a:cs typeface="+mn-cs"/>
                              </a:defRPr>
                            </a:lvl5pPr>
                            <a:lvl6pPr marL="2286000" algn="l" defTabSz="914400" rtl="0" eaLnBrk="1" latinLnBrk="0" hangingPunct="1">
                              <a:defRPr kern="1200">
                                <a:solidFill>
                                  <a:schemeClr val="tx1"/>
                                </a:solidFill>
                                <a:latin typeface="Arial" pitchFamily="34" charset="0"/>
                                <a:ea typeface="+mn-ea"/>
                                <a:cs typeface="+mn-cs"/>
                              </a:defRPr>
                            </a:lvl6pPr>
                            <a:lvl7pPr marL="2743200" algn="l" defTabSz="914400" rtl="0" eaLnBrk="1" latinLnBrk="0" hangingPunct="1">
                              <a:defRPr kern="1200">
                                <a:solidFill>
                                  <a:schemeClr val="tx1"/>
                                </a:solidFill>
                                <a:latin typeface="Arial" pitchFamily="34" charset="0"/>
                                <a:ea typeface="+mn-ea"/>
                                <a:cs typeface="+mn-cs"/>
                              </a:defRPr>
                            </a:lvl7pPr>
                            <a:lvl8pPr marL="3200400" algn="l" defTabSz="914400" rtl="0" eaLnBrk="1" latinLnBrk="0" hangingPunct="1">
                              <a:defRPr kern="1200">
                                <a:solidFill>
                                  <a:schemeClr val="tx1"/>
                                </a:solidFill>
                                <a:latin typeface="Arial" pitchFamily="34" charset="0"/>
                                <a:ea typeface="+mn-ea"/>
                                <a:cs typeface="+mn-cs"/>
                              </a:defRPr>
                            </a:lvl8pPr>
                            <a:lvl9pPr marL="3657600" algn="l" defTabSz="914400" rtl="0" eaLnBrk="1" latinLnBrk="0" hangingPunct="1">
                              <a:defRPr kern="1200">
                                <a:solidFill>
                                  <a:schemeClr val="tx1"/>
                                </a:solidFill>
                                <a:latin typeface="Arial" pitchFamily="34" charset="0"/>
                                <a:ea typeface="+mn-ea"/>
                                <a:cs typeface="+mn-cs"/>
                              </a:defRPr>
                            </a:lvl9pPr>
                          </a:lstStyle>
                          <a:p>
                            <a:pPr fontAlgn="auto">
                              <a:lnSpc>
                                <a:spcPts val="2500"/>
                              </a:lnSpc>
                              <a:spcBef>
                                <a:spcPts val="0"/>
                              </a:spcBef>
                              <a:spcAft>
                                <a:spcPts val="0"/>
                              </a:spcAft>
                              <a:tabLst>
                                <a:tab pos="1587500" algn="l"/>
                              </a:tabLst>
                              <a:defRPr/>
                            </a:pPr>
                            <a:r>
                              <a:rPr lang="en-US" altLang="zh-CN" sz="1997" dirty="0">
                                <a:solidFill>
                                  <a:srgbClr val="000000"/>
                                </a:solidFill>
                                <a:latin typeface="Times New Roman" pitchFamily="18" charset="0"/>
                                <a:cs typeface="Times New Roman" pitchFamily="18" charset="0"/>
                              </a:rPr>
                              <a:t>Correction</a:t>
                            </a:r>
                            <a:r>
                              <a:rPr lang="en-US" altLang="zh-CN" sz="1997" dirty="0">
                                <a:latin typeface="Times New Roman" pitchFamily="18" charset="0"/>
                                <a:cs typeface="Times New Roman" pitchFamily="18" charset="0"/>
                              </a:rPr>
                              <a:t> </a:t>
                            </a:r>
                            <a:r>
                              <a:rPr lang="en-US" altLang="zh-CN" sz="1997" dirty="0">
                                <a:solidFill>
                                  <a:srgbClr val="000000"/>
                                </a:solidFill>
                                <a:latin typeface="Times New Roman" pitchFamily="18" charset="0"/>
                                <a:cs typeface="Times New Roman" pitchFamily="18" charset="0"/>
                              </a:rPr>
                              <a:t>du</a:t>
                            </a:r>
                            <a:r>
                              <a:rPr lang="en-US" altLang="zh-CN" sz="1997" dirty="0">
                                <a:latin typeface="Times New Roman" pitchFamily="18" charset="0"/>
                                <a:cs typeface="Times New Roman" pitchFamily="18" charset="0"/>
                              </a:rPr>
                              <a:t> </a:t>
                            </a:r>
                            <a:r>
                              <a:rPr lang="en-US" altLang="zh-CN" sz="1997" dirty="0">
                                <a:solidFill>
                                  <a:srgbClr val="000000"/>
                                </a:solidFill>
                                <a:latin typeface="Times New Roman" pitchFamily="18" charset="0"/>
                                <a:cs typeface="Times New Roman" pitchFamily="18" charset="0"/>
                              </a:rPr>
                              <a:t>cours</a:t>
                            </a:r>
                            <a:r>
                              <a:rPr lang="en-US" altLang="zh-CN" sz="1997" dirty="0">
                                <a:latin typeface="Times New Roman" pitchFamily="18" charset="0"/>
                                <a:cs typeface="Times New Roman" pitchFamily="18" charset="0"/>
                              </a:rPr>
                              <a:t> </a:t>
                            </a:r>
                            <a:r>
                              <a:rPr lang="en-US" altLang="zh-CN" sz="1997" dirty="0">
                                <a:solidFill>
                                  <a:srgbClr val="000000"/>
                                </a:solidFill>
                                <a:latin typeface="Times New Roman" pitchFamily="18" charset="0"/>
                                <a:cs typeface="Times New Roman" pitchFamily="18" charset="0"/>
                              </a:rPr>
                              <a:t>d'eau</a:t>
                            </a:r>
                          </a:p>
                        </a:txBody>
                        <a:useSpRect/>
                      </a:txSp>
                    </a:sp>
                  </a:grpSp>
                </lc:lockedCanvas>
              </a:graphicData>
            </a:graphic>
          </wp:inline>
        </w:drawing>
      </w:r>
    </w:p>
    <w:p w:rsidR="00693D9D" w:rsidRDefault="00693D9D" w:rsidP="006F1400">
      <w:pPr>
        <w:autoSpaceDE w:val="0"/>
        <w:autoSpaceDN w:val="0"/>
        <w:adjustRightInd w:val="0"/>
        <w:spacing w:before="120" w:after="120"/>
        <w:jc w:val="center"/>
        <w:rPr>
          <w:rFonts w:ascii="Arial" w:hAnsi="Arial" w:cs="Arial"/>
          <w:bCs/>
        </w:rPr>
      </w:pPr>
    </w:p>
    <w:p w:rsidR="006F1400" w:rsidRDefault="006F1400" w:rsidP="006F1400">
      <w:pPr>
        <w:autoSpaceDE w:val="0"/>
        <w:autoSpaceDN w:val="0"/>
        <w:adjustRightInd w:val="0"/>
        <w:spacing w:before="120" w:after="120"/>
        <w:jc w:val="center"/>
        <w:rPr>
          <w:rFonts w:ascii="Times New Roman" w:hAnsi="Times New Roman"/>
          <w:b/>
          <w:bCs/>
          <w:i/>
          <w:sz w:val="24"/>
          <w:szCs w:val="24"/>
        </w:rPr>
      </w:pPr>
      <w:r w:rsidRPr="00693D9D">
        <w:rPr>
          <w:rFonts w:ascii="Times New Roman" w:hAnsi="Times New Roman"/>
          <w:b/>
          <w:bCs/>
          <w:i/>
          <w:sz w:val="24"/>
          <w:szCs w:val="24"/>
        </w:rPr>
        <w:t>Figure 07- Raccourcissement du tracé du cours d’eau</w:t>
      </w:r>
    </w:p>
    <w:p w:rsidR="00693D9D" w:rsidRPr="00693D9D" w:rsidRDefault="00693D9D" w:rsidP="006F1400">
      <w:pPr>
        <w:autoSpaceDE w:val="0"/>
        <w:autoSpaceDN w:val="0"/>
        <w:adjustRightInd w:val="0"/>
        <w:spacing w:before="120" w:after="120"/>
        <w:jc w:val="center"/>
        <w:rPr>
          <w:rFonts w:ascii="Times New Roman" w:hAnsi="Times New Roman"/>
          <w:b/>
          <w:bCs/>
          <w:i/>
          <w:sz w:val="24"/>
          <w:szCs w:val="24"/>
        </w:rPr>
      </w:pPr>
    </w:p>
    <w:p w:rsidR="006F1400" w:rsidRPr="000E5BA2" w:rsidRDefault="006F1400" w:rsidP="006F1400">
      <w:pPr>
        <w:autoSpaceDE w:val="0"/>
        <w:autoSpaceDN w:val="0"/>
        <w:adjustRightInd w:val="0"/>
        <w:spacing w:before="120" w:after="120"/>
        <w:jc w:val="center"/>
        <w:rPr>
          <w:rFonts w:ascii="Arial" w:hAnsi="Arial" w:cs="Arial"/>
          <w:bCs/>
        </w:rPr>
      </w:pPr>
      <w:r>
        <w:rPr>
          <w:rFonts w:ascii="Arial" w:hAnsi="Arial" w:cs="Arial"/>
          <w:bCs/>
          <w:noProof/>
          <w:lang w:eastAsia="fr-FR"/>
        </w:rPr>
        <w:drawing>
          <wp:inline distT="0" distB="0" distL="0" distR="0">
            <wp:extent cx="5962650" cy="3171825"/>
            <wp:effectExtent l="0" t="0" r="0" b="0"/>
            <wp:docPr id="8" name="Objet 8"/>
            <wp:cNvGraphicFramePr>
              <a:graphicFrameLocks xmlns:a="http://schemas.openxmlformats.org/drawingml/2006/main"/>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9263063" cy="7064375"/>
                      <a:chOff x="431800" y="609600"/>
                      <a:chExt cx="9263063" cy="7064375"/>
                    </a:xfrm>
                  </a:grpSpPr>
                  <a:grpSp>
                    <a:nvGrpSpPr>
                      <a:cNvPr id="18435" name="Groupe 35"/>
                      <a:cNvGrpSpPr>
                        <a:grpSpLocks/>
                      </a:cNvGrpSpPr>
                    </a:nvGrpSpPr>
                    <a:grpSpPr bwMode="auto">
                      <a:xfrm>
                        <a:off x="431800" y="609600"/>
                        <a:ext cx="9245600" cy="2895600"/>
                        <a:chOff x="304800" y="2667000"/>
                        <a:chExt cx="9245600" cy="3111500"/>
                      </a:xfrm>
                    </a:grpSpPr>
                    <a:sp>
                      <a:nvSpPr>
                        <a:cNvPr id="22" name="Freeform 3"/>
                        <a:cNvSpPr/>
                      </a:nvSpPr>
                      <a:spPr>
                        <a:xfrm>
                          <a:off x="8523288" y="5333269"/>
                          <a:ext cx="869950" cy="291703"/>
                        </a:xfrm>
                        <a:custGeom>
                          <a:avLst/>
                          <a:gdLst>
                            <a:gd name="connsiteX0" fmla="*/ 0 w 870204"/>
                            <a:gd name="connsiteY0" fmla="*/ 0 h 290321"/>
                            <a:gd name="connsiteX1" fmla="*/ 0 w 870204"/>
                            <a:gd name="connsiteY1" fmla="*/ 290321 h 290321"/>
                            <a:gd name="connsiteX2" fmla="*/ 870204 w 870204"/>
                            <a:gd name="connsiteY2" fmla="*/ 290321 h 290321"/>
                            <a:gd name="connsiteX3" fmla="*/ 870204 w 870204"/>
                            <a:gd name="connsiteY3" fmla="*/ 0 h 290321"/>
                            <a:gd name="connsiteX4" fmla="*/ 0 w 870204"/>
                            <a:gd name="connsiteY4" fmla="*/ 0 h 290321"/>
                          </a:gdLst>
                          <a:ahLst/>
                          <a:cxnLst>
                            <a:cxn ang="0">
                              <a:pos x="connsiteX0" y="connsiteY0"/>
                            </a:cxn>
                            <a:cxn ang="1">
                              <a:pos x="connsiteX1" y="connsiteY1"/>
                            </a:cxn>
                            <a:cxn ang="2">
                              <a:pos x="connsiteX2" y="connsiteY2"/>
                            </a:cxn>
                            <a:cxn ang="3">
                              <a:pos x="connsiteX3" y="connsiteY3"/>
                            </a:cxn>
                            <a:cxn ang="4">
                              <a:pos x="connsiteX4" y="connsiteY4"/>
                            </a:cxn>
                          </a:cxnLst>
                          <a:rect l="l" t="t" r="r" b="b"/>
                          <a:pathLst>
                            <a:path w="870204" h="290321">
                              <a:moveTo>
                                <a:pt x="0" y="0"/>
                              </a:moveTo>
                              <a:lnTo>
                                <a:pt x="0" y="290321"/>
                              </a:lnTo>
                              <a:lnTo>
                                <a:pt x="870204" y="290321"/>
                              </a:lnTo>
                              <a:lnTo>
                                <a:pt x="870204" y="0"/>
                              </a:lnTo>
                              <a:lnTo>
                                <a:pt x="0" y="0"/>
                              </a:lnTo>
                            </a:path>
                          </a:pathLst>
                        </a:custGeom>
                        <a:solidFill>
                          <a:srgbClr val="FFFFFF">
                            <a:alpha val="100000"/>
                          </a:srgbClr>
                        </a:solidFill>
                        <a:ln w="12700">
                          <a:solidFill>
                            <a:srgbClr val="000000">
                              <a:alpha val="0"/>
                            </a:srgbClr>
                          </a:solidFill>
                          <a:prstDash val="solid"/>
                        </a:ln>
                      </a:spPr>
                      <a:txSp>
                        <a:txBody>
                          <a:bodyPr anchor="ctr"/>
                          <a:lstStyle>
                            <a:defPPr>
                              <a:defRPr lang="en-US"/>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fontAlgn="auto">
                              <a:spcBef>
                                <a:spcPts val="0"/>
                              </a:spcBef>
                              <a:spcAft>
                                <a:spcPts val="0"/>
                              </a:spcAft>
                              <a:defRPr/>
                            </a:pPr>
                            <a:endParaRPr lang="zh-CN" altLang="en-US"/>
                          </a:p>
                        </a:txBody>
                        <a:useSpRect/>
                      </a:txSp>
                      <a:style>
                        <a:lnRef idx="2">
                          <a:schemeClr val="accent1">
                            <a:shade val="50000"/>
                          </a:schemeClr>
                        </a:lnRef>
                        <a:fillRef idx="1">
                          <a:schemeClr val="accent1"/>
                        </a:fillRef>
                        <a:effectRef idx="0">
                          <a:schemeClr val="accent1"/>
                        </a:effectRef>
                        <a:fontRef idx="minor">
                          <a:schemeClr val="lt1"/>
                        </a:fontRef>
                      </a:style>
                    </a:sp>
                    <a:pic>
                      <a:nvPicPr>
                        <a:cNvPr id="18446" name="Picture 3"/>
                        <a:cNvPicPr>
                          <a:picLocks noChangeAspect="1" noChangeArrowheads="1"/>
                        </a:cNvPicPr>
                      </a:nvPicPr>
                      <a:blipFill>
                        <a:blip r:embed="rId12"/>
                        <a:srcRect/>
                        <a:stretch>
                          <a:fillRect/>
                        </a:stretch>
                      </a:blipFill>
                      <a:spPr bwMode="auto">
                        <a:xfrm>
                          <a:off x="304800" y="2667000"/>
                          <a:ext cx="9245600" cy="3111500"/>
                        </a:xfrm>
                        <a:prstGeom prst="rect">
                          <a:avLst/>
                        </a:prstGeom>
                        <a:noFill/>
                        <a:ln w="9525">
                          <a:noFill/>
                          <a:miter lim="800000"/>
                          <a:headEnd/>
                          <a:tailEnd/>
                        </a:ln>
                      </a:spPr>
                    </a:pic>
                    <a:sp>
                      <a:nvSpPr>
                        <a:cNvPr id="2" name="TextBox 1"/>
                        <a:cNvSpPr txBox="1"/>
                      </a:nvSpPr>
                      <a:spPr>
                        <a:xfrm rot="2454033">
                          <a:off x="2354263" y="4144280"/>
                          <a:ext cx="903287" cy="312174"/>
                        </a:xfrm>
                        <a:prstGeom prst="rect">
                          <a:avLst/>
                        </a:prstGeom>
                        <a:noFill/>
                      </a:spPr>
                      <a:txSp>
                        <a:txBody>
                          <a:bodyPr wrap="none" lIns="0" tIns="0" rIns="0">
                            <a:spAutoFit/>
                          </a:bodyPr>
                          <a:lstStyle>
                            <a:defPPr>
                              <a:defRPr lang="en-US"/>
                            </a:defPPr>
                            <a:lvl1pPr algn="l" rtl="0" fontAlgn="base">
                              <a:spcBef>
                                <a:spcPct val="0"/>
                              </a:spcBef>
                              <a:spcAft>
                                <a:spcPct val="0"/>
                              </a:spcAft>
                              <a:defRPr kern="1200">
                                <a:solidFill>
                                  <a:schemeClr val="tx1"/>
                                </a:solidFill>
                                <a:latin typeface="Arial" pitchFamily="34" charset="0"/>
                                <a:ea typeface="+mn-ea"/>
                                <a:cs typeface="+mn-cs"/>
                              </a:defRPr>
                            </a:lvl1pPr>
                            <a:lvl2pPr marL="457200" algn="l" rtl="0" fontAlgn="base">
                              <a:spcBef>
                                <a:spcPct val="0"/>
                              </a:spcBef>
                              <a:spcAft>
                                <a:spcPct val="0"/>
                              </a:spcAft>
                              <a:defRPr kern="1200">
                                <a:solidFill>
                                  <a:schemeClr val="tx1"/>
                                </a:solidFill>
                                <a:latin typeface="Arial" pitchFamily="34" charset="0"/>
                                <a:ea typeface="+mn-ea"/>
                                <a:cs typeface="+mn-cs"/>
                              </a:defRPr>
                            </a:lvl2pPr>
                            <a:lvl3pPr marL="914400" algn="l" rtl="0" fontAlgn="base">
                              <a:spcBef>
                                <a:spcPct val="0"/>
                              </a:spcBef>
                              <a:spcAft>
                                <a:spcPct val="0"/>
                              </a:spcAft>
                              <a:defRPr kern="1200">
                                <a:solidFill>
                                  <a:schemeClr val="tx1"/>
                                </a:solidFill>
                                <a:latin typeface="Arial" pitchFamily="34" charset="0"/>
                                <a:ea typeface="+mn-ea"/>
                                <a:cs typeface="+mn-cs"/>
                              </a:defRPr>
                            </a:lvl3pPr>
                            <a:lvl4pPr marL="1371600" algn="l" rtl="0" fontAlgn="base">
                              <a:spcBef>
                                <a:spcPct val="0"/>
                              </a:spcBef>
                              <a:spcAft>
                                <a:spcPct val="0"/>
                              </a:spcAft>
                              <a:defRPr kern="1200">
                                <a:solidFill>
                                  <a:schemeClr val="tx1"/>
                                </a:solidFill>
                                <a:latin typeface="Arial" pitchFamily="34" charset="0"/>
                                <a:ea typeface="+mn-ea"/>
                                <a:cs typeface="+mn-cs"/>
                              </a:defRPr>
                            </a:lvl4pPr>
                            <a:lvl5pPr marL="1828800" algn="l" rtl="0" fontAlgn="base">
                              <a:spcBef>
                                <a:spcPct val="0"/>
                              </a:spcBef>
                              <a:spcAft>
                                <a:spcPct val="0"/>
                              </a:spcAft>
                              <a:defRPr kern="1200">
                                <a:solidFill>
                                  <a:schemeClr val="tx1"/>
                                </a:solidFill>
                                <a:latin typeface="Arial" pitchFamily="34" charset="0"/>
                                <a:ea typeface="+mn-ea"/>
                                <a:cs typeface="+mn-cs"/>
                              </a:defRPr>
                            </a:lvl5pPr>
                            <a:lvl6pPr marL="2286000" algn="l" defTabSz="914400" rtl="0" eaLnBrk="1" latinLnBrk="0" hangingPunct="1">
                              <a:defRPr kern="1200">
                                <a:solidFill>
                                  <a:schemeClr val="tx1"/>
                                </a:solidFill>
                                <a:latin typeface="Arial" pitchFamily="34" charset="0"/>
                                <a:ea typeface="+mn-ea"/>
                                <a:cs typeface="+mn-cs"/>
                              </a:defRPr>
                            </a:lvl6pPr>
                            <a:lvl7pPr marL="2743200" algn="l" defTabSz="914400" rtl="0" eaLnBrk="1" latinLnBrk="0" hangingPunct="1">
                              <a:defRPr kern="1200">
                                <a:solidFill>
                                  <a:schemeClr val="tx1"/>
                                </a:solidFill>
                                <a:latin typeface="Arial" pitchFamily="34" charset="0"/>
                                <a:ea typeface="+mn-ea"/>
                                <a:cs typeface="+mn-cs"/>
                              </a:defRPr>
                            </a:lvl7pPr>
                            <a:lvl8pPr marL="3200400" algn="l" defTabSz="914400" rtl="0" eaLnBrk="1" latinLnBrk="0" hangingPunct="1">
                              <a:defRPr kern="1200">
                                <a:solidFill>
                                  <a:schemeClr val="tx1"/>
                                </a:solidFill>
                                <a:latin typeface="Arial" pitchFamily="34" charset="0"/>
                                <a:ea typeface="+mn-ea"/>
                                <a:cs typeface="+mn-cs"/>
                              </a:defRPr>
                            </a:lvl8pPr>
                            <a:lvl9pPr marL="3657600" algn="l" defTabSz="914400" rtl="0" eaLnBrk="1" latinLnBrk="0" hangingPunct="1">
                              <a:defRPr kern="1200">
                                <a:solidFill>
                                  <a:schemeClr val="tx1"/>
                                </a:solidFill>
                                <a:latin typeface="Arial" pitchFamily="34" charset="0"/>
                                <a:ea typeface="+mn-ea"/>
                                <a:cs typeface="+mn-cs"/>
                              </a:defRPr>
                            </a:lvl9pPr>
                          </a:lstStyle>
                          <a:p>
                            <a:pPr fontAlgn="auto">
                              <a:lnSpc>
                                <a:spcPts val="2200"/>
                              </a:lnSpc>
                              <a:spcBef>
                                <a:spcPts val="0"/>
                              </a:spcBef>
                              <a:spcAft>
                                <a:spcPts val="0"/>
                              </a:spcAft>
                              <a:defRPr/>
                            </a:pPr>
                            <a:r>
                              <a:rPr lang="en-US" altLang="zh-CN" sz="1799" dirty="0">
                                <a:solidFill>
                                  <a:srgbClr val="000000"/>
                                </a:solidFill>
                                <a:latin typeface="Times New Roman" pitchFamily="18" charset="0"/>
                                <a:cs typeface="Times New Roman" pitchFamily="18" charset="0"/>
                              </a:rPr>
                              <a:t>Q </a:t>
                            </a:r>
                            <a:r>
                              <a:rPr lang="en-US" altLang="zh-CN" sz="1799" dirty="0" err="1">
                                <a:solidFill>
                                  <a:srgbClr val="000000"/>
                                </a:solidFill>
                                <a:latin typeface="Times New Roman" pitchFamily="18" charset="0"/>
                                <a:cs typeface="Times New Roman" pitchFamily="18" charset="0"/>
                              </a:rPr>
                              <a:t>restitué</a:t>
                            </a:r>
                            <a:endParaRPr lang="en-US" altLang="zh-CN" sz="1799" dirty="0">
                              <a:solidFill>
                                <a:srgbClr val="000000"/>
                              </a:solidFill>
                              <a:latin typeface="Times New Roman" pitchFamily="18" charset="0"/>
                              <a:cs typeface="Times New Roman" pitchFamily="18" charset="0"/>
                            </a:endParaRPr>
                          </a:p>
                        </a:txBody>
                        <a:useSpRect/>
                      </a:txSp>
                    </a:sp>
                    <a:sp>
                      <a:nvSpPr>
                        <a:cNvPr id="18448" name="TextBox 1"/>
                        <a:cNvSpPr txBox="1">
                          <a:spLocks noChangeArrowheads="1"/>
                        </a:cNvSpPr>
                      </a:nvSpPr>
                      <a:spPr bwMode="auto">
                        <a:xfrm>
                          <a:off x="1346200" y="2832100"/>
                          <a:ext cx="2247900" cy="203200"/>
                        </a:xfrm>
                        <a:prstGeom prst="rect">
                          <a:avLst/>
                        </a:prstGeom>
                        <a:noFill/>
                        <a:ln w="9525">
                          <a:noFill/>
                          <a:miter lim="800000"/>
                          <a:headEnd/>
                          <a:tailEnd/>
                        </a:ln>
                      </a:spPr>
                      <a:txSp>
                        <a:txBody>
                          <a:bodyPr wrap="none" lIns="0" tIns="0" rIns="0">
                            <a:spAutoFit/>
                          </a:bodyPr>
                          <a:lstStyle>
                            <a:defPPr>
                              <a:defRPr lang="en-US"/>
                            </a:defPPr>
                            <a:lvl1pPr algn="l" rtl="0" fontAlgn="base">
                              <a:spcBef>
                                <a:spcPct val="0"/>
                              </a:spcBef>
                              <a:spcAft>
                                <a:spcPct val="0"/>
                              </a:spcAft>
                              <a:defRPr kern="1200">
                                <a:solidFill>
                                  <a:schemeClr val="tx1"/>
                                </a:solidFill>
                                <a:latin typeface="Arial" pitchFamily="34" charset="0"/>
                                <a:ea typeface="+mn-ea"/>
                                <a:cs typeface="+mn-cs"/>
                              </a:defRPr>
                            </a:lvl1pPr>
                            <a:lvl2pPr marL="457200" algn="l" rtl="0" fontAlgn="base">
                              <a:spcBef>
                                <a:spcPct val="0"/>
                              </a:spcBef>
                              <a:spcAft>
                                <a:spcPct val="0"/>
                              </a:spcAft>
                              <a:defRPr kern="1200">
                                <a:solidFill>
                                  <a:schemeClr val="tx1"/>
                                </a:solidFill>
                                <a:latin typeface="Arial" pitchFamily="34" charset="0"/>
                                <a:ea typeface="+mn-ea"/>
                                <a:cs typeface="+mn-cs"/>
                              </a:defRPr>
                            </a:lvl2pPr>
                            <a:lvl3pPr marL="914400" algn="l" rtl="0" fontAlgn="base">
                              <a:spcBef>
                                <a:spcPct val="0"/>
                              </a:spcBef>
                              <a:spcAft>
                                <a:spcPct val="0"/>
                              </a:spcAft>
                              <a:defRPr kern="1200">
                                <a:solidFill>
                                  <a:schemeClr val="tx1"/>
                                </a:solidFill>
                                <a:latin typeface="Arial" pitchFamily="34" charset="0"/>
                                <a:ea typeface="+mn-ea"/>
                                <a:cs typeface="+mn-cs"/>
                              </a:defRPr>
                            </a:lvl3pPr>
                            <a:lvl4pPr marL="1371600" algn="l" rtl="0" fontAlgn="base">
                              <a:spcBef>
                                <a:spcPct val="0"/>
                              </a:spcBef>
                              <a:spcAft>
                                <a:spcPct val="0"/>
                              </a:spcAft>
                              <a:defRPr kern="1200">
                                <a:solidFill>
                                  <a:schemeClr val="tx1"/>
                                </a:solidFill>
                                <a:latin typeface="Arial" pitchFamily="34" charset="0"/>
                                <a:ea typeface="+mn-ea"/>
                                <a:cs typeface="+mn-cs"/>
                              </a:defRPr>
                            </a:lvl4pPr>
                            <a:lvl5pPr marL="1828800" algn="l" rtl="0" fontAlgn="base">
                              <a:spcBef>
                                <a:spcPct val="0"/>
                              </a:spcBef>
                              <a:spcAft>
                                <a:spcPct val="0"/>
                              </a:spcAft>
                              <a:defRPr kern="1200">
                                <a:solidFill>
                                  <a:schemeClr val="tx1"/>
                                </a:solidFill>
                                <a:latin typeface="Arial" pitchFamily="34" charset="0"/>
                                <a:ea typeface="+mn-ea"/>
                                <a:cs typeface="+mn-cs"/>
                              </a:defRPr>
                            </a:lvl5pPr>
                            <a:lvl6pPr marL="2286000" algn="l" defTabSz="914400" rtl="0" eaLnBrk="1" latinLnBrk="0" hangingPunct="1">
                              <a:defRPr kern="1200">
                                <a:solidFill>
                                  <a:schemeClr val="tx1"/>
                                </a:solidFill>
                                <a:latin typeface="Arial" pitchFamily="34" charset="0"/>
                                <a:ea typeface="+mn-ea"/>
                                <a:cs typeface="+mn-cs"/>
                              </a:defRPr>
                            </a:lvl6pPr>
                            <a:lvl7pPr marL="2743200" algn="l" defTabSz="914400" rtl="0" eaLnBrk="1" latinLnBrk="0" hangingPunct="1">
                              <a:defRPr kern="1200">
                                <a:solidFill>
                                  <a:schemeClr val="tx1"/>
                                </a:solidFill>
                                <a:latin typeface="Arial" pitchFamily="34" charset="0"/>
                                <a:ea typeface="+mn-ea"/>
                                <a:cs typeface="+mn-cs"/>
                              </a:defRPr>
                            </a:lvl7pPr>
                            <a:lvl8pPr marL="3200400" algn="l" defTabSz="914400" rtl="0" eaLnBrk="1" latinLnBrk="0" hangingPunct="1">
                              <a:defRPr kern="1200">
                                <a:solidFill>
                                  <a:schemeClr val="tx1"/>
                                </a:solidFill>
                                <a:latin typeface="Arial" pitchFamily="34" charset="0"/>
                                <a:ea typeface="+mn-ea"/>
                                <a:cs typeface="+mn-cs"/>
                              </a:defRPr>
                            </a:lvl8pPr>
                            <a:lvl9pPr marL="3657600" algn="l" defTabSz="914400" rtl="0" eaLnBrk="1" latinLnBrk="0" hangingPunct="1">
                              <a:defRPr kern="1200">
                                <a:solidFill>
                                  <a:schemeClr val="tx1"/>
                                </a:solidFill>
                                <a:latin typeface="Arial" pitchFamily="34" charset="0"/>
                                <a:ea typeface="+mn-ea"/>
                                <a:cs typeface="+mn-cs"/>
                              </a:defRPr>
                            </a:lvl9pPr>
                          </a:lstStyle>
                          <a:p>
                            <a:pPr>
                              <a:lnSpc>
                                <a:spcPts val="1600"/>
                              </a:lnSpc>
                            </a:pPr>
                            <a:r>
                              <a:rPr lang="en-US" altLang="zh-CN">
                                <a:solidFill>
                                  <a:srgbClr val="000000"/>
                                </a:solidFill>
                                <a:latin typeface="Times New Roman" pitchFamily="18" charset="0"/>
                                <a:cs typeface="Times New Roman" pitchFamily="18" charset="0"/>
                              </a:rPr>
                              <a:t>Ouvrage</a:t>
                            </a:r>
                            <a:r>
                              <a:rPr lang="en-US" altLang="zh-CN">
                                <a:latin typeface="Times New Roman" pitchFamily="18" charset="0"/>
                                <a:cs typeface="Times New Roman" pitchFamily="18" charset="0"/>
                              </a:rPr>
                              <a:t> </a:t>
                            </a:r>
                            <a:r>
                              <a:rPr lang="en-US" altLang="zh-CN">
                                <a:solidFill>
                                  <a:srgbClr val="000000"/>
                                </a:solidFill>
                                <a:latin typeface="Times New Roman" pitchFamily="18" charset="0"/>
                                <a:cs typeface="Times New Roman" pitchFamily="18" charset="0"/>
                              </a:rPr>
                              <a:t>de</a:t>
                            </a:r>
                            <a:r>
                              <a:rPr lang="en-US" altLang="zh-CN">
                                <a:latin typeface="Times New Roman" pitchFamily="18" charset="0"/>
                                <a:cs typeface="Times New Roman" pitchFamily="18" charset="0"/>
                              </a:rPr>
                              <a:t> </a:t>
                            </a:r>
                            <a:r>
                              <a:rPr lang="en-US" altLang="zh-CN">
                                <a:solidFill>
                                  <a:srgbClr val="000000"/>
                                </a:solidFill>
                                <a:latin typeface="Times New Roman" pitchFamily="18" charset="0"/>
                                <a:cs typeface="Times New Roman" pitchFamily="18" charset="0"/>
                              </a:rPr>
                              <a:t>dérivation</a:t>
                            </a:r>
                          </a:p>
                        </a:txBody>
                        <a:useSpRect/>
                      </a:txSp>
                    </a:sp>
                    <a:sp>
                      <a:nvSpPr>
                        <a:cNvPr id="18449" name="TextBox 1"/>
                        <a:cNvSpPr txBox="1">
                          <a:spLocks noChangeArrowheads="1"/>
                        </a:cNvSpPr>
                      </a:nvSpPr>
                      <a:spPr bwMode="auto">
                        <a:xfrm>
                          <a:off x="4241800" y="2794000"/>
                          <a:ext cx="863600" cy="203200"/>
                        </a:xfrm>
                        <a:prstGeom prst="rect">
                          <a:avLst/>
                        </a:prstGeom>
                        <a:noFill/>
                        <a:ln w="9525">
                          <a:noFill/>
                          <a:miter lim="800000"/>
                          <a:headEnd/>
                          <a:tailEnd/>
                        </a:ln>
                      </a:spPr>
                      <a:txSp>
                        <a:txBody>
                          <a:bodyPr wrap="none" lIns="0" tIns="0" rIns="0">
                            <a:spAutoFit/>
                          </a:bodyPr>
                          <a:lstStyle>
                            <a:defPPr>
                              <a:defRPr lang="en-US"/>
                            </a:defPPr>
                            <a:lvl1pPr algn="l" rtl="0" fontAlgn="base">
                              <a:spcBef>
                                <a:spcPct val="0"/>
                              </a:spcBef>
                              <a:spcAft>
                                <a:spcPct val="0"/>
                              </a:spcAft>
                              <a:defRPr kern="1200">
                                <a:solidFill>
                                  <a:schemeClr val="tx1"/>
                                </a:solidFill>
                                <a:latin typeface="Arial" pitchFamily="34" charset="0"/>
                                <a:ea typeface="+mn-ea"/>
                                <a:cs typeface="+mn-cs"/>
                              </a:defRPr>
                            </a:lvl1pPr>
                            <a:lvl2pPr marL="457200" algn="l" rtl="0" fontAlgn="base">
                              <a:spcBef>
                                <a:spcPct val="0"/>
                              </a:spcBef>
                              <a:spcAft>
                                <a:spcPct val="0"/>
                              </a:spcAft>
                              <a:defRPr kern="1200">
                                <a:solidFill>
                                  <a:schemeClr val="tx1"/>
                                </a:solidFill>
                                <a:latin typeface="Arial" pitchFamily="34" charset="0"/>
                                <a:ea typeface="+mn-ea"/>
                                <a:cs typeface="+mn-cs"/>
                              </a:defRPr>
                            </a:lvl2pPr>
                            <a:lvl3pPr marL="914400" algn="l" rtl="0" fontAlgn="base">
                              <a:spcBef>
                                <a:spcPct val="0"/>
                              </a:spcBef>
                              <a:spcAft>
                                <a:spcPct val="0"/>
                              </a:spcAft>
                              <a:defRPr kern="1200">
                                <a:solidFill>
                                  <a:schemeClr val="tx1"/>
                                </a:solidFill>
                                <a:latin typeface="Arial" pitchFamily="34" charset="0"/>
                                <a:ea typeface="+mn-ea"/>
                                <a:cs typeface="+mn-cs"/>
                              </a:defRPr>
                            </a:lvl3pPr>
                            <a:lvl4pPr marL="1371600" algn="l" rtl="0" fontAlgn="base">
                              <a:spcBef>
                                <a:spcPct val="0"/>
                              </a:spcBef>
                              <a:spcAft>
                                <a:spcPct val="0"/>
                              </a:spcAft>
                              <a:defRPr kern="1200">
                                <a:solidFill>
                                  <a:schemeClr val="tx1"/>
                                </a:solidFill>
                                <a:latin typeface="Arial" pitchFamily="34" charset="0"/>
                                <a:ea typeface="+mn-ea"/>
                                <a:cs typeface="+mn-cs"/>
                              </a:defRPr>
                            </a:lvl4pPr>
                            <a:lvl5pPr marL="1828800" algn="l" rtl="0" fontAlgn="base">
                              <a:spcBef>
                                <a:spcPct val="0"/>
                              </a:spcBef>
                              <a:spcAft>
                                <a:spcPct val="0"/>
                              </a:spcAft>
                              <a:defRPr kern="1200">
                                <a:solidFill>
                                  <a:schemeClr val="tx1"/>
                                </a:solidFill>
                                <a:latin typeface="Arial" pitchFamily="34" charset="0"/>
                                <a:ea typeface="+mn-ea"/>
                                <a:cs typeface="+mn-cs"/>
                              </a:defRPr>
                            </a:lvl5pPr>
                            <a:lvl6pPr marL="2286000" algn="l" defTabSz="914400" rtl="0" eaLnBrk="1" latinLnBrk="0" hangingPunct="1">
                              <a:defRPr kern="1200">
                                <a:solidFill>
                                  <a:schemeClr val="tx1"/>
                                </a:solidFill>
                                <a:latin typeface="Arial" pitchFamily="34" charset="0"/>
                                <a:ea typeface="+mn-ea"/>
                                <a:cs typeface="+mn-cs"/>
                              </a:defRPr>
                            </a:lvl6pPr>
                            <a:lvl7pPr marL="2743200" algn="l" defTabSz="914400" rtl="0" eaLnBrk="1" latinLnBrk="0" hangingPunct="1">
                              <a:defRPr kern="1200">
                                <a:solidFill>
                                  <a:schemeClr val="tx1"/>
                                </a:solidFill>
                                <a:latin typeface="Arial" pitchFamily="34" charset="0"/>
                                <a:ea typeface="+mn-ea"/>
                                <a:cs typeface="+mn-cs"/>
                              </a:defRPr>
                            </a:lvl7pPr>
                            <a:lvl8pPr marL="3200400" algn="l" defTabSz="914400" rtl="0" eaLnBrk="1" latinLnBrk="0" hangingPunct="1">
                              <a:defRPr kern="1200">
                                <a:solidFill>
                                  <a:schemeClr val="tx1"/>
                                </a:solidFill>
                                <a:latin typeface="Arial" pitchFamily="34" charset="0"/>
                                <a:ea typeface="+mn-ea"/>
                                <a:cs typeface="+mn-cs"/>
                              </a:defRPr>
                            </a:lvl8pPr>
                            <a:lvl9pPr marL="3657600" algn="l" defTabSz="914400" rtl="0" eaLnBrk="1" latinLnBrk="0" hangingPunct="1">
                              <a:defRPr kern="1200">
                                <a:solidFill>
                                  <a:schemeClr val="tx1"/>
                                </a:solidFill>
                                <a:latin typeface="Arial" pitchFamily="34" charset="0"/>
                                <a:ea typeface="+mn-ea"/>
                                <a:cs typeface="+mn-cs"/>
                              </a:defRPr>
                            </a:lvl9pPr>
                          </a:lstStyle>
                          <a:p>
                            <a:pPr>
                              <a:lnSpc>
                                <a:spcPts val="1600"/>
                              </a:lnSpc>
                            </a:pPr>
                            <a:r>
                              <a:rPr lang="en-US" altLang="zh-CN">
                                <a:solidFill>
                                  <a:srgbClr val="000000"/>
                                </a:solidFill>
                                <a:latin typeface="Times New Roman" pitchFamily="18" charset="0"/>
                                <a:cs typeface="Times New Roman" pitchFamily="18" charset="0"/>
                              </a:rPr>
                              <a:t>Q</a:t>
                            </a:r>
                            <a:r>
                              <a:rPr lang="en-US" altLang="zh-CN">
                                <a:latin typeface="Times New Roman" pitchFamily="18" charset="0"/>
                                <a:cs typeface="Times New Roman" pitchFamily="18" charset="0"/>
                              </a:rPr>
                              <a:t> </a:t>
                            </a:r>
                            <a:r>
                              <a:rPr lang="en-US" altLang="zh-CN">
                                <a:solidFill>
                                  <a:srgbClr val="000000"/>
                                </a:solidFill>
                                <a:latin typeface="Times New Roman" pitchFamily="18" charset="0"/>
                                <a:cs typeface="Times New Roman" pitchFamily="18" charset="0"/>
                              </a:rPr>
                              <a:t>dérivé</a:t>
                            </a:r>
                          </a:p>
                        </a:txBody>
                        <a:useSpRect/>
                      </a:txSp>
                    </a:sp>
                    <a:sp>
                      <a:nvSpPr>
                        <a:cNvPr id="1026" name="TextBox 1"/>
                        <a:cNvSpPr txBox="1"/>
                      </a:nvSpPr>
                      <a:spPr>
                        <a:xfrm rot="19588320">
                          <a:off x="622300" y="3910577"/>
                          <a:ext cx="1019175" cy="349702"/>
                        </a:xfrm>
                        <a:prstGeom prst="rect">
                          <a:avLst/>
                        </a:prstGeom>
                        <a:noFill/>
                      </a:spPr>
                      <a:txSp>
                        <a:txBody>
                          <a:bodyPr lIns="0" tIns="0" rIns="0">
                            <a:spAutoFit/>
                          </a:bodyPr>
                          <a:lstStyle>
                            <a:defPPr>
                              <a:defRPr lang="en-US"/>
                            </a:defPPr>
                            <a:lvl1pPr algn="l" rtl="0" fontAlgn="base">
                              <a:spcBef>
                                <a:spcPct val="0"/>
                              </a:spcBef>
                              <a:spcAft>
                                <a:spcPct val="0"/>
                              </a:spcAft>
                              <a:defRPr kern="1200">
                                <a:solidFill>
                                  <a:schemeClr val="tx1"/>
                                </a:solidFill>
                                <a:latin typeface="Arial" pitchFamily="34" charset="0"/>
                                <a:ea typeface="+mn-ea"/>
                                <a:cs typeface="+mn-cs"/>
                              </a:defRPr>
                            </a:lvl1pPr>
                            <a:lvl2pPr marL="457200" algn="l" rtl="0" fontAlgn="base">
                              <a:spcBef>
                                <a:spcPct val="0"/>
                              </a:spcBef>
                              <a:spcAft>
                                <a:spcPct val="0"/>
                              </a:spcAft>
                              <a:defRPr kern="1200">
                                <a:solidFill>
                                  <a:schemeClr val="tx1"/>
                                </a:solidFill>
                                <a:latin typeface="Arial" pitchFamily="34" charset="0"/>
                                <a:ea typeface="+mn-ea"/>
                                <a:cs typeface="+mn-cs"/>
                              </a:defRPr>
                            </a:lvl2pPr>
                            <a:lvl3pPr marL="914400" algn="l" rtl="0" fontAlgn="base">
                              <a:spcBef>
                                <a:spcPct val="0"/>
                              </a:spcBef>
                              <a:spcAft>
                                <a:spcPct val="0"/>
                              </a:spcAft>
                              <a:defRPr kern="1200">
                                <a:solidFill>
                                  <a:schemeClr val="tx1"/>
                                </a:solidFill>
                                <a:latin typeface="Arial" pitchFamily="34" charset="0"/>
                                <a:ea typeface="+mn-ea"/>
                                <a:cs typeface="+mn-cs"/>
                              </a:defRPr>
                            </a:lvl3pPr>
                            <a:lvl4pPr marL="1371600" algn="l" rtl="0" fontAlgn="base">
                              <a:spcBef>
                                <a:spcPct val="0"/>
                              </a:spcBef>
                              <a:spcAft>
                                <a:spcPct val="0"/>
                              </a:spcAft>
                              <a:defRPr kern="1200">
                                <a:solidFill>
                                  <a:schemeClr val="tx1"/>
                                </a:solidFill>
                                <a:latin typeface="Arial" pitchFamily="34" charset="0"/>
                                <a:ea typeface="+mn-ea"/>
                                <a:cs typeface="+mn-cs"/>
                              </a:defRPr>
                            </a:lvl4pPr>
                            <a:lvl5pPr marL="1828800" algn="l" rtl="0" fontAlgn="base">
                              <a:spcBef>
                                <a:spcPct val="0"/>
                              </a:spcBef>
                              <a:spcAft>
                                <a:spcPct val="0"/>
                              </a:spcAft>
                              <a:defRPr kern="1200">
                                <a:solidFill>
                                  <a:schemeClr val="tx1"/>
                                </a:solidFill>
                                <a:latin typeface="Arial" pitchFamily="34" charset="0"/>
                                <a:ea typeface="+mn-ea"/>
                                <a:cs typeface="+mn-cs"/>
                              </a:defRPr>
                            </a:lvl5pPr>
                            <a:lvl6pPr marL="2286000" algn="l" defTabSz="914400" rtl="0" eaLnBrk="1" latinLnBrk="0" hangingPunct="1">
                              <a:defRPr kern="1200">
                                <a:solidFill>
                                  <a:schemeClr val="tx1"/>
                                </a:solidFill>
                                <a:latin typeface="Arial" pitchFamily="34" charset="0"/>
                                <a:ea typeface="+mn-ea"/>
                                <a:cs typeface="+mn-cs"/>
                              </a:defRPr>
                            </a:lvl6pPr>
                            <a:lvl7pPr marL="2743200" algn="l" defTabSz="914400" rtl="0" eaLnBrk="1" latinLnBrk="0" hangingPunct="1">
                              <a:defRPr kern="1200">
                                <a:solidFill>
                                  <a:schemeClr val="tx1"/>
                                </a:solidFill>
                                <a:latin typeface="Arial" pitchFamily="34" charset="0"/>
                                <a:ea typeface="+mn-ea"/>
                                <a:cs typeface="+mn-cs"/>
                              </a:defRPr>
                            </a:lvl7pPr>
                            <a:lvl8pPr marL="3200400" algn="l" defTabSz="914400" rtl="0" eaLnBrk="1" latinLnBrk="0" hangingPunct="1">
                              <a:defRPr kern="1200">
                                <a:solidFill>
                                  <a:schemeClr val="tx1"/>
                                </a:solidFill>
                                <a:latin typeface="Arial" pitchFamily="34" charset="0"/>
                                <a:ea typeface="+mn-ea"/>
                                <a:cs typeface="+mn-cs"/>
                              </a:defRPr>
                            </a:lvl8pPr>
                            <a:lvl9pPr marL="3657600" algn="l" defTabSz="914400" rtl="0" eaLnBrk="1" latinLnBrk="0" hangingPunct="1">
                              <a:defRPr kern="1200">
                                <a:solidFill>
                                  <a:schemeClr val="tx1"/>
                                </a:solidFill>
                                <a:latin typeface="Arial" pitchFamily="34" charset="0"/>
                                <a:ea typeface="+mn-ea"/>
                                <a:cs typeface="+mn-cs"/>
                              </a:defRPr>
                            </a:lvl9pPr>
                          </a:lstStyle>
                          <a:p>
                            <a:pPr fontAlgn="auto">
                              <a:lnSpc>
                                <a:spcPts val="2600"/>
                              </a:lnSpc>
                              <a:spcBef>
                                <a:spcPts val="0"/>
                              </a:spcBef>
                              <a:spcAft>
                                <a:spcPts val="0"/>
                              </a:spcAft>
                              <a:tabLst>
                                <a:tab pos="215900" algn="l"/>
                              </a:tabLst>
                              <a:defRPr/>
                            </a:pPr>
                            <a:r>
                              <a:rPr lang="en-US" altLang="zh-CN" sz="1799" dirty="0">
                                <a:solidFill>
                                  <a:srgbClr val="000000"/>
                                </a:solidFill>
                                <a:latin typeface="Times New Roman" pitchFamily="18" charset="0"/>
                                <a:cs typeface="Times New Roman" pitchFamily="18" charset="0"/>
                              </a:rPr>
                              <a:t>Q </a:t>
                            </a:r>
                            <a:r>
                              <a:rPr lang="en-US" altLang="zh-CN" sz="1799" dirty="0" err="1">
                                <a:solidFill>
                                  <a:srgbClr val="000000"/>
                                </a:solidFill>
                                <a:latin typeface="Times New Roman" pitchFamily="18" charset="0"/>
                                <a:cs typeface="Times New Roman" pitchFamily="18" charset="0"/>
                              </a:rPr>
                              <a:t>amont</a:t>
                            </a:r>
                            <a:endParaRPr lang="en-US" altLang="zh-CN" sz="1799" dirty="0">
                              <a:solidFill>
                                <a:srgbClr val="000000"/>
                              </a:solidFill>
                              <a:latin typeface="Times New Roman" pitchFamily="18" charset="0"/>
                              <a:cs typeface="Times New Roman" pitchFamily="18" charset="0"/>
                            </a:endParaRPr>
                          </a:p>
                        </a:txBody>
                        <a:useSpRect/>
                      </a:txSp>
                    </a:sp>
                  </a:grpSp>
                  <a:grpSp>
                    <a:nvGrpSpPr>
                      <a:cNvPr id="18436" name="Groupe 36"/>
                      <a:cNvGrpSpPr>
                        <a:grpSpLocks/>
                      </a:cNvGrpSpPr>
                    </a:nvGrpSpPr>
                    <a:grpSpPr bwMode="auto">
                      <a:xfrm>
                        <a:off x="449263" y="3505200"/>
                        <a:ext cx="9245600" cy="4168775"/>
                        <a:chOff x="519113" y="2273300"/>
                        <a:chExt cx="9183687" cy="4168775"/>
                      </a:xfrm>
                    </a:grpSpPr>
                    <a:sp>
                      <a:nvSpPr>
                        <a:cNvPr id="38" name="Freeform 3"/>
                        <a:cNvSpPr/>
                      </a:nvSpPr>
                      <a:spPr>
                        <a:xfrm>
                          <a:off x="594803" y="2352675"/>
                          <a:ext cx="9103266" cy="4089400"/>
                        </a:xfrm>
                        <a:custGeom>
                          <a:avLst/>
                          <a:gdLst>
                            <a:gd name="connsiteX0" fmla="*/ 6350 w 9103359"/>
                            <a:gd name="connsiteY0" fmla="*/ 6350 h 4089400"/>
                            <a:gd name="connsiteX1" fmla="*/ 6350 w 9103359"/>
                            <a:gd name="connsiteY1" fmla="*/ 4083050 h 4089400"/>
                            <a:gd name="connsiteX2" fmla="*/ 9097010 w 9103359"/>
                            <a:gd name="connsiteY2" fmla="*/ 4083050 h 4089400"/>
                            <a:gd name="connsiteX3" fmla="*/ 9097010 w 9103359"/>
                            <a:gd name="connsiteY3" fmla="*/ 6350 h 4089400"/>
                            <a:gd name="connsiteX4" fmla="*/ 6350 w 9103359"/>
                            <a:gd name="connsiteY4" fmla="*/ 6350 h 4089400"/>
                          </a:gdLst>
                          <a:ahLst/>
                          <a:cxnLst>
                            <a:cxn ang="0">
                              <a:pos x="connsiteX0" y="connsiteY0"/>
                            </a:cxn>
                            <a:cxn ang="1">
                              <a:pos x="connsiteX1" y="connsiteY1"/>
                            </a:cxn>
                            <a:cxn ang="2">
                              <a:pos x="connsiteX2" y="connsiteY2"/>
                            </a:cxn>
                            <a:cxn ang="3">
                              <a:pos x="connsiteX3" y="connsiteY3"/>
                            </a:cxn>
                            <a:cxn ang="4">
                              <a:pos x="connsiteX4" y="connsiteY4"/>
                            </a:cxn>
                          </a:cxnLst>
                          <a:rect l="l" t="t" r="r" b="b"/>
                          <a:pathLst>
                            <a:path w="9103359" h="4089400">
                              <a:moveTo>
                                <a:pt x="6350" y="6350"/>
                              </a:moveTo>
                              <a:lnTo>
                                <a:pt x="6350" y="4083050"/>
                              </a:lnTo>
                              <a:lnTo>
                                <a:pt x="9097010" y="4083050"/>
                              </a:lnTo>
                              <a:lnTo>
                                <a:pt x="9097010" y="6350"/>
                              </a:lnTo>
                              <a:lnTo>
                                <a:pt x="6350" y="6350"/>
                              </a:lnTo>
                            </a:path>
                          </a:pathLst>
                        </a:custGeom>
                        <a:solidFill>
                          <a:srgbClr val="000000">
                            <a:alpha val="0"/>
                          </a:srgbClr>
                        </a:solidFill>
                        <a:ln w="12700">
                          <a:solidFill>
                            <a:srgbClr val="808080">
                              <a:alpha val="100000"/>
                            </a:srgbClr>
                          </a:solidFill>
                          <a:prstDash val="solid"/>
                        </a:ln>
                      </a:spPr>
                      <a:txSp>
                        <a:txBody>
                          <a:bodyPr anchor="ctr"/>
                          <a:lstStyle>
                            <a:defPPr>
                              <a:defRPr lang="en-US"/>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fontAlgn="auto">
                              <a:spcBef>
                                <a:spcPts val="0"/>
                              </a:spcBef>
                              <a:spcAft>
                                <a:spcPts val="0"/>
                              </a:spcAft>
                              <a:defRPr/>
                            </a:pPr>
                            <a:endParaRPr lang="zh-CN" alt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39" name="Freeform 3"/>
                        <a:cNvSpPr/>
                      </a:nvSpPr>
                      <a:spPr>
                        <a:xfrm>
                          <a:off x="519113" y="2276475"/>
                          <a:ext cx="9103266" cy="4089400"/>
                        </a:xfrm>
                        <a:custGeom>
                          <a:avLst/>
                          <a:gdLst>
                            <a:gd name="connsiteX0" fmla="*/ 6350 w 9103359"/>
                            <a:gd name="connsiteY0" fmla="*/ 6350 h 4089400"/>
                            <a:gd name="connsiteX1" fmla="*/ 6350 w 9103359"/>
                            <a:gd name="connsiteY1" fmla="*/ 4083050 h 4089400"/>
                            <a:gd name="connsiteX2" fmla="*/ 9097010 w 9103359"/>
                            <a:gd name="connsiteY2" fmla="*/ 4083050 h 4089400"/>
                            <a:gd name="connsiteX3" fmla="*/ 9097010 w 9103359"/>
                            <a:gd name="connsiteY3" fmla="*/ 6350 h 4089400"/>
                            <a:gd name="connsiteX4" fmla="*/ 6350 w 9103359"/>
                            <a:gd name="connsiteY4" fmla="*/ 6350 h 4089400"/>
                          </a:gdLst>
                          <a:ahLst/>
                          <a:cxnLst>
                            <a:cxn ang="0">
                              <a:pos x="connsiteX0" y="connsiteY0"/>
                            </a:cxn>
                            <a:cxn ang="1">
                              <a:pos x="connsiteX1" y="connsiteY1"/>
                            </a:cxn>
                            <a:cxn ang="2">
                              <a:pos x="connsiteX2" y="connsiteY2"/>
                            </a:cxn>
                            <a:cxn ang="3">
                              <a:pos x="connsiteX3" y="connsiteY3"/>
                            </a:cxn>
                            <a:cxn ang="4">
                              <a:pos x="connsiteX4" y="connsiteY4"/>
                            </a:cxn>
                          </a:cxnLst>
                          <a:rect l="l" t="t" r="r" b="b"/>
                          <a:pathLst>
                            <a:path w="9103359" h="4089400">
                              <a:moveTo>
                                <a:pt x="6350" y="6350"/>
                              </a:moveTo>
                              <a:lnTo>
                                <a:pt x="6350" y="4083050"/>
                              </a:lnTo>
                              <a:lnTo>
                                <a:pt x="9097010" y="4083050"/>
                              </a:lnTo>
                              <a:lnTo>
                                <a:pt x="9097010" y="6350"/>
                              </a:lnTo>
                              <a:lnTo>
                                <a:pt x="6350" y="6350"/>
                              </a:lnTo>
                            </a:path>
                          </a:pathLst>
                        </a:custGeom>
                        <a:solidFill>
                          <a:srgbClr val="000000">
                            <a:alpha val="0"/>
                          </a:srgbClr>
                        </a:solidFill>
                        <a:ln w="12700">
                          <a:solidFill>
                            <a:srgbClr val="010101">
                              <a:alpha val="100000"/>
                            </a:srgbClr>
                          </a:solidFill>
                          <a:prstDash val="solid"/>
                        </a:ln>
                      </a:spPr>
                      <a:txSp>
                        <a:txBody>
                          <a:bodyPr anchor="ctr"/>
                          <a:lstStyle>
                            <a:defPPr>
                              <a:defRPr lang="en-US"/>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fontAlgn="auto">
                              <a:spcBef>
                                <a:spcPts val="0"/>
                              </a:spcBef>
                              <a:spcAft>
                                <a:spcPts val="0"/>
                              </a:spcAft>
                              <a:defRPr/>
                            </a:pPr>
                            <a:endParaRPr lang="zh-CN" alt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40" name="Freeform 3"/>
                        <a:cNvSpPr/>
                      </a:nvSpPr>
                      <a:spPr>
                        <a:xfrm>
                          <a:off x="7403725" y="5116513"/>
                          <a:ext cx="2204463" cy="1233487"/>
                        </a:xfrm>
                        <a:custGeom>
                          <a:avLst/>
                          <a:gdLst>
                            <a:gd name="connsiteX0" fmla="*/ 0 w 2203704"/>
                            <a:gd name="connsiteY0" fmla="*/ 0 h 1233678"/>
                            <a:gd name="connsiteX1" fmla="*/ 0 w 2203704"/>
                            <a:gd name="connsiteY1" fmla="*/ 1233678 h 1233678"/>
                            <a:gd name="connsiteX2" fmla="*/ 2203703 w 2203704"/>
                            <a:gd name="connsiteY2" fmla="*/ 1233678 h 1233678"/>
                            <a:gd name="connsiteX3" fmla="*/ 2203703 w 2203704"/>
                            <a:gd name="connsiteY3" fmla="*/ 0 h 1233678"/>
                            <a:gd name="connsiteX4" fmla="*/ 0 w 2203704"/>
                            <a:gd name="connsiteY4" fmla="*/ 0 h 1233678"/>
                          </a:gdLst>
                          <a:ahLst/>
                          <a:cxnLst>
                            <a:cxn ang="0">
                              <a:pos x="connsiteX0" y="connsiteY0"/>
                            </a:cxn>
                            <a:cxn ang="1">
                              <a:pos x="connsiteX1" y="connsiteY1"/>
                            </a:cxn>
                            <a:cxn ang="2">
                              <a:pos x="connsiteX2" y="connsiteY2"/>
                            </a:cxn>
                            <a:cxn ang="3">
                              <a:pos x="connsiteX3" y="connsiteY3"/>
                            </a:cxn>
                            <a:cxn ang="4">
                              <a:pos x="connsiteX4" y="connsiteY4"/>
                            </a:cxn>
                          </a:cxnLst>
                          <a:rect l="l" t="t" r="r" b="b"/>
                          <a:pathLst>
                            <a:path w="2203704" h="1233678">
                              <a:moveTo>
                                <a:pt x="0" y="0"/>
                              </a:moveTo>
                              <a:lnTo>
                                <a:pt x="0" y="1233678"/>
                              </a:lnTo>
                              <a:lnTo>
                                <a:pt x="2203703" y="1233678"/>
                              </a:lnTo>
                              <a:lnTo>
                                <a:pt x="2203703" y="0"/>
                              </a:lnTo>
                              <a:lnTo>
                                <a:pt x="0" y="0"/>
                              </a:lnTo>
                            </a:path>
                          </a:pathLst>
                        </a:custGeom>
                        <a:solidFill>
                          <a:srgbClr val="FFFFFF">
                            <a:alpha val="100000"/>
                          </a:srgbClr>
                        </a:solidFill>
                        <a:ln w="12700">
                          <a:solidFill>
                            <a:srgbClr val="000000">
                              <a:alpha val="0"/>
                            </a:srgbClr>
                          </a:solidFill>
                          <a:prstDash val="solid"/>
                        </a:ln>
                      </a:spPr>
                      <a:txSp>
                        <a:txBody>
                          <a:bodyPr anchor="ctr"/>
                          <a:lstStyle>
                            <a:defPPr>
                              <a:defRPr lang="en-US"/>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fontAlgn="auto">
                              <a:spcBef>
                                <a:spcPts val="0"/>
                              </a:spcBef>
                              <a:spcAft>
                                <a:spcPts val="0"/>
                              </a:spcAft>
                              <a:defRPr/>
                            </a:pPr>
                            <a:endParaRPr lang="zh-CN" altLang="en-US"/>
                          </a:p>
                        </a:txBody>
                        <a:useSpRect/>
                      </a:txSp>
                      <a:style>
                        <a:lnRef idx="2">
                          <a:schemeClr val="accent1">
                            <a:shade val="50000"/>
                          </a:schemeClr>
                        </a:lnRef>
                        <a:fillRef idx="1">
                          <a:schemeClr val="accent1"/>
                        </a:fillRef>
                        <a:effectRef idx="0">
                          <a:schemeClr val="accent1"/>
                        </a:effectRef>
                        <a:fontRef idx="minor">
                          <a:schemeClr val="lt1"/>
                        </a:fontRef>
                      </a:style>
                    </a:sp>
                    <a:pic>
                      <a:nvPicPr>
                        <a:cNvPr id="18440" name="Picture 3"/>
                        <a:cNvPicPr>
                          <a:picLocks noChangeAspect="1" noChangeArrowheads="1"/>
                        </a:cNvPicPr>
                      </a:nvPicPr>
                      <a:blipFill>
                        <a:blip r:embed="rId13"/>
                        <a:srcRect/>
                        <a:stretch>
                          <a:fillRect/>
                        </a:stretch>
                      </a:blipFill>
                      <a:spPr bwMode="auto">
                        <a:xfrm>
                          <a:off x="520700" y="2273300"/>
                          <a:ext cx="9182100" cy="4165600"/>
                        </a:xfrm>
                        <a:prstGeom prst="rect">
                          <a:avLst/>
                        </a:prstGeom>
                        <a:noFill/>
                        <a:ln w="9525">
                          <a:noFill/>
                          <a:miter lim="800000"/>
                          <a:headEnd/>
                          <a:tailEnd/>
                        </a:ln>
                      </a:spPr>
                    </a:pic>
                    <a:sp>
                      <a:nvSpPr>
                        <a:cNvPr id="42" name="TextBox 1"/>
                        <a:cNvSpPr txBox="1"/>
                      </a:nvSpPr>
                      <a:spPr>
                        <a:xfrm rot="17627429">
                          <a:off x="1562681" y="4224724"/>
                          <a:ext cx="801687" cy="350065"/>
                        </a:xfrm>
                        <a:prstGeom prst="rect">
                          <a:avLst/>
                        </a:prstGeom>
                        <a:noFill/>
                      </a:spPr>
                      <a:txSp>
                        <a:txBody>
                          <a:bodyPr wrap="none" lIns="0" tIns="0" rIns="0">
                            <a:spAutoFit/>
                          </a:bodyPr>
                          <a:lstStyle>
                            <a:defPPr>
                              <a:defRPr lang="en-US"/>
                            </a:defPPr>
                            <a:lvl1pPr algn="l" rtl="0" fontAlgn="base">
                              <a:spcBef>
                                <a:spcPct val="0"/>
                              </a:spcBef>
                              <a:spcAft>
                                <a:spcPct val="0"/>
                              </a:spcAft>
                              <a:defRPr kern="1200">
                                <a:solidFill>
                                  <a:schemeClr val="tx1"/>
                                </a:solidFill>
                                <a:latin typeface="Arial" pitchFamily="34" charset="0"/>
                                <a:ea typeface="+mn-ea"/>
                                <a:cs typeface="+mn-cs"/>
                              </a:defRPr>
                            </a:lvl1pPr>
                            <a:lvl2pPr marL="457200" algn="l" rtl="0" fontAlgn="base">
                              <a:spcBef>
                                <a:spcPct val="0"/>
                              </a:spcBef>
                              <a:spcAft>
                                <a:spcPct val="0"/>
                              </a:spcAft>
                              <a:defRPr kern="1200">
                                <a:solidFill>
                                  <a:schemeClr val="tx1"/>
                                </a:solidFill>
                                <a:latin typeface="Arial" pitchFamily="34" charset="0"/>
                                <a:ea typeface="+mn-ea"/>
                                <a:cs typeface="+mn-cs"/>
                              </a:defRPr>
                            </a:lvl2pPr>
                            <a:lvl3pPr marL="914400" algn="l" rtl="0" fontAlgn="base">
                              <a:spcBef>
                                <a:spcPct val="0"/>
                              </a:spcBef>
                              <a:spcAft>
                                <a:spcPct val="0"/>
                              </a:spcAft>
                              <a:defRPr kern="1200">
                                <a:solidFill>
                                  <a:schemeClr val="tx1"/>
                                </a:solidFill>
                                <a:latin typeface="Arial" pitchFamily="34" charset="0"/>
                                <a:ea typeface="+mn-ea"/>
                                <a:cs typeface="+mn-cs"/>
                              </a:defRPr>
                            </a:lvl3pPr>
                            <a:lvl4pPr marL="1371600" algn="l" rtl="0" fontAlgn="base">
                              <a:spcBef>
                                <a:spcPct val="0"/>
                              </a:spcBef>
                              <a:spcAft>
                                <a:spcPct val="0"/>
                              </a:spcAft>
                              <a:defRPr kern="1200">
                                <a:solidFill>
                                  <a:schemeClr val="tx1"/>
                                </a:solidFill>
                                <a:latin typeface="Arial" pitchFamily="34" charset="0"/>
                                <a:ea typeface="+mn-ea"/>
                                <a:cs typeface="+mn-cs"/>
                              </a:defRPr>
                            </a:lvl4pPr>
                            <a:lvl5pPr marL="1828800" algn="l" rtl="0" fontAlgn="base">
                              <a:spcBef>
                                <a:spcPct val="0"/>
                              </a:spcBef>
                              <a:spcAft>
                                <a:spcPct val="0"/>
                              </a:spcAft>
                              <a:defRPr kern="1200">
                                <a:solidFill>
                                  <a:schemeClr val="tx1"/>
                                </a:solidFill>
                                <a:latin typeface="Arial" pitchFamily="34" charset="0"/>
                                <a:ea typeface="+mn-ea"/>
                                <a:cs typeface="+mn-cs"/>
                              </a:defRPr>
                            </a:lvl5pPr>
                            <a:lvl6pPr marL="2286000" algn="l" defTabSz="914400" rtl="0" eaLnBrk="1" latinLnBrk="0" hangingPunct="1">
                              <a:defRPr kern="1200">
                                <a:solidFill>
                                  <a:schemeClr val="tx1"/>
                                </a:solidFill>
                                <a:latin typeface="Arial" pitchFamily="34" charset="0"/>
                                <a:ea typeface="+mn-ea"/>
                                <a:cs typeface="+mn-cs"/>
                              </a:defRPr>
                            </a:lvl6pPr>
                            <a:lvl7pPr marL="2743200" algn="l" defTabSz="914400" rtl="0" eaLnBrk="1" latinLnBrk="0" hangingPunct="1">
                              <a:defRPr kern="1200">
                                <a:solidFill>
                                  <a:schemeClr val="tx1"/>
                                </a:solidFill>
                                <a:latin typeface="Arial" pitchFamily="34" charset="0"/>
                                <a:ea typeface="+mn-ea"/>
                                <a:cs typeface="+mn-cs"/>
                              </a:defRPr>
                            </a:lvl7pPr>
                            <a:lvl8pPr marL="3200400" algn="l" defTabSz="914400" rtl="0" eaLnBrk="1" latinLnBrk="0" hangingPunct="1">
                              <a:defRPr kern="1200">
                                <a:solidFill>
                                  <a:schemeClr val="tx1"/>
                                </a:solidFill>
                                <a:latin typeface="Arial" pitchFamily="34" charset="0"/>
                                <a:ea typeface="+mn-ea"/>
                                <a:cs typeface="+mn-cs"/>
                              </a:defRPr>
                            </a:lvl8pPr>
                            <a:lvl9pPr marL="3657600" algn="l" defTabSz="914400" rtl="0" eaLnBrk="1" latinLnBrk="0" hangingPunct="1">
                              <a:defRPr kern="1200">
                                <a:solidFill>
                                  <a:schemeClr val="tx1"/>
                                </a:solidFill>
                                <a:latin typeface="Arial" pitchFamily="34" charset="0"/>
                                <a:ea typeface="+mn-ea"/>
                                <a:cs typeface="+mn-cs"/>
                              </a:defRPr>
                            </a:lvl9pPr>
                          </a:lstStyle>
                          <a:p>
                            <a:pPr fontAlgn="auto">
                              <a:lnSpc>
                                <a:spcPts val="2600"/>
                              </a:lnSpc>
                              <a:spcBef>
                                <a:spcPts val="0"/>
                              </a:spcBef>
                              <a:spcAft>
                                <a:spcPts val="0"/>
                              </a:spcAft>
                              <a:defRPr/>
                            </a:pPr>
                            <a:r>
                              <a:rPr lang="en-US" altLang="zh-CN" sz="1799" dirty="0">
                                <a:solidFill>
                                  <a:srgbClr val="000000"/>
                                </a:solidFill>
                                <a:latin typeface="Times New Roman" pitchFamily="18" charset="0"/>
                                <a:cs typeface="Times New Roman" pitchFamily="18" charset="0"/>
                              </a:rPr>
                              <a:t>Q </a:t>
                            </a:r>
                            <a:r>
                              <a:rPr lang="en-US" altLang="zh-CN" sz="1799" dirty="0" err="1">
                                <a:solidFill>
                                  <a:srgbClr val="000000"/>
                                </a:solidFill>
                                <a:latin typeface="Times New Roman" pitchFamily="18" charset="0"/>
                                <a:cs typeface="Times New Roman" pitchFamily="18" charset="0"/>
                              </a:rPr>
                              <a:t>dérivé</a:t>
                            </a:r>
                            <a:endParaRPr lang="en-US" altLang="zh-CN" sz="1799" dirty="0">
                              <a:solidFill>
                                <a:srgbClr val="000000"/>
                              </a:solidFill>
                              <a:latin typeface="Times New Roman" pitchFamily="18" charset="0"/>
                              <a:cs typeface="Times New Roman" pitchFamily="18" charset="0"/>
                            </a:endParaRPr>
                          </a:p>
                        </a:txBody>
                        <a:useSpRect/>
                      </a:txSp>
                    </a:sp>
                    <a:sp>
                      <a:nvSpPr>
                        <a:cNvPr id="18442" name="TextBox 1"/>
                        <a:cNvSpPr txBox="1">
                          <a:spLocks noChangeArrowheads="1"/>
                        </a:cNvSpPr>
                      </a:nvSpPr>
                      <a:spPr bwMode="auto">
                        <a:xfrm>
                          <a:off x="2489200" y="5994400"/>
                          <a:ext cx="2247900" cy="203200"/>
                        </a:xfrm>
                        <a:prstGeom prst="rect">
                          <a:avLst/>
                        </a:prstGeom>
                        <a:noFill/>
                        <a:ln w="9525">
                          <a:noFill/>
                          <a:miter lim="800000"/>
                          <a:headEnd/>
                          <a:tailEnd/>
                        </a:ln>
                      </a:spPr>
                      <a:txSp>
                        <a:txBody>
                          <a:bodyPr wrap="none" lIns="0" tIns="0" rIns="0">
                            <a:spAutoFit/>
                          </a:bodyPr>
                          <a:lstStyle>
                            <a:defPPr>
                              <a:defRPr lang="en-US"/>
                            </a:defPPr>
                            <a:lvl1pPr algn="l" rtl="0" fontAlgn="base">
                              <a:spcBef>
                                <a:spcPct val="0"/>
                              </a:spcBef>
                              <a:spcAft>
                                <a:spcPct val="0"/>
                              </a:spcAft>
                              <a:defRPr kern="1200">
                                <a:solidFill>
                                  <a:schemeClr val="tx1"/>
                                </a:solidFill>
                                <a:latin typeface="Arial" pitchFamily="34" charset="0"/>
                                <a:ea typeface="+mn-ea"/>
                                <a:cs typeface="+mn-cs"/>
                              </a:defRPr>
                            </a:lvl1pPr>
                            <a:lvl2pPr marL="457200" algn="l" rtl="0" fontAlgn="base">
                              <a:spcBef>
                                <a:spcPct val="0"/>
                              </a:spcBef>
                              <a:spcAft>
                                <a:spcPct val="0"/>
                              </a:spcAft>
                              <a:defRPr kern="1200">
                                <a:solidFill>
                                  <a:schemeClr val="tx1"/>
                                </a:solidFill>
                                <a:latin typeface="Arial" pitchFamily="34" charset="0"/>
                                <a:ea typeface="+mn-ea"/>
                                <a:cs typeface="+mn-cs"/>
                              </a:defRPr>
                            </a:lvl2pPr>
                            <a:lvl3pPr marL="914400" algn="l" rtl="0" fontAlgn="base">
                              <a:spcBef>
                                <a:spcPct val="0"/>
                              </a:spcBef>
                              <a:spcAft>
                                <a:spcPct val="0"/>
                              </a:spcAft>
                              <a:defRPr kern="1200">
                                <a:solidFill>
                                  <a:schemeClr val="tx1"/>
                                </a:solidFill>
                                <a:latin typeface="Arial" pitchFamily="34" charset="0"/>
                                <a:ea typeface="+mn-ea"/>
                                <a:cs typeface="+mn-cs"/>
                              </a:defRPr>
                            </a:lvl3pPr>
                            <a:lvl4pPr marL="1371600" algn="l" rtl="0" fontAlgn="base">
                              <a:spcBef>
                                <a:spcPct val="0"/>
                              </a:spcBef>
                              <a:spcAft>
                                <a:spcPct val="0"/>
                              </a:spcAft>
                              <a:defRPr kern="1200">
                                <a:solidFill>
                                  <a:schemeClr val="tx1"/>
                                </a:solidFill>
                                <a:latin typeface="Arial" pitchFamily="34" charset="0"/>
                                <a:ea typeface="+mn-ea"/>
                                <a:cs typeface="+mn-cs"/>
                              </a:defRPr>
                            </a:lvl4pPr>
                            <a:lvl5pPr marL="1828800" algn="l" rtl="0" fontAlgn="base">
                              <a:spcBef>
                                <a:spcPct val="0"/>
                              </a:spcBef>
                              <a:spcAft>
                                <a:spcPct val="0"/>
                              </a:spcAft>
                              <a:defRPr kern="1200">
                                <a:solidFill>
                                  <a:schemeClr val="tx1"/>
                                </a:solidFill>
                                <a:latin typeface="Arial" pitchFamily="34" charset="0"/>
                                <a:ea typeface="+mn-ea"/>
                                <a:cs typeface="+mn-cs"/>
                              </a:defRPr>
                            </a:lvl5pPr>
                            <a:lvl6pPr marL="2286000" algn="l" defTabSz="914400" rtl="0" eaLnBrk="1" latinLnBrk="0" hangingPunct="1">
                              <a:defRPr kern="1200">
                                <a:solidFill>
                                  <a:schemeClr val="tx1"/>
                                </a:solidFill>
                                <a:latin typeface="Arial" pitchFamily="34" charset="0"/>
                                <a:ea typeface="+mn-ea"/>
                                <a:cs typeface="+mn-cs"/>
                              </a:defRPr>
                            </a:lvl6pPr>
                            <a:lvl7pPr marL="2743200" algn="l" defTabSz="914400" rtl="0" eaLnBrk="1" latinLnBrk="0" hangingPunct="1">
                              <a:defRPr kern="1200">
                                <a:solidFill>
                                  <a:schemeClr val="tx1"/>
                                </a:solidFill>
                                <a:latin typeface="Arial" pitchFamily="34" charset="0"/>
                                <a:ea typeface="+mn-ea"/>
                                <a:cs typeface="+mn-cs"/>
                              </a:defRPr>
                            </a:lvl7pPr>
                            <a:lvl8pPr marL="3200400" algn="l" defTabSz="914400" rtl="0" eaLnBrk="1" latinLnBrk="0" hangingPunct="1">
                              <a:defRPr kern="1200">
                                <a:solidFill>
                                  <a:schemeClr val="tx1"/>
                                </a:solidFill>
                                <a:latin typeface="Arial" pitchFamily="34" charset="0"/>
                                <a:ea typeface="+mn-ea"/>
                                <a:cs typeface="+mn-cs"/>
                              </a:defRPr>
                            </a:lvl8pPr>
                            <a:lvl9pPr marL="3657600" algn="l" defTabSz="914400" rtl="0" eaLnBrk="1" latinLnBrk="0" hangingPunct="1">
                              <a:defRPr kern="1200">
                                <a:solidFill>
                                  <a:schemeClr val="tx1"/>
                                </a:solidFill>
                                <a:latin typeface="Arial" pitchFamily="34" charset="0"/>
                                <a:ea typeface="+mn-ea"/>
                                <a:cs typeface="+mn-cs"/>
                              </a:defRPr>
                            </a:lvl9pPr>
                          </a:lstStyle>
                          <a:p>
                            <a:pPr>
                              <a:lnSpc>
                                <a:spcPts val="1600"/>
                              </a:lnSpc>
                            </a:pPr>
                            <a:r>
                              <a:rPr lang="en-US" altLang="zh-CN">
                                <a:solidFill>
                                  <a:srgbClr val="000000"/>
                                </a:solidFill>
                                <a:latin typeface="Times New Roman" pitchFamily="18" charset="0"/>
                                <a:cs typeface="Times New Roman" pitchFamily="18" charset="0"/>
                              </a:rPr>
                              <a:t>Ouvrage</a:t>
                            </a:r>
                            <a:r>
                              <a:rPr lang="en-US" altLang="zh-CN">
                                <a:latin typeface="Times New Roman" pitchFamily="18" charset="0"/>
                                <a:cs typeface="Times New Roman" pitchFamily="18" charset="0"/>
                              </a:rPr>
                              <a:t> </a:t>
                            </a:r>
                            <a:r>
                              <a:rPr lang="en-US" altLang="zh-CN">
                                <a:solidFill>
                                  <a:srgbClr val="000000"/>
                                </a:solidFill>
                                <a:latin typeface="Times New Roman" pitchFamily="18" charset="0"/>
                                <a:cs typeface="Times New Roman" pitchFamily="18" charset="0"/>
                              </a:rPr>
                              <a:t>de</a:t>
                            </a:r>
                            <a:r>
                              <a:rPr lang="en-US" altLang="zh-CN">
                                <a:latin typeface="Times New Roman" pitchFamily="18" charset="0"/>
                                <a:cs typeface="Times New Roman" pitchFamily="18" charset="0"/>
                              </a:rPr>
                              <a:t> </a:t>
                            </a:r>
                            <a:r>
                              <a:rPr lang="en-US" altLang="zh-CN">
                                <a:solidFill>
                                  <a:srgbClr val="000000"/>
                                </a:solidFill>
                                <a:latin typeface="Times New Roman" pitchFamily="18" charset="0"/>
                                <a:cs typeface="Times New Roman" pitchFamily="18" charset="0"/>
                              </a:rPr>
                              <a:t>dérivation</a:t>
                            </a:r>
                          </a:p>
                        </a:txBody>
                        <a:useSpRect/>
                      </a:txSp>
                    </a:sp>
                    <a:sp>
                      <a:nvSpPr>
                        <a:cNvPr id="44" name="TextBox 1"/>
                        <a:cNvSpPr txBox="1"/>
                      </a:nvSpPr>
                      <a:spPr>
                        <a:xfrm rot="19457518">
                          <a:off x="531728" y="5543550"/>
                          <a:ext cx="802626" cy="254000"/>
                        </a:xfrm>
                        <a:prstGeom prst="rect">
                          <a:avLst/>
                        </a:prstGeom>
                        <a:noFill/>
                      </a:spPr>
                      <a:txSp>
                        <a:txBody>
                          <a:bodyPr wrap="none" lIns="0" tIns="0" rIns="0">
                            <a:spAutoFit/>
                          </a:bodyPr>
                          <a:lstStyle>
                            <a:defPPr>
                              <a:defRPr lang="en-US"/>
                            </a:defPPr>
                            <a:lvl1pPr algn="l" rtl="0" fontAlgn="base">
                              <a:spcBef>
                                <a:spcPct val="0"/>
                              </a:spcBef>
                              <a:spcAft>
                                <a:spcPct val="0"/>
                              </a:spcAft>
                              <a:defRPr kern="1200">
                                <a:solidFill>
                                  <a:schemeClr val="tx1"/>
                                </a:solidFill>
                                <a:latin typeface="Arial" pitchFamily="34" charset="0"/>
                                <a:ea typeface="+mn-ea"/>
                                <a:cs typeface="+mn-cs"/>
                              </a:defRPr>
                            </a:lvl1pPr>
                            <a:lvl2pPr marL="457200" algn="l" rtl="0" fontAlgn="base">
                              <a:spcBef>
                                <a:spcPct val="0"/>
                              </a:spcBef>
                              <a:spcAft>
                                <a:spcPct val="0"/>
                              </a:spcAft>
                              <a:defRPr kern="1200">
                                <a:solidFill>
                                  <a:schemeClr val="tx1"/>
                                </a:solidFill>
                                <a:latin typeface="Arial" pitchFamily="34" charset="0"/>
                                <a:ea typeface="+mn-ea"/>
                                <a:cs typeface="+mn-cs"/>
                              </a:defRPr>
                            </a:lvl2pPr>
                            <a:lvl3pPr marL="914400" algn="l" rtl="0" fontAlgn="base">
                              <a:spcBef>
                                <a:spcPct val="0"/>
                              </a:spcBef>
                              <a:spcAft>
                                <a:spcPct val="0"/>
                              </a:spcAft>
                              <a:defRPr kern="1200">
                                <a:solidFill>
                                  <a:schemeClr val="tx1"/>
                                </a:solidFill>
                                <a:latin typeface="Arial" pitchFamily="34" charset="0"/>
                                <a:ea typeface="+mn-ea"/>
                                <a:cs typeface="+mn-cs"/>
                              </a:defRPr>
                            </a:lvl3pPr>
                            <a:lvl4pPr marL="1371600" algn="l" rtl="0" fontAlgn="base">
                              <a:spcBef>
                                <a:spcPct val="0"/>
                              </a:spcBef>
                              <a:spcAft>
                                <a:spcPct val="0"/>
                              </a:spcAft>
                              <a:defRPr kern="1200">
                                <a:solidFill>
                                  <a:schemeClr val="tx1"/>
                                </a:solidFill>
                                <a:latin typeface="Arial" pitchFamily="34" charset="0"/>
                                <a:ea typeface="+mn-ea"/>
                                <a:cs typeface="+mn-cs"/>
                              </a:defRPr>
                            </a:lvl4pPr>
                            <a:lvl5pPr marL="1828800" algn="l" rtl="0" fontAlgn="base">
                              <a:spcBef>
                                <a:spcPct val="0"/>
                              </a:spcBef>
                              <a:spcAft>
                                <a:spcPct val="0"/>
                              </a:spcAft>
                              <a:defRPr kern="1200">
                                <a:solidFill>
                                  <a:schemeClr val="tx1"/>
                                </a:solidFill>
                                <a:latin typeface="Arial" pitchFamily="34" charset="0"/>
                                <a:ea typeface="+mn-ea"/>
                                <a:cs typeface="+mn-cs"/>
                              </a:defRPr>
                            </a:lvl5pPr>
                            <a:lvl6pPr marL="2286000" algn="l" defTabSz="914400" rtl="0" eaLnBrk="1" latinLnBrk="0" hangingPunct="1">
                              <a:defRPr kern="1200">
                                <a:solidFill>
                                  <a:schemeClr val="tx1"/>
                                </a:solidFill>
                                <a:latin typeface="Arial" pitchFamily="34" charset="0"/>
                                <a:ea typeface="+mn-ea"/>
                                <a:cs typeface="+mn-cs"/>
                              </a:defRPr>
                            </a:lvl6pPr>
                            <a:lvl7pPr marL="2743200" algn="l" defTabSz="914400" rtl="0" eaLnBrk="1" latinLnBrk="0" hangingPunct="1">
                              <a:defRPr kern="1200">
                                <a:solidFill>
                                  <a:schemeClr val="tx1"/>
                                </a:solidFill>
                                <a:latin typeface="Arial" pitchFamily="34" charset="0"/>
                                <a:ea typeface="+mn-ea"/>
                                <a:cs typeface="+mn-cs"/>
                              </a:defRPr>
                            </a:lvl7pPr>
                            <a:lvl8pPr marL="3200400" algn="l" defTabSz="914400" rtl="0" eaLnBrk="1" latinLnBrk="0" hangingPunct="1">
                              <a:defRPr kern="1200">
                                <a:solidFill>
                                  <a:schemeClr val="tx1"/>
                                </a:solidFill>
                                <a:latin typeface="Arial" pitchFamily="34" charset="0"/>
                                <a:ea typeface="+mn-ea"/>
                                <a:cs typeface="+mn-cs"/>
                              </a:defRPr>
                            </a:lvl8pPr>
                            <a:lvl9pPr marL="3657600" algn="l" defTabSz="914400" rtl="0" eaLnBrk="1" latinLnBrk="0" hangingPunct="1">
                              <a:defRPr kern="1200">
                                <a:solidFill>
                                  <a:schemeClr val="tx1"/>
                                </a:solidFill>
                                <a:latin typeface="Arial" pitchFamily="34" charset="0"/>
                                <a:ea typeface="+mn-ea"/>
                                <a:cs typeface="+mn-cs"/>
                              </a:defRPr>
                            </a:lvl9pPr>
                          </a:lstStyle>
                          <a:p>
                            <a:pPr fontAlgn="auto">
                              <a:lnSpc>
                                <a:spcPts val="1600"/>
                              </a:lnSpc>
                              <a:spcBef>
                                <a:spcPts val="0"/>
                              </a:spcBef>
                              <a:spcAft>
                                <a:spcPts val="0"/>
                              </a:spcAft>
                              <a:defRPr/>
                            </a:pPr>
                            <a:r>
                              <a:rPr lang="en-US" altLang="zh-CN" sz="1799" dirty="0">
                                <a:solidFill>
                                  <a:srgbClr val="000000"/>
                                </a:solidFill>
                                <a:latin typeface="Times New Roman" pitchFamily="18" charset="0"/>
                                <a:cs typeface="Times New Roman" pitchFamily="18" charset="0"/>
                              </a:rPr>
                              <a:t>Q </a:t>
                            </a:r>
                            <a:r>
                              <a:rPr lang="en-US" altLang="zh-CN" sz="1799" dirty="0" err="1">
                                <a:solidFill>
                                  <a:srgbClr val="000000"/>
                                </a:solidFill>
                                <a:latin typeface="Times New Roman" pitchFamily="18" charset="0"/>
                                <a:cs typeface="Times New Roman" pitchFamily="18" charset="0"/>
                              </a:rPr>
                              <a:t>amont</a:t>
                            </a:r>
                            <a:endParaRPr lang="en-US" altLang="zh-CN" sz="1799" dirty="0">
                              <a:solidFill>
                                <a:srgbClr val="000000"/>
                              </a:solidFill>
                              <a:latin typeface="Times New Roman" pitchFamily="18" charset="0"/>
                              <a:cs typeface="Times New Roman" pitchFamily="18" charset="0"/>
                            </a:endParaRPr>
                          </a:p>
                        </a:txBody>
                        <a:useSpRect/>
                      </a:txSp>
                    </a:sp>
                    <a:sp>
                      <a:nvSpPr>
                        <a:cNvPr id="45" name="TextBox 1"/>
                        <a:cNvSpPr txBox="1"/>
                      </a:nvSpPr>
                      <a:spPr>
                        <a:xfrm>
                          <a:off x="634224" y="2832100"/>
                          <a:ext cx="216032" cy="228600"/>
                        </a:xfrm>
                        <a:prstGeom prst="rect">
                          <a:avLst/>
                        </a:prstGeom>
                        <a:noFill/>
                      </a:spPr>
                      <a:txSp>
                        <a:txBody>
                          <a:bodyPr wrap="none" lIns="0" tIns="0" rIns="0">
                            <a:spAutoFit/>
                          </a:bodyPr>
                          <a:lstStyle>
                            <a:defPPr>
                              <a:defRPr lang="en-US"/>
                            </a:defPPr>
                            <a:lvl1pPr algn="l" rtl="0" fontAlgn="base">
                              <a:spcBef>
                                <a:spcPct val="0"/>
                              </a:spcBef>
                              <a:spcAft>
                                <a:spcPct val="0"/>
                              </a:spcAft>
                              <a:defRPr kern="1200">
                                <a:solidFill>
                                  <a:schemeClr val="tx1"/>
                                </a:solidFill>
                                <a:latin typeface="Arial" pitchFamily="34" charset="0"/>
                                <a:ea typeface="+mn-ea"/>
                                <a:cs typeface="+mn-cs"/>
                              </a:defRPr>
                            </a:lvl1pPr>
                            <a:lvl2pPr marL="457200" algn="l" rtl="0" fontAlgn="base">
                              <a:spcBef>
                                <a:spcPct val="0"/>
                              </a:spcBef>
                              <a:spcAft>
                                <a:spcPct val="0"/>
                              </a:spcAft>
                              <a:defRPr kern="1200">
                                <a:solidFill>
                                  <a:schemeClr val="tx1"/>
                                </a:solidFill>
                                <a:latin typeface="Arial" pitchFamily="34" charset="0"/>
                                <a:ea typeface="+mn-ea"/>
                                <a:cs typeface="+mn-cs"/>
                              </a:defRPr>
                            </a:lvl2pPr>
                            <a:lvl3pPr marL="914400" algn="l" rtl="0" fontAlgn="base">
                              <a:spcBef>
                                <a:spcPct val="0"/>
                              </a:spcBef>
                              <a:spcAft>
                                <a:spcPct val="0"/>
                              </a:spcAft>
                              <a:defRPr kern="1200">
                                <a:solidFill>
                                  <a:schemeClr val="tx1"/>
                                </a:solidFill>
                                <a:latin typeface="Arial" pitchFamily="34" charset="0"/>
                                <a:ea typeface="+mn-ea"/>
                                <a:cs typeface="+mn-cs"/>
                              </a:defRPr>
                            </a:lvl3pPr>
                            <a:lvl4pPr marL="1371600" algn="l" rtl="0" fontAlgn="base">
                              <a:spcBef>
                                <a:spcPct val="0"/>
                              </a:spcBef>
                              <a:spcAft>
                                <a:spcPct val="0"/>
                              </a:spcAft>
                              <a:defRPr kern="1200">
                                <a:solidFill>
                                  <a:schemeClr val="tx1"/>
                                </a:solidFill>
                                <a:latin typeface="Arial" pitchFamily="34" charset="0"/>
                                <a:ea typeface="+mn-ea"/>
                                <a:cs typeface="+mn-cs"/>
                              </a:defRPr>
                            </a:lvl4pPr>
                            <a:lvl5pPr marL="1828800" algn="l" rtl="0" fontAlgn="base">
                              <a:spcBef>
                                <a:spcPct val="0"/>
                              </a:spcBef>
                              <a:spcAft>
                                <a:spcPct val="0"/>
                              </a:spcAft>
                              <a:defRPr kern="1200">
                                <a:solidFill>
                                  <a:schemeClr val="tx1"/>
                                </a:solidFill>
                                <a:latin typeface="Arial" pitchFamily="34" charset="0"/>
                                <a:ea typeface="+mn-ea"/>
                                <a:cs typeface="+mn-cs"/>
                              </a:defRPr>
                            </a:lvl5pPr>
                            <a:lvl6pPr marL="2286000" algn="l" defTabSz="914400" rtl="0" eaLnBrk="1" latinLnBrk="0" hangingPunct="1">
                              <a:defRPr kern="1200">
                                <a:solidFill>
                                  <a:schemeClr val="tx1"/>
                                </a:solidFill>
                                <a:latin typeface="Arial" pitchFamily="34" charset="0"/>
                                <a:ea typeface="+mn-ea"/>
                                <a:cs typeface="+mn-cs"/>
                              </a:defRPr>
                            </a:lvl6pPr>
                            <a:lvl7pPr marL="2743200" algn="l" defTabSz="914400" rtl="0" eaLnBrk="1" latinLnBrk="0" hangingPunct="1">
                              <a:defRPr kern="1200">
                                <a:solidFill>
                                  <a:schemeClr val="tx1"/>
                                </a:solidFill>
                                <a:latin typeface="Arial" pitchFamily="34" charset="0"/>
                                <a:ea typeface="+mn-ea"/>
                                <a:cs typeface="+mn-cs"/>
                              </a:defRPr>
                            </a:lvl7pPr>
                            <a:lvl8pPr marL="3200400" algn="l" defTabSz="914400" rtl="0" eaLnBrk="1" latinLnBrk="0" hangingPunct="1">
                              <a:defRPr kern="1200">
                                <a:solidFill>
                                  <a:schemeClr val="tx1"/>
                                </a:solidFill>
                                <a:latin typeface="Arial" pitchFamily="34" charset="0"/>
                                <a:ea typeface="+mn-ea"/>
                                <a:cs typeface="+mn-cs"/>
                              </a:defRPr>
                            </a:lvl8pPr>
                            <a:lvl9pPr marL="3657600" algn="l" defTabSz="914400" rtl="0" eaLnBrk="1" latinLnBrk="0" hangingPunct="1">
                              <a:defRPr kern="1200">
                                <a:solidFill>
                                  <a:schemeClr val="tx1"/>
                                </a:solidFill>
                                <a:latin typeface="Arial" pitchFamily="34" charset="0"/>
                                <a:ea typeface="+mn-ea"/>
                                <a:cs typeface="+mn-cs"/>
                              </a:defRPr>
                            </a:lvl9pPr>
                          </a:lstStyle>
                          <a:p>
                            <a:pPr fontAlgn="auto">
                              <a:lnSpc>
                                <a:spcPts val="1800"/>
                              </a:lnSpc>
                              <a:spcBef>
                                <a:spcPts val="0"/>
                              </a:spcBef>
                              <a:spcAft>
                                <a:spcPts val="0"/>
                              </a:spcAft>
                              <a:defRPr/>
                            </a:pPr>
                            <a:r>
                              <a:rPr lang="en-US" altLang="zh-CN" sz="1997" dirty="0">
                                <a:solidFill>
                                  <a:srgbClr val="000000"/>
                                </a:solidFill>
                                <a:latin typeface="Times New Roman" pitchFamily="18" charset="0"/>
                                <a:cs typeface="Times New Roman" pitchFamily="18" charset="0"/>
                              </a:rPr>
                              <a:t>b)</a:t>
                            </a:r>
                          </a:p>
                        </a:txBody>
                        <a:useSpRect/>
                      </a:txSp>
                    </a:sp>
                  </a:grpSp>
                </lc:lockedCanvas>
              </a:graphicData>
            </a:graphic>
          </wp:inline>
        </w:drawing>
      </w:r>
    </w:p>
    <w:p w:rsidR="006F1400" w:rsidRPr="00693D9D" w:rsidRDefault="006F1400" w:rsidP="006F1400">
      <w:pPr>
        <w:autoSpaceDE w:val="0"/>
        <w:autoSpaceDN w:val="0"/>
        <w:adjustRightInd w:val="0"/>
        <w:spacing w:before="120" w:after="120" w:line="240" w:lineRule="auto"/>
        <w:jc w:val="center"/>
        <w:rPr>
          <w:rFonts w:ascii="Times New Roman" w:hAnsi="Times New Roman"/>
          <w:b/>
          <w:bCs/>
          <w:i/>
          <w:sz w:val="24"/>
          <w:szCs w:val="24"/>
        </w:rPr>
      </w:pPr>
      <w:r w:rsidRPr="00693D9D">
        <w:rPr>
          <w:rFonts w:ascii="Times New Roman" w:hAnsi="Times New Roman"/>
          <w:b/>
          <w:bCs/>
          <w:i/>
          <w:sz w:val="24"/>
          <w:szCs w:val="24"/>
        </w:rPr>
        <w:t xml:space="preserve">Figure 08- Dérivation des crues </w:t>
      </w:r>
    </w:p>
    <w:p w:rsidR="00693D9D" w:rsidRPr="00693D9D" w:rsidRDefault="00693D9D" w:rsidP="006F1400">
      <w:pPr>
        <w:autoSpaceDE w:val="0"/>
        <w:autoSpaceDN w:val="0"/>
        <w:adjustRightInd w:val="0"/>
        <w:spacing w:before="120" w:after="120" w:line="240" w:lineRule="auto"/>
        <w:rPr>
          <w:rFonts w:ascii="Times New Roman" w:hAnsi="Times New Roman"/>
          <w:b/>
          <w:bCs/>
          <w:i/>
          <w:sz w:val="24"/>
          <w:szCs w:val="24"/>
          <w:u w:val="single"/>
        </w:rPr>
      </w:pPr>
    </w:p>
    <w:p w:rsidR="00693D9D" w:rsidRDefault="00693D9D" w:rsidP="006F1400">
      <w:pPr>
        <w:autoSpaceDE w:val="0"/>
        <w:autoSpaceDN w:val="0"/>
        <w:adjustRightInd w:val="0"/>
        <w:spacing w:before="120" w:after="120" w:line="240" w:lineRule="auto"/>
        <w:rPr>
          <w:rFonts w:ascii="Arial" w:hAnsi="Arial" w:cs="Arial"/>
          <w:b/>
          <w:bCs/>
          <w:sz w:val="28"/>
          <w:szCs w:val="28"/>
          <w:u w:val="single"/>
        </w:rPr>
      </w:pPr>
    </w:p>
    <w:p w:rsidR="006F1400" w:rsidRPr="00693D9D" w:rsidRDefault="006F1400" w:rsidP="006F1400">
      <w:pPr>
        <w:autoSpaceDE w:val="0"/>
        <w:autoSpaceDN w:val="0"/>
        <w:adjustRightInd w:val="0"/>
        <w:spacing w:before="120" w:after="120" w:line="240" w:lineRule="auto"/>
        <w:rPr>
          <w:rFonts w:ascii="Times New Roman" w:hAnsi="Times New Roman"/>
          <w:b/>
          <w:bCs/>
          <w:sz w:val="24"/>
          <w:szCs w:val="24"/>
          <w:u w:val="single"/>
        </w:rPr>
      </w:pPr>
      <w:r w:rsidRPr="00693D9D">
        <w:rPr>
          <w:rFonts w:ascii="Times New Roman" w:hAnsi="Times New Roman"/>
          <w:b/>
          <w:bCs/>
          <w:sz w:val="24"/>
          <w:szCs w:val="24"/>
          <w:u w:val="single"/>
        </w:rPr>
        <w:t>Correction des cours  d’eau</w:t>
      </w:r>
    </w:p>
    <w:p w:rsidR="006F1400" w:rsidRPr="00693D9D" w:rsidRDefault="006F1400" w:rsidP="006F1400">
      <w:pPr>
        <w:autoSpaceDE w:val="0"/>
        <w:autoSpaceDN w:val="0"/>
        <w:adjustRightInd w:val="0"/>
        <w:spacing w:before="120" w:after="120" w:line="240" w:lineRule="auto"/>
        <w:jc w:val="both"/>
        <w:rPr>
          <w:rFonts w:ascii="Times New Roman" w:hAnsi="Times New Roman"/>
          <w:bCs/>
          <w:sz w:val="24"/>
          <w:szCs w:val="24"/>
        </w:rPr>
      </w:pPr>
      <w:r w:rsidRPr="00693D9D">
        <w:rPr>
          <w:rFonts w:ascii="Times New Roman" w:hAnsi="Times New Roman"/>
          <w:bCs/>
          <w:sz w:val="24"/>
          <w:szCs w:val="24"/>
        </w:rPr>
        <w:t>Les corrections des cours d’eau ont pour objectif de maximaliser la capacité hydraulique et le transport de charriage et de minimaliser l'emprise du cours d'eau</w:t>
      </w:r>
    </w:p>
    <w:p w:rsidR="006F1400" w:rsidRPr="00693D9D" w:rsidRDefault="006F1400" w:rsidP="006F1400">
      <w:pPr>
        <w:autoSpaceDE w:val="0"/>
        <w:autoSpaceDN w:val="0"/>
        <w:adjustRightInd w:val="0"/>
        <w:spacing w:before="120" w:after="120" w:line="240" w:lineRule="auto"/>
        <w:jc w:val="both"/>
        <w:rPr>
          <w:rFonts w:ascii="Times New Roman" w:hAnsi="Times New Roman"/>
          <w:bCs/>
          <w:sz w:val="24"/>
          <w:szCs w:val="24"/>
        </w:rPr>
      </w:pPr>
      <w:r w:rsidRPr="00693D9D">
        <w:rPr>
          <w:rFonts w:ascii="Times New Roman" w:hAnsi="Times New Roman"/>
          <w:bCs/>
          <w:sz w:val="24"/>
          <w:szCs w:val="24"/>
        </w:rPr>
        <w:t>Le résultat des corrections se solde par des tracés étroits et rectilignes et  des lits plats.</w:t>
      </w:r>
    </w:p>
    <w:p w:rsidR="006F1400" w:rsidRDefault="006F1400" w:rsidP="006F1400">
      <w:pPr>
        <w:autoSpaceDE w:val="0"/>
        <w:autoSpaceDN w:val="0"/>
        <w:adjustRightInd w:val="0"/>
        <w:spacing w:before="120" w:after="120" w:line="240" w:lineRule="auto"/>
        <w:jc w:val="both"/>
        <w:rPr>
          <w:rFonts w:ascii="Times New Roman" w:hAnsi="Times New Roman"/>
          <w:bCs/>
          <w:sz w:val="24"/>
          <w:szCs w:val="24"/>
        </w:rPr>
      </w:pPr>
      <w:r w:rsidRPr="00693D9D">
        <w:rPr>
          <w:rFonts w:ascii="Times New Roman" w:hAnsi="Times New Roman"/>
          <w:bCs/>
          <w:sz w:val="24"/>
          <w:szCs w:val="24"/>
        </w:rPr>
        <w:lastRenderedPageBreak/>
        <w:t>Dans la nature un tel tracé rectiligne n'existe que très rarement, un lit plat reste stable seulement dans le cas où la granulométrie du lit est composée principalement des grains grossiers.</w:t>
      </w:r>
    </w:p>
    <w:p w:rsidR="00693D9D" w:rsidRDefault="00693D9D" w:rsidP="006F1400">
      <w:pPr>
        <w:autoSpaceDE w:val="0"/>
        <w:autoSpaceDN w:val="0"/>
        <w:adjustRightInd w:val="0"/>
        <w:spacing w:before="120" w:after="120" w:line="240" w:lineRule="auto"/>
        <w:jc w:val="both"/>
        <w:rPr>
          <w:rFonts w:ascii="Times New Roman" w:hAnsi="Times New Roman"/>
          <w:bCs/>
          <w:sz w:val="24"/>
          <w:szCs w:val="24"/>
        </w:rPr>
      </w:pPr>
    </w:p>
    <w:p w:rsidR="00693D9D" w:rsidRPr="00693D9D" w:rsidRDefault="00693D9D" w:rsidP="006F1400">
      <w:pPr>
        <w:autoSpaceDE w:val="0"/>
        <w:autoSpaceDN w:val="0"/>
        <w:adjustRightInd w:val="0"/>
        <w:spacing w:before="120" w:after="120" w:line="240" w:lineRule="auto"/>
        <w:jc w:val="both"/>
        <w:rPr>
          <w:rFonts w:ascii="Times New Roman" w:hAnsi="Times New Roman"/>
          <w:bCs/>
          <w:sz w:val="24"/>
          <w:szCs w:val="24"/>
        </w:rPr>
      </w:pPr>
    </w:p>
    <w:p w:rsidR="006F1400" w:rsidRPr="0082272E" w:rsidRDefault="006F1400" w:rsidP="006F1400">
      <w:pPr>
        <w:autoSpaceDE w:val="0"/>
        <w:autoSpaceDN w:val="0"/>
        <w:adjustRightInd w:val="0"/>
        <w:spacing w:before="120" w:after="120" w:line="240" w:lineRule="auto"/>
        <w:jc w:val="center"/>
        <w:rPr>
          <w:rFonts w:ascii="Arial" w:hAnsi="Arial" w:cs="Arial"/>
          <w:bCs/>
          <w:sz w:val="24"/>
          <w:szCs w:val="24"/>
        </w:rPr>
      </w:pPr>
      <w:r>
        <w:rPr>
          <w:rFonts w:ascii="Arial" w:hAnsi="Arial" w:cs="Arial"/>
          <w:bCs/>
          <w:noProof/>
          <w:sz w:val="24"/>
          <w:szCs w:val="24"/>
          <w:lang w:eastAsia="fr-FR"/>
        </w:rPr>
        <w:drawing>
          <wp:inline distT="0" distB="0" distL="0" distR="0">
            <wp:extent cx="4152900" cy="1581150"/>
            <wp:effectExtent l="19050" t="0" r="0" b="0"/>
            <wp:docPr id="9" name="Objet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jet 9"/>
                    <pic:cNvPicPr>
                      <a:picLocks noChangeAspect="1" noChangeArrowheads="1"/>
                    </pic:cNvPicPr>
                  </pic:nvPicPr>
                  <pic:blipFill>
                    <a:blip r:embed="rId14"/>
                    <a:srcRect l="12936" t="53416" r="17642" b="1965"/>
                    <a:stretch>
                      <a:fillRect/>
                    </a:stretch>
                  </pic:blipFill>
                  <pic:spPr bwMode="auto">
                    <a:xfrm>
                      <a:off x="0" y="0"/>
                      <a:ext cx="4152900" cy="1581150"/>
                    </a:xfrm>
                    <a:prstGeom prst="rect">
                      <a:avLst/>
                    </a:prstGeom>
                    <a:noFill/>
                    <a:ln w="9525">
                      <a:noFill/>
                      <a:miter lim="800000"/>
                      <a:headEnd/>
                      <a:tailEnd/>
                    </a:ln>
                  </pic:spPr>
                </pic:pic>
              </a:graphicData>
            </a:graphic>
          </wp:inline>
        </w:drawing>
      </w:r>
    </w:p>
    <w:p w:rsidR="006F1400" w:rsidRDefault="006F1400" w:rsidP="006F1400">
      <w:pPr>
        <w:autoSpaceDE w:val="0"/>
        <w:autoSpaceDN w:val="0"/>
        <w:adjustRightInd w:val="0"/>
        <w:spacing w:before="120" w:after="120" w:line="240" w:lineRule="auto"/>
        <w:jc w:val="center"/>
        <w:rPr>
          <w:rFonts w:ascii="Times New Roman" w:hAnsi="Times New Roman"/>
          <w:b/>
          <w:bCs/>
          <w:i/>
          <w:sz w:val="24"/>
          <w:szCs w:val="24"/>
        </w:rPr>
      </w:pPr>
      <w:r w:rsidRPr="00693D9D">
        <w:rPr>
          <w:rFonts w:ascii="Times New Roman" w:hAnsi="Times New Roman"/>
          <w:b/>
          <w:bCs/>
          <w:i/>
          <w:sz w:val="24"/>
          <w:szCs w:val="24"/>
        </w:rPr>
        <w:t>Figure 09- Correction d’un cours d’eau avec formation des zones d’affouillement et des bancs</w:t>
      </w:r>
      <w:r w:rsidR="00693D9D">
        <w:rPr>
          <w:rFonts w:ascii="Times New Roman" w:hAnsi="Times New Roman"/>
          <w:b/>
          <w:bCs/>
          <w:i/>
          <w:sz w:val="24"/>
          <w:szCs w:val="24"/>
        </w:rPr>
        <w:t>.</w:t>
      </w:r>
    </w:p>
    <w:p w:rsidR="00693D9D" w:rsidRPr="00693D9D" w:rsidRDefault="00693D9D" w:rsidP="006F1400">
      <w:pPr>
        <w:autoSpaceDE w:val="0"/>
        <w:autoSpaceDN w:val="0"/>
        <w:adjustRightInd w:val="0"/>
        <w:spacing w:before="120" w:after="120" w:line="240" w:lineRule="auto"/>
        <w:jc w:val="center"/>
        <w:rPr>
          <w:rFonts w:ascii="Times New Roman" w:hAnsi="Times New Roman"/>
          <w:b/>
          <w:bCs/>
          <w:i/>
          <w:sz w:val="24"/>
          <w:szCs w:val="24"/>
          <w:u w:val="single"/>
        </w:rPr>
      </w:pPr>
    </w:p>
    <w:p w:rsidR="006F1400" w:rsidRPr="00693D9D" w:rsidRDefault="006F1400" w:rsidP="006F1400">
      <w:pPr>
        <w:autoSpaceDE w:val="0"/>
        <w:autoSpaceDN w:val="0"/>
        <w:adjustRightInd w:val="0"/>
        <w:spacing w:before="120" w:after="120" w:line="240" w:lineRule="auto"/>
        <w:jc w:val="both"/>
        <w:rPr>
          <w:rFonts w:ascii="Times New Roman" w:hAnsi="Times New Roman"/>
          <w:bCs/>
          <w:sz w:val="24"/>
          <w:szCs w:val="24"/>
        </w:rPr>
      </w:pPr>
      <w:r w:rsidRPr="00693D9D">
        <w:rPr>
          <w:rFonts w:ascii="Times New Roman" w:hAnsi="Times New Roman"/>
          <w:bCs/>
          <w:sz w:val="24"/>
          <w:szCs w:val="24"/>
        </w:rPr>
        <w:t>Sur les tronçons rectilignes d'un cours d'eau corrigé, des bancs alternés peuvent se former. Ces bancs menacent la stabilité des berges par des affouillements, augmentent la variabilité des conditions de l'écoulement et contribuent à la valeur écologique du site.</w:t>
      </w:r>
    </w:p>
    <w:p w:rsidR="006F1400" w:rsidRPr="00693D9D" w:rsidRDefault="006F1400" w:rsidP="006F1400">
      <w:pPr>
        <w:autoSpaceDE w:val="0"/>
        <w:autoSpaceDN w:val="0"/>
        <w:adjustRightInd w:val="0"/>
        <w:spacing w:before="120" w:after="120"/>
        <w:rPr>
          <w:rFonts w:ascii="Times New Roman" w:hAnsi="Times New Roman"/>
          <w:bCs/>
          <w:sz w:val="24"/>
          <w:szCs w:val="24"/>
        </w:rPr>
      </w:pPr>
      <w:r w:rsidRPr="00693D9D">
        <w:rPr>
          <w:rFonts w:ascii="Times New Roman" w:hAnsi="Times New Roman"/>
          <w:bCs/>
          <w:sz w:val="24"/>
          <w:szCs w:val="24"/>
        </w:rPr>
        <w:t>La correction des cours  d’eau se fait aussi par la réalisation d’endiguement, dans ce cas, la hauteur de la digue est en fonction de la capacité hydraulique et le transport de charriage et de la revanche nécessaire (vagues, courbes de remous locales)</w:t>
      </w:r>
    </w:p>
    <w:p w:rsidR="006F1400" w:rsidRPr="00693D9D" w:rsidRDefault="006F1400" w:rsidP="006F1400">
      <w:pPr>
        <w:autoSpaceDE w:val="0"/>
        <w:autoSpaceDN w:val="0"/>
        <w:adjustRightInd w:val="0"/>
        <w:spacing w:before="120" w:after="120" w:line="240" w:lineRule="auto"/>
        <w:jc w:val="both"/>
        <w:rPr>
          <w:rFonts w:ascii="Times New Roman" w:hAnsi="Times New Roman"/>
          <w:bCs/>
          <w:sz w:val="24"/>
          <w:szCs w:val="24"/>
        </w:rPr>
      </w:pPr>
      <w:r w:rsidRPr="00693D9D">
        <w:rPr>
          <w:rFonts w:ascii="Times New Roman" w:hAnsi="Times New Roman"/>
          <w:bCs/>
          <w:sz w:val="24"/>
          <w:szCs w:val="24"/>
        </w:rPr>
        <w:tab/>
      </w:r>
      <w:r w:rsidRPr="00693D9D">
        <w:rPr>
          <w:rFonts w:ascii="Times New Roman" w:hAnsi="Times New Roman"/>
          <w:bCs/>
          <w:sz w:val="24"/>
          <w:szCs w:val="24"/>
        </w:rPr>
        <w:tab/>
        <w:t>v &lt; 2 m/s : 0.5 m</w:t>
      </w:r>
    </w:p>
    <w:p w:rsidR="006F1400" w:rsidRPr="00693D9D" w:rsidRDefault="006F1400" w:rsidP="006F1400">
      <w:pPr>
        <w:autoSpaceDE w:val="0"/>
        <w:autoSpaceDN w:val="0"/>
        <w:adjustRightInd w:val="0"/>
        <w:spacing w:before="120" w:after="120" w:line="240" w:lineRule="auto"/>
        <w:jc w:val="both"/>
        <w:rPr>
          <w:rFonts w:ascii="Times New Roman" w:hAnsi="Times New Roman"/>
          <w:bCs/>
          <w:sz w:val="24"/>
          <w:szCs w:val="24"/>
        </w:rPr>
      </w:pPr>
      <w:r w:rsidRPr="00693D9D">
        <w:rPr>
          <w:rFonts w:ascii="Times New Roman" w:hAnsi="Times New Roman"/>
          <w:bCs/>
          <w:sz w:val="24"/>
          <w:szCs w:val="24"/>
        </w:rPr>
        <w:tab/>
      </w:r>
      <w:r w:rsidRPr="00693D9D">
        <w:rPr>
          <w:rFonts w:ascii="Times New Roman" w:hAnsi="Times New Roman"/>
          <w:bCs/>
          <w:sz w:val="24"/>
          <w:szCs w:val="24"/>
        </w:rPr>
        <w:tab/>
        <w:t>v &gt; 2 m/s : 1 à 1.5 m</w:t>
      </w:r>
    </w:p>
    <w:p w:rsidR="006F1400" w:rsidRDefault="006F1400" w:rsidP="006F1400">
      <w:pPr>
        <w:autoSpaceDE w:val="0"/>
        <w:autoSpaceDN w:val="0"/>
        <w:adjustRightInd w:val="0"/>
        <w:spacing w:before="120" w:after="120" w:line="240" w:lineRule="auto"/>
        <w:jc w:val="both"/>
        <w:rPr>
          <w:rFonts w:ascii="Times New Roman" w:hAnsi="Times New Roman"/>
          <w:bCs/>
          <w:sz w:val="24"/>
          <w:szCs w:val="24"/>
        </w:rPr>
      </w:pPr>
      <w:r w:rsidRPr="00693D9D">
        <w:rPr>
          <w:rFonts w:ascii="Times New Roman" w:hAnsi="Times New Roman"/>
          <w:bCs/>
          <w:sz w:val="24"/>
          <w:szCs w:val="24"/>
        </w:rPr>
        <w:t>La largeur de la crête (couronnement) est au minimum de 3 m (accès d'entretien), les matériaux des la digue sont souvent de type homogènes et avec une faible  perméabilité les pentes des talus sont de 2:3 à 1:2.</w:t>
      </w:r>
    </w:p>
    <w:p w:rsidR="00693D9D" w:rsidRPr="00693D9D" w:rsidRDefault="00693D9D" w:rsidP="006F1400">
      <w:pPr>
        <w:autoSpaceDE w:val="0"/>
        <w:autoSpaceDN w:val="0"/>
        <w:adjustRightInd w:val="0"/>
        <w:spacing w:before="120" w:after="120" w:line="240" w:lineRule="auto"/>
        <w:jc w:val="both"/>
        <w:rPr>
          <w:rFonts w:ascii="Times New Roman" w:hAnsi="Times New Roman"/>
          <w:bCs/>
          <w:sz w:val="24"/>
          <w:szCs w:val="24"/>
        </w:rPr>
      </w:pPr>
    </w:p>
    <w:p w:rsidR="006F1400" w:rsidRPr="004B1D8B" w:rsidRDefault="006F1400" w:rsidP="006F1400">
      <w:pPr>
        <w:autoSpaceDE w:val="0"/>
        <w:autoSpaceDN w:val="0"/>
        <w:adjustRightInd w:val="0"/>
        <w:spacing w:before="120" w:after="120" w:line="240" w:lineRule="auto"/>
        <w:jc w:val="both"/>
        <w:rPr>
          <w:rFonts w:ascii="Arial" w:hAnsi="Arial" w:cs="Arial"/>
          <w:bCs/>
          <w:sz w:val="24"/>
          <w:szCs w:val="24"/>
        </w:rPr>
      </w:pPr>
      <w:r>
        <w:rPr>
          <w:rFonts w:ascii="Arial" w:hAnsi="Arial" w:cs="Arial"/>
          <w:bCs/>
          <w:sz w:val="24"/>
          <w:szCs w:val="24"/>
        </w:rPr>
        <w:t xml:space="preserve"> </w:t>
      </w:r>
      <w:r w:rsidRPr="004B1D8B">
        <w:rPr>
          <w:rFonts w:ascii="Arial" w:hAnsi="Arial" w:cs="Arial"/>
          <w:bCs/>
          <w:sz w:val="24"/>
          <w:szCs w:val="24"/>
        </w:rPr>
        <w:t xml:space="preserve"> </w:t>
      </w:r>
      <w:r>
        <w:rPr>
          <w:rFonts w:ascii="Arial" w:hAnsi="Arial" w:cs="Arial"/>
          <w:bCs/>
          <w:noProof/>
          <w:sz w:val="24"/>
          <w:szCs w:val="24"/>
          <w:lang w:eastAsia="fr-FR"/>
        </w:rPr>
        <w:drawing>
          <wp:inline distT="0" distB="0" distL="0" distR="0">
            <wp:extent cx="5423150" cy="1819275"/>
            <wp:effectExtent l="6100" t="0" r="0" b="0"/>
            <wp:docPr id="10" name="Objet 10"/>
            <wp:cNvGraphicFramePr>
              <a:graphicFrameLocks xmlns:a="http://schemas.openxmlformats.org/drawingml/2006/main"/>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9296400" cy="3657600"/>
                      <a:chOff x="381000" y="3962400"/>
                      <a:chExt cx="9296400" cy="3657600"/>
                    </a:xfrm>
                  </a:grpSpPr>
                  <a:grpSp>
                    <a:nvGrpSpPr>
                      <a:cNvPr id="38916" name="Groupe 12"/>
                      <a:cNvGrpSpPr>
                        <a:grpSpLocks/>
                      </a:cNvGrpSpPr>
                    </a:nvGrpSpPr>
                    <a:grpSpPr bwMode="auto">
                      <a:xfrm>
                        <a:off x="381000" y="3962400"/>
                        <a:ext cx="9296400" cy="3657600"/>
                        <a:chOff x="381000" y="3962400"/>
                        <a:chExt cx="9296400" cy="3657600"/>
                      </a:xfrm>
                    </a:grpSpPr>
                    <a:pic>
                      <a:nvPicPr>
                        <a:cNvPr id="38917" name="Picture 3"/>
                        <a:cNvPicPr>
                          <a:picLocks noChangeAspect="1" noChangeArrowheads="1"/>
                        </a:cNvPicPr>
                      </a:nvPicPr>
                      <a:blipFill>
                        <a:blip r:embed="rId15"/>
                        <a:srcRect l="20972" t="52029" r="14578" b="8118"/>
                        <a:stretch>
                          <a:fillRect/>
                        </a:stretch>
                      </a:blipFill>
                      <a:spPr bwMode="auto">
                        <a:xfrm>
                          <a:off x="381000" y="3962400"/>
                          <a:ext cx="9296400" cy="3657600"/>
                        </a:xfrm>
                        <a:prstGeom prst="rect">
                          <a:avLst/>
                        </a:prstGeom>
                        <a:noFill/>
                        <a:ln w="9525">
                          <a:noFill/>
                          <a:miter lim="800000"/>
                          <a:headEnd/>
                          <a:tailEnd/>
                        </a:ln>
                      </a:spPr>
                    </a:pic>
                    <a:sp>
                      <a:nvSpPr>
                        <a:cNvPr id="11" name="TextBox 1"/>
                        <a:cNvSpPr txBox="1"/>
                      </a:nvSpPr>
                      <a:spPr>
                        <a:xfrm>
                          <a:off x="7696200" y="4751388"/>
                          <a:ext cx="666750" cy="354012"/>
                        </a:xfrm>
                        <a:prstGeom prst="rect">
                          <a:avLst/>
                        </a:prstGeom>
                      </a:spPr>
                      <a:txSp>
                        <a:txBody>
                          <a:bodyPr wrap="none" lIns="0" tIns="0" rIns="0">
                            <a:spAutoFit/>
                          </a:bodyPr>
                          <a:lstStyle>
                            <a:defPPr>
                              <a:defRPr lang="en-US"/>
                            </a:defPPr>
                            <a:lvl1pPr algn="l" rtl="0" fontAlgn="base">
                              <a:spcBef>
                                <a:spcPct val="0"/>
                              </a:spcBef>
                              <a:spcAft>
                                <a:spcPct val="0"/>
                              </a:spcAft>
                              <a:defRPr kern="1200">
                                <a:solidFill>
                                  <a:schemeClr val="dk1"/>
                                </a:solidFill>
                                <a:latin typeface="+mn-lt"/>
                                <a:ea typeface="+mn-ea"/>
                                <a:cs typeface="+mn-cs"/>
                              </a:defRPr>
                            </a:lvl1pPr>
                            <a:lvl2pPr marL="457200" algn="l" rtl="0" fontAlgn="base">
                              <a:spcBef>
                                <a:spcPct val="0"/>
                              </a:spcBef>
                              <a:spcAft>
                                <a:spcPct val="0"/>
                              </a:spcAft>
                              <a:defRPr kern="1200">
                                <a:solidFill>
                                  <a:schemeClr val="dk1"/>
                                </a:solidFill>
                                <a:latin typeface="+mn-lt"/>
                                <a:ea typeface="+mn-ea"/>
                                <a:cs typeface="+mn-cs"/>
                              </a:defRPr>
                            </a:lvl2pPr>
                            <a:lvl3pPr marL="914400" algn="l" rtl="0" fontAlgn="base">
                              <a:spcBef>
                                <a:spcPct val="0"/>
                              </a:spcBef>
                              <a:spcAft>
                                <a:spcPct val="0"/>
                              </a:spcAft>
                              <a:defRPr kern="1200">
                                <a:solidFill>
                                  <a:schemeClr val="dk1"/>
                                </a:solidFill>
                                <a:latin typeface="+mn-lt"/>
                                <a:ea typeface="+mn-ea"/>
                                <a:cs typeface="+mn-cs"/>
                              </a:defRPr>
                            </a:lvl3pPr>
                            <a:lvl4pPr marL="1371600" algn="l" rtl="0" fontAlgn="base">
                              <a:spcBef>
                                <a:spcPct val="0"/>
                              </a:spcBef>
                              <a:spcAft>
                                <a:spcPct val="0"/>
                              </a:spcAft>
                              <a:defRPr kern="1200">
                                <a:solidFill>
                                  <a:schemeClr val="dk1"/>
                                </a:solidFill>
                                <a:latin typeface="+mn-lt"/>
                                <a:ea typeface="+mn-ea"/>
                                <a:cs typeface="+mn-cs"/>
                              </a:defRPr>
                            </a:lvl4pPr>
                            <a:lvl5pPr marL="1828800" algn="l" rtl="0" fontAlgn="base">
                              <a:spcBef>
                                <a:spcPct val="0"/>
                              </a:spcBef>
                              <a:spcAft>
                                <a:spcPct val="0"/>
                              </a:spcAft>
                              <a:defRPr kern="1200">
                                <a:solidFill>
                                  <a:schemeClr val="dk1"/>
                                </a:solidFill>
                                <a:latin typeface="+mn-lt"/>
                                <a:ea typeface="+mn-ea"/>
                                <a:cs typeface="+mn-cs"/>
                              </a:defRPr>
                            </a:lvl5pPr>
                            <a:lvl6pPr marL="2286000" algn="l" defTabSz="914400" rtl="0" eaLnBrk="1" latinLnBrk="0" hangingPunct="1">
                              <a:defRPr kern="1200">
                                <a:solidFill>
                                  <a:schemeClr val="dk1"/>
                                </a:solidFill>
                                <a:latin typeface="+mn-lt"/>
                                <a:ea typeface="+mn-ea"/>
                                <a:cs typeface="+mn-cs"/>
                              </a:defRPr>
                            </a:lvl6pPr>
                            <a:lvl7pPr marL="2743200" algn="l" defTabSz="914400" rtl="0" eaLnBrk="1" latinLnBrk="0" hangingPunct="1">
                              <a:defRPr kern="1200">
                                <a:solidFill>
                                  <a:schemeClr val="dk1"/>
                                </a:solidFill>
                                <a:latin typeface="+mn-lt"/>
                                <a:ea typeface="+mn-ea"/>
                                <a:cs typeface="+mn-cs"/>
                              </a:defRPr>
                            </a:lvl7pPr>
                            <a:lvl8pPr marL="3200400" algn="l" defTabSz="914400" rtl="0" eaLnBrk="1" latinLnBrk="0" hangingPunct="1">
                              <a:defRPr kern="1200">
                                <a:solidFill>
                                  <a:schemeClr val="dk1"/>
                                </a:solidFill>
                                <a:latin typeface="+mn-lt"/>
                                <a:ea typeface="+mn-ea"/>
                                <a:cs typeface="+mn-cs"/>
                              </a:defRPr>
                            </a:lvl8pPr>
                            <a:lvl9pPr marL="3657600" algn="l" defTabSz="914400" rtl="0" eaLnBrk="1" latinLnBrk="0" hangingPunct="1">
                              <a:defRPr kern="1200">
                                <a:solidFill>
                                  <a:schemeClr val="dk1"/>
                                </a:solidFill>
                                <a:latin typeface="+mn-lt"/>
                                <a:ea typeface="+mn-ea"/>
                                <a:cs typeface="+mn-cs"/>
                              </a:defRPr>
                            </a:lvl9pPr>
                          </a:lstStyle>
                          <a:p>
                            <a:pPr fontAlgn="auto">
                              <a:spcBef>
                                <a:spcPts val="0"/>
                              </a:spcBef>
                              <a:spcAft>
                                <a:spcPts val="0"/>
                              </a:spcAft>
                              <a:defRPr/>
                            </a:pPr>
                            <a:r>
                              <a:rPr lang="en-US" altLang="zh-CN" sz="2000" dirty="0">
                                <a:solidFill>
                                  <a:srgbClr val="000000"/>
                                </a:solidFill>
                                <a:latin typeface="+mj-lt"/>
                                <a:cs typeface="Times New Roman" pitchFamily="18" charset="0"/>
                              </a:rPr>
                              <a:t>rivière</a:t>
                            </a:r>
                          </a:p>
                        </a:txBody>
                        <a:useSpRect/>
                      </a:txSp>
                      <a:style>
                        <a:lnRef idx="1">
                          <a:schemeClr val="accent6"/>
                        </a:lnRef>
                        <a:fillRef idx="2">
                          <a:schemeClr val="accent6"/>
                        </a:fillRef>
                        <a:effectRef idx="1">
                          <a:schemeClr val="accent6"/>
                        </a:effectRef>
                        <a:fontRef idx="minor">
                          <a:schemeClr val="dk1"/>
                        </a:fontRef>
                      </a:style>
                    </a:sp>
                    <a:sp>
                      <a:nvSpPr>
                        <a:cNvPr id="9" name="Rectangle 8"/>
                        <a:cNvSpPr/>
                      </a:nvSpPr>
                      <a:spPr>
                        <a:xfrm>
                          <a:off x="457200" y="4357688"/>
                          <a:ext cx="2514600" cy="519112"/>
                        </a:xfrm>
                        <a:prstGeom prst="rect">
                          <a:avLst/>
                        </a:prstGeom>
                      </a:spPr>
                      <a:txSp>
                        <a:txBody>
                          <a:bodyPr>
                            <a:spAutoFit/>
                          </a:bodyPr>
                          <a:lstStyle>
                            <a:defPPr>
                              <a:defRPr lang="en-US"/>
                            </a:defPPr>
                            <a:lvl1pPr algn="l" rtl="0" fontAlgn="base">
                              <a:spcBef>
                                <a:spcPct val="0"/>
                              </a:spcBef>
                              <a:spcAft>
                                <a:spcPct val="0"/>
                              </a:spcAft>
                              <a:defRPr kern="1200">
                                <a:solidFill>
                                  <a:schemeClr val="dk1"/>
                                </a:solidFill>
                                <a:latin typeface="+mn-lt"/>
                                <a:ea typeface="+mn-ea"/>
                                <a:cs typeface="+mn-cs"/>
                              </a:defRPr>
                            </a:lvl1pPr>
                            <a:lvl2pPr marL="457200" algn="l" rtl="0" fontAlgn="base">
                              <a:spcBef>
                                <a:spcPct val="0"/>
                              </a:spcBef>
                              <a:spcAft>
                                <a:spcPct val="0"/>
                              </a:spcAft>
                              <a:defRPr kern="1200">
                                <a:solidFill>
                                  <a:schemeClr val="dk1"/>
                                </a:solidFill>
                                <a:latin typeface="+mn-lt"/>
                                <a:ea typeface="+mn-ea"/>
                                <a:cs typeface="+mn-cs"/>
                              </a:defRPr>
                            </a:lvl2pPr>
                            <a:lvl3pPr marL="914400" algn="l" rtl="0" fontAlgn="base">
                              <a:spcBef>
                                <a:spcPct val="0"/>
                              </a:spcBef>
                              <a:spcAft>
                                <a:spcPct val="0"/>
                              </a:spcAft>
                              <a:defRPr kern="1200">
                                <a:solidFill>
                                  <a:schemeClr val="dk1"/>
                                </a:solidFill>
                                <a:latin typeface="+mn-lt"/>
                                <a:ea typeface="+mn-ea"/>
                                <a:cs typeface="+mn-cs"/>
                              </a:defRPr>
                            </a:lvl3pPr>
                            <a:lvl4pPr marL="1371600" algn="l" rtl="0" fontAlgn="base">
                              <a:spcBef>
                                <a:spcPct val="0"/>
                              </a:spcBef>
                              <a:spcAft>
                                <a:spcPct val="0"/>
                              </a:spcAft>
                              <a:defRPr kern="1200">
                                <a:solidFill>
                                  <a:schemeClr val="dk1"/>
                                </a:solidFill>
                                <a:latin typeface="+mn-lt"/>
                                <a:ea typeface="+mn-ea"/>
                                <a:cs typeface="+mn-cs"/>
                              </a:defRPr>
                            </a:lvl4pPr>
                            <a:lvl5pPr marL="1828800" algn="l" rtl="0" fontAlgn="base">
                              <a:spcBef>
                                <a:spcPct val="0"/>
                              </a:spcBef>
                              <a:spcAft>
                                <a:spcPct val="0"/>
                              </a:spcAft>
                              <a:defRPr kern="1200">
                                <a:solidFill>
                                  <a:schemeClr val="dk1"/>
                                </a:solidFill>
                                <a:latin typeface="+mn-lt"/>
                                <a:ea typeface="+mn-ea"/>
                                <a:cs typeface="+mn-cs"/>
                              </a:defRPr>
                            </a:lvl5pPr>
                            <a:lvl6pPr marL="2286000" algn="l" defTabSz="914400" rtl="0" eaLnBrk="1" latinLnBrk="0" hangingPunct="1">
                              <a:defRPr kern="1200">
                                <a:solidFill>
                                  <a:schemeClr val="dk1"/>
                                </a:solidFill>
                                <a:latin typeface="+mn-lt"/>
                                <a:ea typeface="+mn-ea"/>
                                <a:cs typeface="+mn-cs"/>
                              </a:defRPr>
                            </a:lvl6pPr>
                            <a:lvl7pPr marL="2743200" algn="l" defTabSz="914400" rtl="0" eaLnBrk="1" latinLnBrk="0" hangingPunct="1">
                              <a:defRPr kern="1200">
                                <a:solidFill>
                                  <a:schemeClr val="dk1"/>
                                </a:solidFill>
                                <a:latin typeface="+mn-lt"/>
                                <a:ea typeface="+mn-ea"/>
                                <a:cs typeface="+mn-cs"/>
                              </a:defRPr>
                            </a:lvl7pPr>
                            <a:lvl8pPr marL="3200400" algn="l" defTabSz="914400" rtl="0" eaLnBrk="1" latinLnBrk="0" hangingPunct="1">
                              <a:defRPr kern="1200">
                                <a:solidFill>
                                  <a:schemeClr val="dk1"/>
                                </a:solidFill>
                                <a:latin typeface="+mn-lt"/>
                                <a:ea typeface="+mn-ea"/>
                                <a:cs typeface="+mn-cs"/>
                              </a:defRPr>
                            </a:lvl8pPr>
                            <a:lvl9pPr marL="3657600" algn="l" defTabSz="914400" rtl="0" eaLnBrk="1" latinLnBrk="0" hangingPunct="1">
                              <a:defRPr kern="1200">
                                <a:solidFill>
                                  <a:schemeClr val="dk1"/>
                                </a:solidFill>
                                <a:latin typeface="+mn-lt"/>
                                <a:ea typeface="+mn-ea"/>
                                <a:cs typeface="+mn-cs"/>
                              </a:defRPr>
                            </a:lvl9pPr>
                          </a:lstStyle>
                          <a:p>
                            <a:pPr fontAlgn="auto">
                              <a:lnSpc>
                                <a:spcPts val="1600"/>
                              </a:lnSpc>
                              <a:spcBef>
                                <a:spcPts val="0"/>
                              </a:spcBef>
                              <a:spcAft>
                                <a:spcPts val="0"/>
                              </a:spcAft>
                              <a:tabLst>
                                <a:tab pos="139700" algn="l"/>
                                <a:tab pos="673100" algn="l"/>
                                <a:tab pos="1790700" algn="l"/>
                                <a:tab pos="3200400" algn="l"/>
                                <a:tab pos="4800600" algn="l"/>
                              </a:tabLst>
                              <a:defRPr/>
                            </a:pPr>
                            <a:r>
                              <a:rPr lang="en-US" altLang="zh-CN" sz="2000" dirty="0">
                                <a:solidFill>
                                  <a:srgbClr val="000000"/>
                                </a:solidFill>
                                <a:latin typeface="+mj-lt"/>
                                <a:cs typeface="Times New Roman" pitchFamily="18" charset="0"/>
                              </a:rPr>
                              <a:t>limitation</a:t>
                            </a:r>
                            <a:r>
                              <a:rPr lang="en-US" altLang="zh-CN" sz="2000" dirty="0">
                                <a:solidFill>
                                  <a:prstClr val="black"/>
                                </a:solidFill>
                                <a:latin typeface="+mj-lt"/>
                                <a:cs typeface="Times New Roman" pitchFamily="18" charset="0"/>
                              </a:rPr>
                              <a:t> </a:t>
                            </a:r>
                            <a:r>
                              <a:rPr lang="en-US" altLang="zh-CN" sz="2000" dirty="0">
                                <a:solidFill>
                                  <a:srgbClr val="000000"/>
                                </a:solidFill>
                                <a:latin typeface="+mj-lt"/>
                                <a:cs typeface="Times New Roman" pitchFamily="18" charset="0"/>
                              </a:rPr>
                              <a:t>du</a:t>
                            </a:r>
                            <a:r>
                              <a:rPr lang="en-US" altLang="zh-CN" sz="2000" dirty="0">
                                <a:solidFill>
                                  <a:prstClr val="black"/>
                                </a:solidFill>
                                <a:latin typeface="+mj-lt"/>
                                <a:cs typeface="Times New Roman" pitchFamily="18" charset="0"/>
                              </a:rPr>
                              <a:t>  </a:t>
                            </a:r>
                            <a:r>
                              <a:rPr lang="en-US" altLang="zh-CN" sz="2000" dirty="0" err="1">
                                <a:solidFill>
                                  <a:srgbClr val="000000"/>
                                </a:solidFill>
                                <a:latin typeface="+mj-lt"/>
                                <a:cs typeface="Times New Roman" pitchFamily="18" charset="0"/>
                              </a:rPr>
                              <a:t>niveau</a:t>
                            </a:r>
                            <a:r>
                              <a:rPr lang="en-US" altLang="zh-CN" sz="2000" dirty="0">
                                <a:solidFill>
                                  <a:srgbClr val="000000"/>
                                </a:solidFill>
                                <a:latin typeface="+mj-lt"/>
                                <a:cs typeface="Times New Roman" pitchFamily="18" charset="0"/>
                              </a:rPr>
                              <a:t> de</a:t>
                            </a:r>
                            <a:r>
                              <a:rPr lang="en-US" altLang="zh-CN" sz="2000" dirty="0">
                                <a:solidFill>
                                  <a:prstClr val="black"/>
                                </a:solidFill>
                                <a:latin typeface="+mj-lt"/>
                                <a:cs typeface="Times New Roman" pitchFamily="18" charset="0"/>
                              </a:rPr>
                              <a:t> </a:t>
                            </a:r>
                            <a:r>
                              <a:rPr lang="en-US" altLang="zh-CN" sz="2000" dirty="0">
                                <a:solidFill>
                                  <a:srgbClr val="000000"/>
                                </a:solidFill>
                                <a:latin typeface="+mj-lt"/>
                                <a:cs typeface="Times New Roman" pitchFamily="18" charset="0"/>
                              </a:rPr>
                              <a:t>la</a:t>
                            </a:r>
                            <a:r>
                              <a:rPr lang="en-US" altLang="zh-CN" sz="2000" dirty="0">
                                <a:solidFill>
                                  <a:prstClr val="black"/>
                                </a:solidFill>
                                <a:latin typeface="+mj-lt"/>
                                <a:cs typeface="Times New Roman" pitchFamily="18" charset="0"/>
                              </a:rPr>
                              <a:t> </a:t>
                            </a:r>
                            <a:r>
                              <a:rPr lang="en-US" altLang="zh-CN" sz="2000" dirty="0" err="1">
                                <a:solidFill>
                                  <a:srgbClr val="000000"/>
                                </a:solidFill>
                                <a:latin typeface="+mj-lt"/>
                                <a:cs typeface="Times New Roman" pitchFamily="18" charset="0"/>
                              </a:rPr>
                              <a:t>nappe</a:t>
                            </a:r>
                            <a:endParaRPr lang="en-US" altLang="zh-CN" sz="2000" dirty="0">
                              <a:solidFill>
                                <a:srgbClr val="000000"/>
                              </a:solidFill>
                              <a:latin typeface="+mj-lt"/>
                              <a:cs typeface="Times New Roman" pitchFamily="18" charset="0"/>
                            </a:endParaRPr>
                          </a:p>
                        </a:txBody>
                        <a:useSpRect/>
                      </a:txSp>
                      <a:style>
                        <a:lnRef idx="1">
                          <a:schemeClr val="accent6"/>
                        </a:lnRef>
                        <a:fillRef idx="2">
                          <a:schemeClr val="accent6"/>
                        </a:fillRef>
                        <a:effectRef idx="1">
                          <a:schemeClr val="accent6"/>
                        </a:effectRef>
                        <a:fontRef idx="minor">
                          <a:schemeClr val="dk1"/>
                        </a:fontRef>
                      </a:style>
                    </a:sp>
                    <a:sp>
                      <a:nvSpPr>
                        <a:cNvPr id="12" name="Rectangle 11"/>
                        <a:cNvSpPr/>
                      </a:nvSpPr>
                      <a:spPr>
                        <a:xfrm>
                          <a:off x="3200400" y="4038600"/>
                          <a:ext cx="2074863" cy="400050"/>
                        </a:xfrm>
                        <a:prstGeom prst="rect">
                          <a:avLst/>
                        </a:prstGeom>
                      </a:spPr>
                      <a:txSp>
                        <a:txBody>
                          <a:bodyPr wrap="none">
                            <a:spAutoFit/>
                          </a:bodyPr>
                          <a:lstStyle>
                            <a:defPPr>
                              <a:defRPr lang="en-US"/>
                            </a:defPPr>
                            <a:lvl1pPr algn="l" rtl="0" fontAlgn="base">
                              <a:spcBef>
                                <a:spcPct val="0"/>
                              </a:spcBef>
                              <a:spcAft>
                                <a:spcPct val="0"/>
                              </a:spcAft>
                              <a:defRPr kern="1200">
                                <a:solidFill>
                                  <a:schemeClr val="dk1"/>
                                </a:solidFill>
                                <a:latin typeface="+mn-lt"/>
                                <a:ea typeface="+mn-ea"/>
                                <a:cs typeface="+mn-cs"/>
                              </a:defRPr>
                            </a:lvl1pPr>
                            <a:lvl2pPr marL="457200" algn="l" rtl="0" fontAlgn="base">
                              <a:spcBef>
                                <a:spcPct val="0"/>
                              </a:spcBef>
                              <a:spcAft>
                                <a:spcPct val="0"/>
                              </a:spcAft>
                              <a:defRPr kern="1200">
                                <a:solidFill>
                                  <a:schemeClr val="dk1"/>
                                </a:solidFill>
                                <a:latin typeface="+mn-lt"/>
                                <a:ea typeface="+mn-ea"/>
                                <a:cs typeface="+mn-cs"/>
                              </a:defRPr>
                            </a:lvl2pPr>
                            <a:lvl3pPr marL="914400" algn="l" rtl="0" fontAlgn="base">
                              <a:spcBef>
                                <a:spcPct val="0"/>
                              </a:spcBef>
                              <a:spcAft>
                                <a:spcPct val="0"/>
                              </a:spcAft>
                              <a:defRPr kern="1200">
                                <a:solidFill>
                                  <a:schemeClr val="dk1"/>
                                </a:solidFill>
                                <a:latin typeface="+mn-lt"/>
                                <a:ea typeface="+mn-ea"/>
                                <a:cs typeface="+mn-cs"/>
                              </a:defRPr>
                            </a:lvl3pPr>
                            <a:lvl4pPr marL="1371600" algn="l" rtl="0" fontAlgn="base">
                              <a:spcBef>
                                <a:spcPct val="0"/>
                              </a:spcBef>
                              <a:spcAft>
                                <a:spcPct val="0"/>
                              </a:spcAft>
                              <a:defRPr kern="1200">
                                <a:solidFill>
                                  <a:schemeClr val="dk1"/>
                                </a:solidFill>
                                <a:latin typeface="+mn-lt"/>
                                <a:ea typeface="+mn-ea"/>
                                <a:cs typeface="+mn-cs"/>
                              </a:defRPr>
                            </a:lvl4pPr>
                            <a:lvl5pPr marL="1828800" algn="l" rtl="0" fontAlgn="base">
                              <a:spcBef>
                                <a:spcPct val="0"/>
                              </a:spcBef>
                              <a:spcAft>
                                <a:spcPct val="0"/>
                              </a:spcAft>
                              <a:defRPr kern="1200">
                                <a:solidFill>
                                  <a:schemeClr val="dk1"/>
                                </a:solidFill>
                                <a:latin typeface="+mn-lt"/>
                                <a:ea typeface="+mn-ea"/>
                                <a:cs typeface="+mn-cs"/>
                              </a:defRPr>
                            </a:lvl5pPr>
                            <a:lvl6pPr marL="2286000" algn="l" defTabSz="914400" rtl="0" eaLnBrk="1" latinLnBrk="0" hangingPunct="1">
                              <a:defRPr kern="1200">
                                <a:solidFill>
                                  <a:schemeClr val="dk1"/>
                                </a:solidFill>
                                <a:latin typeface="+mn-lt"/>
                                <a:ea typeface="+mn-ea"/>
                                <a:cs typeface="+mn-cs"/>
                              </a:defRPr>
                            </a:lvl6pPr>
                            <a:lvl7pPr marL="2743200" algn="l" defTabSz="914400" rtl="0" eaLnBrk="1" latinLnBrk="0" hangingPunct="1">
                              <a:defRPr kern="1200">
                                <a:solidFill>
                                  <a:schemeClr val="dk1"/>
                                </a:solidFill>
                                <a:latin typeface="+mn-lt"/>
                                <a:ea typeface="+mn-ea"/>
                                <a:cs typeface="+mn-cs"/>
                              </a:defRPr>
                            </a:lvl7pPr>
                            <a:lvl8pPr marL="3200400" algn="l" defTabSz="914400" rtl="0" eaLnBrk="1" latinLnBrk="0" hangingPunct="1">
                              <a:defRPr kern="1200">
                                <a:solidFill>
                                  <a:schemeClr val="dk1"/>
                                </a:solidFill>
                                <a:latin typeface="+mn-lt"/>
                                <a:ea typeface="+mn-ea"/>
                                <a:cs typeface="+mn-cs"/>
                              </a:defRPr>
                            </a:lvl8pPr>
                            <a:lvl9pPr marL="3657600" algn="l" defTabSz="914400" rtl="0" eaLnBrk="1" latinLnBrk="0" hangingPunct="1">
                              <a:defRPr kern="1200">
                                <a:solidFill>
                                  <a:schemeClr val="dk1"/>
                                </a:solidFill>
                                <a:latin typeface="+mn-lt"/>
                                <a:ea typeface="+mn-ea"/>
                                <a:cs typeface="+mn-cs"/>
                              </a:defRPr>
                            </a:lvl9pPr>
                          </a:lstStyle>
                          <a:p>
                            <a:pPr>
                              <a:defRPr/>
                            </a:pPr>
                            <a:r>
                              <a:rPr lang="en-US" altLang="zh-CN" sz="2000" dirty="0">
                                <a:solidFill>
                                  <a:srgbClr val="000000"/>
                                </a:solidFill>
                                <a:latin typeface="+mj-lt"/>
                                <a:cs typeface="Times New Roman" pitchFamily="18" charset="0"/>
                              </a:rPr>
                              <a:t>canal</a:t>
                            </a:r>
                            <a:r>
                              <a:rPr lang="en-US" altLang="zh-CN" sz="2000" dirty="0">
                                <a:solidFill>
                                  <a:prstClr val="black"/>
                                </a:solidFill>
                                <a:latin typeface="+mj-lt"/>
                                <a:cs typeface="Times New Roman" pitchFamily="18" charset="0"/>
                              </a:rPr>
                              <a:t> </a:t>
                            </a:r>
                            <a:r>
                              <a:rPr lang="en-US" altLang="zh-CN" sz="2000" dirty="0">
                                <a:solidFill>
                                  <a:srgbClr val="000000"/>
                                </a:solidFill>
                                <a:latin typeface="+mj-lt"/>
                                <a:cs typeface="Times New Roman" pitchFamily="18" charset="0"/>
                              </a:rPr>
                              <a:t>de</a:t>
                            </a:r>
                            <a:r>
                              <a:rPr lang="en-US" altLang="zh-CN" sz="2000" dirty="0">
                                <a:solidFill>
                                  <a:prstClr val="black"/>
                                </a:solidFill>
                                <a:latin typeface="+mj-lt"/>
                                <a:cs typeface="Times New Roman" pitchFamily="18" charset="0"/>
                              </a:rPr>
                              <a:t>  </a:t>
                            </a:r>
                            <a:r>
                              <a:rPr lang="en-US" altLang="zh-CN" sz="2000" dirty="0">
                                <a:solidFill>
                                  <a:srgbClr val="000000"/>
                                </a:solidFill>
                                <a:latin typeface="+mj-lt"/>
                                <a:cs typeface="Times New Roman" pitchFamily="18" charset="0"/>
                              </a:rPr>
                              <a:t>drainage</a:t>
                            </a:r>
                            <a:endParaRPr lang="fr-FR" sz="2000" dirty="0">
                              <a:latin typeface="+mj-lt"/>
                            </a:endParaRPr>
                          </a:p>
                        </a:txBody>
                        <a:useSpRect/>
                      </a:txSp>
                      <a:style>
                        <a:lnRef idx="1">
                          <a:schemeClr val="accent6"/>
                        </a:lnRef>
                        <a:fillRef idx="2">
                          <a:schemeClr val="accent6"/>
                        </a:fillRef>
                        <a:effectRef idx="1">
                          <a:schemeClr val="accent6"/>
                        </a:effectRef>
                        <a:fontRef idx="minor">
                          <a:schemeClr val="dk1"/>
                        </a:fontRef>
                      </a:style>
                    </a:sp>
                  </a:grpSp>
                </lc:lockedCanvas>
              </a:graphicData>
            </a:graphic>
          </wp:inline>
        </w:drawing>
      </w:r>
    </w:p>
    <w:p w:rsidR="006F1400" w:rsidRPr="00693D9D" w:rsidRDefault="006F1400" w:rsidP="006F1400">
      <w:pPr>
        <w:autoSpaceDE w:val="0"/>
        <w:autoSpaceDN w:val="0"/>
        <w:adjustRightInd w:val="0"/>
        <w:spacing w:before="120" w:after="120" w:line="240" w:lineRule="auto"/>
        <w:jc w:val="center"/>
        <w:rPr>
          <w:rFonts w:ascii="Times New Roman" w:hAnsi="Times New Roman"/>
          <w:b/>
          <w:bCs/>
          <w:i/>
          <w:sz w:val="24"/>
          <w:szCs w:val="24"/>
        </w:rPr>
      </w:pPr>
      <w:r w:rsidRPr="00693D9D">
        <w:rPr>
          <w:rFonts w:ascii="Times New Roman" w:hAnsi="Times New Roman"/>
          <w:b/>
          <w:bCs/>
          <w:i/>
          <w:sz w:val="24"/>
          <w:szCs w:val="24"/>
        </w:rPr>
        <w:t>Figure 10- Endiguement de protection avec contre canaux</w:t>
      </w:r>
    </w:p>
    <w:p w:rsidR="00693D9D" w:rsidRDefault="00693D9D" w:rsidP="006F1400">
      <w:pPr>
        <w:autoSpaceDE w:val="0"/>
        <w:autoSpaceDN w:val="0"/>
        <w:adjustRightInd w:val="0"/>
        <w:spacing w:before="120" w:after="120" w:line="240" w:lineRule="auto"/>
        <w:jc w:val="both"/>
        <w:rPr>
          <w:rFonts w:ascii="Arial" w:hAnsi="Arial" w:cs="Arial"/>
          <w:bCs/>
          <w:sz w:val="24"/>
          <w:szCs w:val="24"/>
        </w:rPr>
      </w:pPr>
    </w:p>
    <w:p w:rsidR="006F1400" w:rsidRPr="00693D9D" w:rsidRDefault="006F1400" w:rsidP="006F1400">
      <w:pPr>
        <w:autoSpaceDE w:val="0"/>
        <w:autoSpaceDN w:val="0"/>
        <w:adjustRightInd w:val="0"/>
        <w:spacing w:before="120" w:after="120" w:line="240" w:lineRule="auto"/>
        <w:jc w:val="both"/>
        <w:rPr>
          <w:rFonts w:ascii="Times New Roman" w:hAnsi="Times New Roman"/>
          <w:bCs/>
          <w:sz w:val="24"/>
          <w:szCs w:val="24"/>
        </w:rPr>
      </w:pPr>
      <w:r w:rsidRPr="00693D9D">
        <w:rPr>
          <w:rFonts w:ascii="Times New Roman" w:hAnsi="Times New Roman"/>
          <w:bCs/>
          <w:sz w:val="24"/>
          <w:szCs w:val="24"/>
        </w:rPr>
        <w:lastRenderedPageBreak/>
        <w:t>L’endiguement avec contre canaux permet de limiter l'influence sur la nappe phréatique, d’accueillir les confluents, augmenter la stabilité de la digue et de   réduire le risque d'érosion interne.</w:t>
      </w:r>
    </w:p>
    <w:p w:rsidR="006F1400" w:rsidRPr="00693D9D" w:rsidRDefault="006F1400" w:rsidP="00693D9D">
      <w:pPr>
        <w:autoSpaceDE w:val="0"/>
        <w:autoSpaceDN w:val="0"/>
        <w:adjustRightInd w:val="0"/>
        <w:spacing w:before="120" w:after="120" w:line="240" w:lineRule="auto"/>
        <w:rPr>
          <w:rFonts w:ascii="Times New Roman" w:hAnsi="Times New Roman"/>
          <w:b/>
          <w:bCs/>
          <w:sz w:val="24"/>
          <w:szCs w:val="24"/>
          <w:u w:val="single"/>
        </w:rPr>
      </w:pPr>
      <w:r w:rsidRPr="00693D9D">
        <w:rPr>
          <w:rFonts w:ascii="Times New Roman" w:hAnsi="Times New Roman"/>
          <w:b/>
          <w:bCs/>
          <w:sz w:val="24"/>
          <w:szCs w:val="24"/>
          <w:u w:val="single"/>
        </w:rPr>
        <w:t>Mesures de protection passives dans les zones d'inondation</w:t>
      </w:r>
    </w:p>
    <w:p w:rsidR="006F1400" w:rsidRPr="00693D9D" w:rsidRDefault="006F1400" w:rsidP="006F1400">
      <w:pPr>
        <w:autoSpaceDE w:val="0"/>
        <w:autoSpaceDN w:val="0"/>
        <w:adjustRightInd w:val="0"/>
        <w:spacing w:before="120" w:after="120" w:line="240" w:lineRule="auto"/>
        <w:jc w:val="both"/>
        <w:rPr>
          <w:rFonts w:ascii="Times New Roman" w:hAnsi="Times New Roman"/>
          <w:b/>
          <w:bCs/>
          <w:sz w:val="24"/>
          <w:szCs w:val="24"/>
          <w:u w:val="single"/>
        </w:rPr>
      </w:pPr>
    </w:p>
    <w:p w:rsidR="006F1400" w:rsidRPr="00693D9D" w:rsidRDefault="006F1400" w:rsidP="006F1400">
      <w:pPr>
        <w:numPr>
          <w:ilvl w:val="0"/>
          <w:numId w:val="3"/>
        </w:numPr>
        <w:autoSpaceDE w:val="0"/>
        <w:autoSpaceDN w:val="0"/>
        <w:adjustRightInd w:val="0"/>
        <w:spacing w:before="120" w:after="120" w:line="240" w:lineRule="auto"/>
        <w:jc w:val="both"/>
        <w:rPr>
          <w:rFonts w:ascii="Times New Roman" w:hAnsi="Times New Roman"/>
          <w:bCs/>
          <w:sz w:val="24"/>
          <w:szCs w:val="24"/>
        </w:rPr>
      </w:pPr>
      <w:r w:rsidRPr="00693D9D">
        <w:rPr>
          <w:rFonts w:ascii="Times New Roman" w:hAnsi="Times New Roman"/>
          <w:bCs/>
          <w:sz w:val="24"/>
          <w:szCs w:val="24"/>
        </w:rPr>
        <w:t>Mesures d'aménagement du territoire</w:t>
      </w:r>
    </w:p>
    <w:p w:rsidR="006F1400" w:rsidRPr="00693D9D" w:rsidRDefault="006F1400" w:rsidP="006F1400">
      <w:pPr>
        <w:numPr>
          <w:ilvl w:val="0"/>
          <w:numId w:val="3"/>
        </w:numPr>
        <w:autoSpaceDE w:val="0"/>
        <w:autoSpaceDN w:val="0"/>
        <w:adjustRightInd w:val="0"/>
        <w:spacing w:before="120" w:after="120" w:line="240" w:lineRule="auto"/>
        <w:jc w:val="both"/>
        <w:rPr>
          <w:rFonts w:ascii="Times New Roman" w:hAnsi="Times New Roman"/>
          <w:bCs/>
          <w:sz w:val="24"/>
          <w:szCs w:val="24"/>
        </w:rPr>
      </w:pPr>
      <w:r w:rsidRPr="00693D9D">
        <w:rPr>
          <w:rFonts w:ascii="Times New Roman" w:hAnsi="Times New Roman"/>
          <w:bCs/>
          <w:sz w:val="24"/>
          <w:szCs w:val="24"/>
        </w:rPr>
        <w:t>Services d'alerte et plans d'évacuation</w:t>
      </w:r>
    </w:p>
    <w:p w:rsidR="006F1400" w:rsidRPr="00693D9D" w:rsidRDefault="006F1400" w:rsidP="006F1400">
      <w:pPr>
        <w:numPr>
          <w:ilvl w:val="0"/>
          <w:numId w:val="3"/>
        </w:numPr>
        <w:autoSpaceDE w:val="0"/>
        <w:autoSpaceDN w:val="0"/>
        <w:adjustRightInd w:val="0"/>
        <w:spacing w:before="120" w:after="120" w:line="240" w:lineRule="auto"/>
        <w:jc w:val="both"/>
        <w:rPr>
          <w:rFonts w:ascii="Times New Roman" w:hAnsi="Times New Roman"/>
          <w:bCs/>
          <w:sz w:val="24"/>
          <w:szCs w:val="24"/>
        </w:rPr>
      </w:pPr>
      <w:r w:rsidRPr="00693D9D">
        <w:rPr>
          <w:rFonts w:ascii="Times New Roman" w:hAnsi="Times New Roman"/>
          <w:bCs/>
          <w:sz w:val="24"/>
          <w:szCs w:val="24"/>
        </w:rPr>
        <w:t>Services de sauvetage</w:t>
      </w:r>
    </w:p>
    <w:p w:rsidR="006F1400" w:rsidRPr="00693D9D" w:rsidRDefault="006F1400" w:rsidP="006F1400">
      <w:pPr>
        <w:numPr>
          <w:ilvl w:val="0"/>
          <w:numId w:val="3"/>
        </w:numPr>
        <w:autoSpaceDE w:val="0"/>
        <w:autoSpaceDN w:val="0"/>
        <w:adjustRightInd w:val="0"/>
        <w:spacing w:before="120" w:after="120" w:line="240" w:lineRule="auto"/>
        <w:jc w:val="both"/>
        <w:rPr>
          <w:rFonts w:ascii="Times New Roman" w:hAnsi="Times New Roman"/>
          <w:bCs/>
          <w:sz w:val="24"/>
          <w:szCs w:val="24"/>
        </w:rPr>
      </w:pPr>
      <w:r w:rsidRPr="00693D9D">
        <w:rPr>
          <w:rFonts w:ascii="Times New Roman" w:hAnsi="Times New Roman"/>
          <w:bCs/>
          <w:sz w:val="24"/>
          <w:szCs w:val="24"/>
        </w:rPr>
        <w:t>Mesures visant à protéger des objets (bâtiments et ouvrages d'infrastructure).</w:t>
      </w:r>
    </w:p>
    <w:p w:rsidR="006F1400" w:rsidRPr="00693D9D" w:rsidRDefault="006F1400" w:rsidP="006F1400">
      <w:pPr>
        <w:autoSpaceDE w:val="0"/>
        <w:autoSpaceDN w:val="0"/>
        <w:adjustRightInd w:val="0"/>
        <w:spacing w:after="0" w:line="240" w:lineRule="auto"/>
        <w:jc w:val="center"/>
        <w:rPr>
          <w:rFonts w:ascii="Times New Roman" w:hAnsi="Times New Roman"/>
          <w:b/>
          <w:bCs/>
          <w:sz w:val="24"/>
          <w:szCs w:val="24"/>
          <w:u w:val="single"/>
        </w:rPr>
      </w:pPr>
    </w:p>
    <w:p w:rsidR="006F1400" w:rsidRPr="00693D9D" w:rsidRDefault="006F1400" w:rsidP="006F1400">
      <w:pPr>
        <w:autoSpaceDE w:val="0"/>
        <w:autoSpaceDN w:val="0"/>
        <w:adjustRightInd w:val="0"/>
        <w:spacing w:after="0" w:line="240" w:lineRule="auto"/>
        <w:jc w:val="center"/>
        <w:rPr>
          <w:rFonts w:ascii="Times New Roman" w:hAnsi="Times New Roman"/>
          <w:b/>
          <w:bCs/>
          <w:sz w:val="24"/>
          <w:szCs w:val="24"/>
          <w:u w:val="single"/>
        </w:rPr>
      </w:pPr>
    </w:p>
    <w:p w:rsidR="006F1400" w:rsidRDefault="006F1400" w:rsidP="006F1400">
      <w:pPr>
        <w:autoSpaceDE w:val="0"/>
        <w:autoSpaceDN w:val="0"/>
        <w:adjustRightInd w:val="0"/>
        <w:spacing w:after="0" w:line="240" w:lineRule="auto"/>
        <w:jc w:val="center"/>
        <w:rPr>
          <w:rFonts w:ascii="Arial" w:hAnsi="Arial" w:cs="Arial"/>
          <w:b/>
          <w:bCs/>
          <w:sz w:val="28"/>
          <w:szCs w:val="28"/>
          <w:u w:val="single"/>
        </w:rPr>
      </w:pPr>
    </w:p>
    <w:p w:rsidR="006F1400" w:rsidRDefault="006F1400" w:rsidP="004E2312">
      <w:pPr>
        <w:autoSpaceDE w:val="0"/>
        <w:autoSpaceDN w:val="0"/>
        <w:adjustRightInd w:val="0"/>
        <w:spacing w:after="0" w:line="240" w:lineRule="auto"/>
        <w:rPr>
          <w:rFonts w:ascii="Arial" w:hAnsi="Arial" w:cs="Arial"/>
          <w:b/>
          <w:bCs/>
          <w:sz w:val="28"/>
          <w:szCs w:val="28"/>
          <w:u w:val="single"/>
        </w:rPr>
      </w:pPr>
    </w:p>
    <w:p w:rsidR="006F1400" w:rsidRDefault="006F1400" w:rsidP="006F1400">
      <w:pPr>
        <w:autoSpaceDE w:val="0"/>
        <w:autoSpaceDN w:val="0"/>
        <w:adjustRightInd w:val="0"/>
        <w:spacing w:after="0" w:line="240" w:lineRule="auto"/>
        <w:jc w:val="center"/>
        <w:rPr>
          <w:rFonts w:ascii="Arial" w:hAnsi="Arial" w:cs="Arial"/>
          <w:b/>
          <w:bCs/>
          <w:sz w:val="28"/>
          <w:szCs w:val="28"/>
          <w:u w:val="single"/>
        </w:rPr>
      </w:pPr>
    </w:p>
    <w:p w:rsidR="00FC5C64" w:rsidRDefault="00FC5C64"/>
    <w:sectPr w:rsidR="00FC5C64" w:rsidSect="00FC5C64">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2B5257B"/>
    <w:multiLevelType w:val="hybridMultilevel"/>
    <w:tmpl w:val="40FA3B1C"/>
    <w:lvl w:ilvl="0" w:tplc="95821C98">
      <w:start w:val="2"/>
      <w:numFmt w:val="decimal"/>
      <w:lvlText w:val="%1-"/>
      <w:lvlJc w:val="left"/>
      <w:pPr>
        <w:ind w:left="783" w:hanging="360"/>
      </w:pPr>
      <w:rPr>
        <w:rFonts w:hint="default"/>
      </w:rPr>
    </w:lvl>
    <w:lvl w:ilvl="1" w:tplc="040C0019" w:tentative="1">
      <w:start w:val="1"/>
      <w:numFmt w:val="lowerLetter"/>
      <w:lvlText w:val="%2."/>
      <w:lvlJc w:val="left"/>
      <w:pPr>
        <w:ind w:left="1503" w:hanging="360"/>
      </w:pPr>
    </w:lvl>
    <w:lvl w:ilvl="2" w:tplc="040C001B" w:tentative="1">
      <w:start w:val="1"/>
      <w:numFmt w:val="lowerRoman"/>
      <w:lvlText w:val="%3."/>
      <w:lvlJc w:val="right"/>
      <w:pPr>
        <w:ind w:left="2223" w:hanging="180"/>
      </w:pPr>
    </w:lvl>
    <w:lvl w:ilvl="3" w:tplc="040C000F" w:tentative="1">
      <w:start w:val="1"/>
      <w:numFmt w:val="decimal"/>
      <w:lvlText w:val="%4."/>
      <w:lvlJc w:val="left"/>
      <w:pPr>
        <w:ind w:left="2943" w:hanging="360"/>
      </w:pPr>
    </w:lvl>
    <w:lvl w:ilvl="4" w:tplc="040C0019" w:tentative="1">
      <w:start w:val="1"/>
      <w:numFmt w:val="lowerLetter"/>
      <w:lvlText w:val="%5."/>
      <w:lvlJc w:val="left"/>
      <w:pPr>
        <w:ind w:left="3663" w:hanging="360"/>
      </w:pPr>
    </w:lvl>
    <w:lvl w:ilvl="5" w:tplc="040C001B" w:tentative="1">
      <w:start w:val="1"/>
      <w:numFmt w:val="lowerRoman"/>
      <w:lvlText w:val="%6."/>
      <w:lvlJc w:val="right"/>
      <w:pPr>
        <w:ind w:left="4383" w:hanging="180"/>
      </w:pPr>
    </w:lvl>
    <w:lvl w:ilvl="6" w:tplc="040C000F" w:tentative="1">
      <w:start w:val="1"/>
      <w:numFmt w:val="decimal"/>
      <w:lvlText w:val="%7."/>
      <w:lvlJc w:val="left"/>
      <w:pPr>
        <w:ind w:left="5103" w:hanging="360"/>
      </w:pPr>
    </w:lvl>
    <w:lvl w:ilvl="7" w:tplc="040C0019" w:tentative="1">
      <w:start w:val="1"/>
      <w:numFmt w:val="lowerLetter"/>
      <w:lvlText w:val="%8."/>
      <w:lvlJc w:val="left"/>
      <w:pPr>
        <w:ind w:left="5823" w:hanging="360"/>
      </w:pPr>
    </w:lvl>
    <w:lvl w:ilvl="8" w:tplc="040C001B" w:tentative="1">
      <w:start w:val="1"/>
      <w:numFmt w:val="lowerRoman"/>
      <w:lvlText w:val="%9."/>
      <w:lvlJc w:val="right"/>
      <w:pPr>
        <w:ind w:left="6543" w:hanging="180"/>
      </w:pPr>
    </w:lvl>
  </w:abstractNum>
  <w:abstractNum w:abstractNumId="1">
    <w:nsid w:val="28087470"/>
    <w:multiLevelType w:val="hybridMultilevel"/>
    <w:tmpl w:val="9432E3A4"/>
    <w:lvl w:ilvl="0" w:tplc="FC04B8CC">
      <w:start w:val="5"/>
      <w:numFmt w:val="bullet"/>
      <w:lvlText w:val="-"/>
      <w:lvlJc w:val="left"/>
      <w:pPr>
        <w:ind w:left="1080" w:hanging="360"/>
      </w:pPr>
      <w:rPr>
        <w:rFonts w:ascii="Arial" w:eastAsia="Calibri" w:hAnsi="Arial" w:cs="Aria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2">
    <w:nsid w:val="7F5C3AD0"/>
    <w:multiLevelType w:val="multilevel"/>
    <w:tmpl w:val="F71EC718"/>
    <w:lvl w:ilvl="0">
      <w:start w:val="1"/>
      <w:numFmt w:val="decimal"/>
      <w:lvlText w:val="%1."/>
      <w:lvlJc w:val="left"/>
      <w:pPr>
        <w:ind w:left="783" w:hanging="360"/>
      </w:pPr>
    </w:lvl>
    <w:lvl w:ilvl="1">
      <w:start w:val="1"/>
      <w:numFmt w:val="decimal"/>
      <w:isLgl/>
      <w:lvlText w:val="%1.%2"/>
      <w:lvlJc w:val="left"/>
      <w:pPr>
        <w:ind w:left="644" w:hanging="360"/>
      </w:pPr>
      <w:rPr>
        <w:rFonts w:hint="default"/>
      </w:rPr>
    </w:lvl>
    <w:lvl w:ilvl="2">
      <w:start w:val="1"/>
      <w:numFmt w:val="decimal"/>
      <w:isLgl/>
      <w:lvlText w:val="%1.%2.%3"/>
      <w:lvlJc w:val="left"/>
      <w:pPr>
        <w:ind w:left="1143" w:hanging="720"/>
      </w:pPr>
      <w:rPr>
        <w:rFonts w:hint="default"/>
      </w:rPr>
    </w:lvl>
    <w:lvl w:ilvl="3">
      <w:start w:val="1"/>
      <w:numFmt w:val="decimal"/>
      <w:isLgl/>
      <w:lvlText w:val="%1.%2.%3.%4"/>
      <w:lvlJc w:val="left"/>
      <w:pPr>
        <w:ind w:left="1503" w:hanging="1080"/>
      </w:pPr>
      <w:rPr>
        <w:rFonts w:hint="default"/>
      </w:rPr>
    </w:lvl>
    <w:lvl w:ilvl="4">
      <w:start w:val="1"/>
      <w:numFmt w:val="decimal"/>
      <w:isLgl/>
      <w:lvlText w:val="%1.%2.%3.%4.%5"/>
      <w:lvlJc w:val="left"/>
      <w:pPr>
        <w:ind w:left="1503" w:hanging="1080"/>
      </w:pPr>
      <w:rPr>
        <w:rFonts w:hint="default"/>
      </w:rPr>
    </w:lvl>
    <w:lvl w:ilvl="5">
      <w:start w:val="1"/>
      <w:numFmt w:val="decimal"/>
      <w:isLgl/>
      <w:lvlText w:val="%1.%2.%3.%4.%5.%6"/>
      <w:lvlJc w:val="left"/>
      <w:pPr>
        <w:ind w:left="1863" w:hanging="1440"/>
      </w:pPr>
      <w:rPr>
        <w:rFonts w:hint="default"/>
      </w:rPr>
    </w:lvl>
    <w:lvl w:ilvl="6">
      <w:start w:val="1"/>
      <w:numFmt w:val="decimal"/>
      <w:isLgl/>
      <w:lvlText w:val="%1.%2.%3.%4.%5.%6.%7"/>
      <w:lvlJc w:val="left"/>
      <w:pPr>
        <w:ind w:left="1863" w:hanging="1440"/>
      </w:pPr>
      <w:rPr>
        <w:rFonts w:hint="default"/>
      </w:rPr>
    </w:lvl>
    <w:lvl w:ilvl="7">
      <w:start w:val="1"/>
      <w:numFmt w:val="decimal"/>
      <w:isLgl/>
      <w:lvlText w:val="%1.%2.%3.%4.%5.%6.%7.%8"/>
      <w:lvlJc w:val="left"/>
      <w:pPr>
        <w:ind w:left="2223" w:hanging="1800"/>
      </w:pPr>
      <w:rPr>
        <w:rFonts w:hint="default"/>
      </w:rPr>
    </w:lvl>
    <w:lvl w:ilvl="8">
      <w:start w:val="1"/>
      <w:numFmt w:val="decimal"/>
      <w:isLgl/>
      <w:lvlText w:val="%1.%2.%3.%4.%5.%6.%7.%8.%9"/>
      <w:lvlJc w:val="left"/>
      <w:pPr>
        <w:ind w:left="2223" w:hanging="1800"/>
      </w:pPr>
      <w:rPr>
        <w:rFonts w:hint="default"/>
      </w:rPr>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6F1400"/>
    <w:rsid w:val="001F34F8"/>
    <w:rsid w:val="004E2312"/>
    <w:rsid w:val="00693D9D"/>
    <w:rsid w:val="006F1400"/>
    <w:rsid w:val="009B693B"/>
    <w:rsid w:val="00DA0DFF"/>
    <w:rsid w:val="00FC5C64"/>
  </w:rsids>
  <m:mathPr>
    <m:mathFont m:val="Cambria Math"/>
    <m:brkBin m:val="before"/>
    <m:brkBinSub m:val="--"/>
    <m:smallFrac m:val="off"/>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F1400"/>
    <w:rPr>
      <w:rFonts w:ascii="Calibri" w:eastAsia="Calibri" w:hAnsi="Calibri" w:cs="Times New Roman"/>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6F1400"/>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6F1400"/>
    <w:rPr>
      <w:rFonts w:ascii="Tahoma" w:eastAsia="Calibri"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jpeg"/><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image" Target="media/image8.jpe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jpeg"/><Relationship Id="rId5" Type="http://schemas.openxmlformats.org/officeDocument/2006/relationships/image" Target="media/image1.jpeg"/><Relationship Id="rId15" Type="http://schemas.openxmlformats.org/officeDocument/2006/relationships/image" Target="media/image11.jpeg"/><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6</Pages>
  <Words>620</Words>
  <Characters>3411</Characters>
  <Application>Microsoft Office Word</Application>
  <DocSecurity>0</DocSecurity>
  <Lines>28</Lines>
  <Paragraphs>8</Paragraphs>
  <ScaleCrop>false</ScaleCrop>
  <Company/>
  <LinksUpToDate>false</LinksUpToDate>
  <CharactersWithSpaces>4023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cp:revision>
  <dcterms:created xsi:type="dcterms:W3CDTF">2019-06-08T12:20:00Z</dcterms:created>
  <dcterms:modified xsi:type="dcterms:W3CDTF">2019-06-08T12:57:00Z</dcterms:modified>
</cp:coreProperties>
</file>