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01271E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3C0CD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مالية وتجارة دولية </w:t>
      </w:r>
    </w:p>
    <w:p w:rsidR="00C77C87" w:rsidRPr="00E37D65" w:rsidRDefault="00F203DC" w:rsidP="003C0C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تذة</w:t>
      </w:r>
      <w:proofErr w:type="gram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جـــــــــــــــــوامـــع لـــبــــيبـــة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إدارة الأعمال الدولية</w:t>
      </w:r>
    </w:p>
    <w:p w:rsidR="00EB59E2" w:rsidRPr="00E37D65" w:rsidRDefault="00536A4D" w:rsidP="003C0C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الأولى </w:t>
      </w:r>
      <w:proofErr w:type="spellStart"/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مــــــــــــــــــــــاستر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الــثــــــــــــالث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3C0CDB" w:rsidRDefault="003C0CD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الأول: مقدمة في إدارة الأعمال الدولية</w:t>
            </w:r>
          </w:p>
        </w:tc>
        <w:tc>
          <w:tcPr>
            <w:tcW w:w="5254" w:type="dxa"/>
          </w:tcPr>
          <w:p w:rsidR="000E0EB2" w:rsidRPr="003C0CDB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المفاهيم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الأساسية</w:t>
            </w:r>
          </w:p>
          <w:p w:rsidR="003C0CDB" w:rsidRPr="003C0CDB" w:rsidRDefault="00B00AD5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أنواع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الأعمال الدولية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B00AD5" w:rsidRPr="003C0CDB" w:rsidRDefault="00B00AD5" w:rsidP="003C0C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أعمال</w:t>
            </w:r>
            <w:proofErr w:type="gramEnd"/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دولية أخرى</w:t>
            </w:r>
          </w:p>
          <w:p w:rsidR="00845F0B" w:rsidRPr="003C0CDB" w:rsidRDefault="00845F0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544" w:type="dxa"/>
            <w:vAlign w:val="center"/>
          </w:tcPr>
          <w:p w:rsidR="0086117B" w:rsidRPr="003C0CDB" w:rsidRDefault="003C0CD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الأول: مقدمة في إدارة الأعمال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الأعمال الدولية</w:t>
            </w: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845F0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5- 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إدارة الأعمال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الثاني: الاستثمار الأجنبي المباشر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ماهية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أشكال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دوافع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الثاني: الاستثمار الأجنبي المباشر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</w:t>
            </w:r>
            <w:r w:rsidR="00492485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محددات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الاستثمار الأجنبي المباشر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2-الآثار المترتبة عن الاستثمار الأجنبي المباشر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الثالث: بيئة الأعمال الدولية وإدارة المخاطر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1- مفهوم ومكونات بيئة الأعمال الدولية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البيئة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السياسية والقانونية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الثالث: بيئة الأعمال الدولية وإدارة المخاطر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البيئة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الثقافية والاجتماعية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4- البيئة المالية الدولية (المنظمات المالية الدولية والأسواق المالية الدولية)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07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الإدارة الإستراتيجية في الأعمال الدولية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 xml:space="preserve">1-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التخطيط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الإستراتيجي الدولي (المفهوم، الأهمية)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 استراتيجيات الدخول إلى السوق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 08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الخامس: إستراتيجية التنظيم في الأعمال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 التنظيم في الشركات الدولية</w:t>
            </w:r>
          </w:p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 أشكال الهيكل التنظيمي</w:t>
            </w:r>
          </w:p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3- اعتبارات اختيار الهياكل التنظيمية للشركات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09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السادس: إدارة الموارد البشرية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اختيار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المديرين</w:t>
            </w:r>
          </w:p>
          <w:p w:rsidR="00845F0B" w:rsidRPr="003C0CDB" w:rsidRDefault="003C0CDB" w:rsidP="003C0CDB">
            <w:pPr>
              <w:pStyle w:val="Paragraphedeliste"/>
              <w:numPr>
                <w:ilvl w:val="0"/>
                <w:numId w:val="26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اعتبارات إدارة الموارد البشرية في الشركات الدولية</w:t>
            </w:r>
          </w:p>
        </w:tc>
      </w:tr>
      <w:tr w:rsidR="00492485" w:rsidRPr="0086117B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3544" w:type="dxa"/>
            <w:vAlign w:val="center"/>
          </w:tcPr>
          <w:p w:rsidR="00492485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السابع: الإدارة المالية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pStyle w:val="Paragraphedeliste"/>
              <w:numPr>
                <w:ilvl w:val="0"/>
                <w:numId w:val="27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مصادر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تمويل الشركات الدولية</w:t>
            </w:r>
          </w:p>
          <w:p w:rsidR="00492485" w:rsidRPr="003C0CDB" w:rsidRDefault="003C0CDB" w:rsidP="003C0CDB">
            <w:pPr>
              <w:pStyle w:val="Paragraphedeliste"/>
              <w:numPr>
                <w:ilvl w:val="0"/>
                <w:numId w:val="27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المحاسبة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الدولية</w:t>
            </w:r>
          </w:p>
        </w:tc>
      </w:tr>
      <w:tr w:rsidR="003C0CDB" w:rsidRPr="0086117B" w:rsidTr="00364A2B">
        <w:trPr>
          <w:jc w:val="center"/>
        </w:trPr>
        <w:tc>
          <w:tcPr>
            <w:tcW w:w="1305" w:type="dxa"/>
            <w:vAlign w:val="center"/>
          </w:tcPr>
          <w:p w:rsidR="003C0CDB" w:rsidRPr="003C0CDB" w:rsidRDefault="003C0CD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السابع: الإدارة المالية الدولية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pStyle w:val="Paragraphedeliste"/>
              <w:numPr>
                <w:ilvl w:val="0"/>
                <w:numId w:val="27"/>
              </w:numPr>
              <w:bidi/>
              <w:ind w:left="235" w:hanging="235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الإدارة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المالية الدولية</w:t>
            </w:r>
          </w:p>
        </w:tc>
      </w:tr>
      <w:tr w:rsidR="003C0CDB" w:rsidRPr="0086117B" w:rsidTr="00364A2B">
        <w:trPr>
          <w:jc w:val="center"/>
        </w:trPr>
        <w:tc>
          <w:tcPr>
            <w:tcW w:w="1305" w:type="dxa"/>
            <w:vAlign w:val="center"/>
          </w:tcPr>
          <w:p w:rsidR="003C0CDB" w:rsidRPr="003C0CDB" w:rsidRDefault="003C0CD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</w:p>
        </w:tc>
        <w:tc>
          <w:tcPr>
            <w:tcW w:w="3544" w:type="dxa"/>
            <w:vAlign w:val="center"/>
          </w:tcPr>
          <w:p w:rsidR="003C0CDB" w:rsidRPr="003C0CDB" w:rsidRDefault="003C0CDB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الثامن: التسويق الدولي</w:t>
            </w:r>
          </w:p>
        </w:tc>
        <w:tc>
          <w:tcPr>
            <w:tcW w:w="5254" w:type="dxa"/>
          </w:tcPr>
          <w:p w:rsidR="003C0CDB" w:rsidRPr="003C0CDB" w:rsidRDefault="003C0CDB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 التسويق الدولي ومراحل تطوره</w:t>
            </w:r>
          </w:p>
          <w:p w:rsidR="003C0CDB" w:rsidRPr="003C0CDB" w:rsidRDefault="003C0CDB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دراسة وتحليل السوق </w:t>
            </w: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الدولية</w:t>
            </w:r>
            <w:proofErr w:type="gramEnd"/>
          </w:p>
          <w:p w:rsidR="003C0CDB" w:rsidRPr="003C0CDB" w:rsidRDefault="003C0CDB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المزيج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التسويقي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علي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ابراهيم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الخضر،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رسلان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سوريا، 2007.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محمد سرور الحريري، </w:t>
      </w:r>
      <w:proofErr w:type="gram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إدارة</w:t>
      </w:r>
      <w:proofErr w:type="gram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الأعمال الدولية والعالمية، دار الحامد، عمان، 2012.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عبد السلام أبو قحف،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الدار الجامعية،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الاسكندرية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2005.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أحمد عبد </w:t>
      </w:r>
      <w:proofErr w:type="gram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الرحمان</w:t>
      </w:r>
      <w:proofErr w:type="gram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أحمد،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مدخل إلى إدارة الأعمال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دار المريخ، الرياض، 2010.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علي عباس، </w:t>
      </w:r>
      <w:proofErr w:type="gramStart"/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إدارة</w:t>
      </w:r>
      <w:proofErr w:type="gramEnd"/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الأعمال الدولية: الإطار العام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دار الحامد، عمان، 2003.</w:t>
      </w:r>
    </w:p>
    <w:p w:rsidR="003C0CDB" w:rsidRPr="003C0CDB" w:rsidRDefault="003C0CDB" w:rsidP="003C0CDB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سعد غالب ياسين، </w:t>
      </w:r>
      <w:r w:rsidRPr="003C0CD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الإدارة الدولية</w:t>
      </w:r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دار </w:t>
      </w:r>
      <w:proofErr w:type="spellStart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البازوري</w:t>
      </w:r>
      <w:proofErr w:type="spellEnd"/>
      <w:r w:rsidRPr="003C0CDB">
        <w:rPr>
          <w:rFonts w:ascii="Sakkal Majalla" w:hAnsi="Sakkal Majalla" w:cs="Sakkal Majalla"/>
          <w:sz w:val="32"/>
          <w:szCs w:val="32"/>
          <w:rtl/>
          <w:lang w:bidi="ar-DZ"/>
        </w:rPr>
        <w:t>، عمان، 2002.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tbl>
      <w:tblPr>
        <w:tblStyle w:val="Grilledutableau"/>
        <w:bidiVisual/>
        <w:tblW w:w="0" w:type="auto"/>
        <w:tblLook w:val="04A0"/>
      </w:tblPr>
      <w:tblGrid>
        <w:gridCol w:w="2657"/>
        <w:gridCol w:w="2410"/>
        <w:gridCol w:w="4961"/>
      </w:tblGrid>
      <w:tr w:rsidR="00F50D38" w:rsidTr="00F50D38">
        <w:tc>
          <w:tcPr>
            <w:tcW w:w="5067" w:type="dxa"/>
            <w:gridSpan w:val="2"/>
          </w:tcPr>
          <w:p w:rsidR="00F50D38" w:rsidRPr="00F50D38" w:rsidRDefault="00F50D38" w:rsidP="00786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العمل</w:t>
            </w:r>
            <w:proofErr w:type="gramEnd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الشخصي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</w:t>
            </w:r>
            <w:r w:rsidR="00786F4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4961" w:type="dxa"/>
          </w:tcPr>
          <w:p w:rsidR="00F50D38" w:rsidRPr="00F50D38" w:rsidRDefault="00F50D38" w:rsidP="00786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الفرض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    /</w:t>
            </w:r>
            <w:r w:rsidR="00786F4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12</w:t>
            </w:r>
          </w:p>
        </w:tc>
      </w:tr>
      <w:tr w:rsidR="00F50D38" w:rsidTr="00F50D38">
        <w:tc>
          <w:tcPr>
            <w:tcW w:w="2657" w:type="dxa"/>
          </w:tcPr>
          <w:p w:rsidR="00F50D38" w:rsidRPr="00F50D38" w:rsidRDefault="00F50D38" w:rsidP="003C0CDB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البحث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/06</w:t>
            </w:r>
          </w:p>
        </w:tc>
        <w:tc>
          <w:tcPr>
            <w:tcW w:w="2410" w:type="dxa"/>
          </w:tcPr>
          <w:p w:rsidR="00F50D38" w:rsidRPr="00F50D38" w:rsidRDefault="00F50D38" w:rsidP="00786F45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الواجب</w:t>
            </w:r>
            <w:proofErr w:type="gramEnd"/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50D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/</w:t>
            </w:r>
            <w:r w:rsidR="00786F45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4961" w:type="dxa"/>
          </w:tcPr>
          <w:p w:rsidR="00F50D38" w:rsidRPr="00F50D38" w:rsidRDefault="00F50D38" w:rsidP="00F50D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/</w:t>
            </w:r>
          </w:p>
        </w:tc>
      </w:tr>
    </w:tbl>
    <w:p w:rsidR="003C0CDB" w:rsidRDefault="00920BBB" w:rsidP="003C0CD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28"/>
  </w:num>
  <w:num w:numId="13">
    <w:abstractNumId w:val="29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24"/>
  </w:num>
  <w:num w:numId="19">
    <w:abstractNumId w:val="19"/>
  </w:num>
  <w:num w:numId="20">
    <w:abstractNumId w:val="7"/>
  </w:num>
  <w:num w:numId="21">
    <w:abstractNumId w:val="22"/>
  </w:num>
  <w:num w:numId="22">
    <w:abstractNumId w:val="15"/>
  </w:num>
  <w:num w:numId="23">
    <w:abstractNumId w:val="21"/>
  </w:num>
  <w:num w:numId="24">
    <w:abstractNumId w:val="18"/>
  </w:num>
  <w:num w:numId="25">
    <w:abstractNumId w:val="26"/>
  </w:num>
  <w:num w:numId="26">
    <w:abstractNumId w:val="12"/>
  </w:num>
  <w:num w:numId="27">
    <w:abstractNumId w:val="8"/>
  </w:num>
  <w:num w:numId="28">
    <w:abstractNumId w:val="27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271E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2B042A"/>
    <w:rsid w:val="002E3A6B"/>
    <w:rsid w:val="003468EE"/>
    <w:rsid w:val="00346C48"/>
    <w:rsid w:val="00364A2B"/>
    <w:rsid w:val="003C0CDB"/>
    <w:rsid w:val="004566DF"/>
    <w:rsid w:val="004619E6"/>
    <w:rsid w:val="00492485"/>
    <w:rsid w:val="00533525"/>
    <w:rsid w:val="00534678"/>
    <w:rsid w:val="00536A4D"/>
    <w:rsid w:val="005F0D2D"/>
    <w:rsid w:val="00615D2E"/>
    <w:rsid w:val="00631924"/>
    <w:rsid w:val="0064089D"/>
    <w:rsid w:val="00685809"/>
    <w:rsid w:val="006A0F76"/>
    <w:rsid w:val="00703C06"/>
    <w:rsid w:val="00715943"/>
    <w:rsid w:val="00761E0A"/>
    <w:rsid w:val="007671BD"/>
    <w:rsid w:val="0077347A"/>
    <w:rsid w:val="00786F45"/>
    <w:rsid w:val="00807669"/>
    <w:rsid w:val="00845F0B"/>
    <w:rsid w:val="0086117B"/>
    <w:rsid w:val="008A3C4F"/>
    <w:rsid w:val="008A4EEE"/>
    <w:rsid w:val="008A6DC0"/>
    <w:rsid w:val="008F34F7"/>
    <w:rsid w:val="00920BBB"/>
    <w:rsid w:val="009417FD"/>
    <w:rsid w:val="009524FF"/>
    <w:rsid w:val="00A0636C"/>
    <w:rsid w:val="00A257CC"/>
    <w:rsid w:val="00A54934"/>
    <w:rsid w:val="00A6636C"/>
    <w:rsid w:val="00A67EC8"/>
    <w:rsid w:val="00A81E29"/>
    <w:rsid w:val="00AA12CE"/>
    <w:rsid w:val="00AD2F2D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D74ECD"/>
    <w:rsid w:val="00E37D65"/>
    <w:rsid w:val="00E429C6"/>
    <w:rsid w:val="00E46F95"/>
    <w:rsid w:val="00EB02A6"/>
    <w:rsid w:val="00EB59E2"/>
    <w:rsid w:val="00F203DC"/>
    <w:rsid w:val="00F50D38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MICRO</cp:lastModifiedBy>
  <cp:revision>4</cp:revision>
  <cp:lastPrinted>2019-10-29T12:40:00Z</cp:lastPrinted>
  <dcterms:created xsi:type="dcterms:W3CDTF">2021-01-19T14:00:00Z</dcterms:created>
  <dcterms:modified xsi:type="dcterms:W3CDTF">2021-10-02T20:35:00Z</dcterms:modified>
</cp:coreProperties>
</file>