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209" w:type="dxa"/>
        <w:jc w:val="center"/>
        <w:tblCellMar>
          <w:left w:w="70" w:type="dxa"/>
          <w:right w:w="70" w:type="dxa"/>
        </w:tblCellMar>
        <w:tblLook w:val="04A0"/>
      </w:tblPr>
      <w:tblGrid>
        <w:gridCol w:w="4962"/>
        <w:gridCol w:w="5247"/>
      </w:tblGrid>
      <w:tr w:rsidR="005E4E03" w:rsidTr="003A405A">
        <w:trPr>
          <w:trHeight w:val="315"/>
          <w:jc w:val="center"/>
        </w:trPr>
        <w:tc>
          <w:tcPr>
            <w:tcW w:w="10209" w:type="dxa"/>
            <w:gridSpan w:val="2"/>
            <w:noWrap/>
            <w:vAlign w:val="bottom"/>
            <w:hideMark/>
          </w:tcPr>
          <w:p w:rsidR="005E4E03" w:rsidRDefault="005E4E03" w:rsidP="003A405A">
            <w:pPr>
              <w:jc w:val="center"/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</w:pPr>
            <w:r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  <w:t>الجمهورية الجزائرية الديمقراطية الشعبية</w:t>
            </w:r>
          </w:p>
          <w:p w:rsidR="005E4E03" w:rsidRDefault="005E4E03" w:rsidP="003A405A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REPUBLIQUE ALGERIENNE DEMOCRATIQUE ET POPULAIRE</w:t>
            </w:r>
          </w:p>
        </w:tc>
      </w:tr>
      <w:tr w:rsidR="005E4E03" w:rsidTr="003A405A">
        <w:trPr>
          <w:trHeight w:val="315"/>
          <w:jc w:val="center"/>
        </w:trPr>
        <w:tc>
          <w:tcPr>
            <w:tcW w:w="10209" w:type="dxa"/>
            <w:gridSpan w:val="2"/>
            <w:noWrap/>
            <w:vAlign w:val="bottom"/>
            <w:hideMark/>
          </w:tcPr>
          <w:p w:rsidR="005E4E03" w:rsidRDefault="005E4E03" w:rsidP="003A405A">
            <w:pPr>
              <w:jc w:val="center"/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</w:pPr>
            <w:proofErr w:type="gramStart"/>
            <w:r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  <w:t>وزارة</w:t>
            </w:r>
            <w:proofErr w:type="gramEnd"/>
            <w:r>
              <w:rPr>
                <w:rFonts w:ascii="Calibri" w:hAnsi="Calibri"/>
                <w:b/>
                <w:bCs/>
                <w:color w:val="000000"/>
                <w:rtl/>
                <w:lang w:eastAsia="fr-FR" w:bidi="ar-DZ"/>
              </w:rPr>
              <w:t xml:space="preserve"> التعليم العالي والبحث العلمي</w:t>
            </w:r>
          </w:p>
          <w:p w:rsidR="005E4E03" w:rsidRDefault="005E4E03" w:rsidP="003A405A">
            <w:pPr>
              <w:jc w:val="center"/>
              <w:rPr>
                <w:b/>
                <w:bCs/>
                <w:noProof/>
                <w:rtl/>
              </w:rPr>
            </w:pPr>
            <w:r>
              <w:rPr>
                <w:b/>
                <w:bCs/>
                <w:noProof/>
              </w:rPr>
              <w:t>MINISTERE DE L’ENSEIGNEMENT SUPERIEURE</w:t>
            </w:r>
          </w:p>
          <w:p w:rsidR="005E4E03" w:rsidRDefault="005E4E03" w:rsidP="003A405A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 ET DE LA RECHERCHE SCIENTIFIQUE</w:t>
            </w:r>
          </w:p>
        </w:tc>
      </w:tr>
      <w:tr w:rsidR="005E4E03" w:rsidTr="003A405A">
        <w:trPr>
          <w:trHeight w:val="315"/>
          <w:jc w:val="center"/>
        </w:trPr>
        <w:tc>
          <w:tcPr>
            <w:tcW w:w="4962" w:type="dxa"/>
            <w:noWrap/>
            <w:vAlign w:val="bottom"/>
            <w:hideMark/>
          </w:tcPr>
          <w:p w:rsidR="005E4E03" w:rsidRDefault="005E4E03" w:rsidP="003A405A">
            <w:pPr>
              <w:bidi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fr-FR" w:bidi="ar-DZ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 xml:space="preserve">جامعة محمد </w:t>
            </w:r>
            <w:proofErr w:type="spellStart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خيضر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 w:bidi="ar-DZ"/>
              </w:rPr>
              <w:t>- بسكرة</w:t>
            </w:r>
          </w:p>
        </w:tc>
        <w:tc>
          <w:tcPr>
            <w:tcW w:w="5247" w:type="dxa"/>
            <w:noWrap/>
            <w:vAlign w:val="bottom"/>
            <w:hideMark/>
          </w:tcPr>
          <w:p w:rsidR="005E4E03" w:rsidRDefault="007D7D14" w:rsidP="003A405A">
            <w:pPr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r w:rsidRPr="007D7D14">
              <w:pict>
                <v:group id="_x0000_s1026" style="position:absolute;margin-left:237pt;margin-top:2.2pt;width:46.5pt;height:56.8pt;z-index:-251658240;mso-position-horizontal-relative:text;mso-position-vertical-relative:text" coordorigin="5775,4587" coordsize="930,1136">
                  <v:oval id="_x0000_s1027" style="position:absolute;left:5775;top:4587;width:930;height:1136" strokecolor="#339" strokeweight="1.5pt">
                    <v:fill rotate="t"/>
                  </v:oval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8" type="#_x0000_t75" style="position:absolute;left:5909;top:4778;width:653;height:747">
                    <v:imagedata r:id="rId5" o:title="SigleUNI4" croptop="960f" cropleft="1719f" cropright="1187f" blacklevel="1966f"/>
                  </v:shape>
                  <v:shapetype id="_x0000_t144" coordsize="21600,21600" o:spt="144" adj="11796480" path="al10800,10800,10800,10800@2@14e">
                    <v:formulas>
                      <v:f eqn="val #1"/>
                      <v:f eqn="val #0"/>
                      <v:f eqn="sum 0 0 #0"/>
                      <v:f eqn="sumangle #0 0 180"/>
                      <v:f eqn="sumangle #0 0 90"/>
                      <v:f eqn="prod @4 2 1"/>
                      <v:f eqn="sumangle #0 90 0"/>
                      <v:f eqn="prod @6 2 1"/>
                      <v:f eqn="abs #0"/>
                      <v:f eqn="sumangle @8 0 90"/>
                      <v:f eqn="if @9 @7 @5"/>
                      <v:f eqn="sumangle @10 0 360"/>
                      <v:f eqn="if @10 @11 @10"/>
                      <v:f eqn="sumangle @12 0 360"/>
                      <v:f eqn="if @12 @13 @12"/>
                      <v:f eqn="sum 0 0 @14"/>
                      <v:f eqn="val 10800"/>
                      <v:f eqn="cos 10800 #0"/>
                      <v:f eqn="sin 10800 #0"/>
                      <v:f eqn="sum @17 10800 0"/>
                      <v:f eqn="sum @18 10800 0"/>
                      <v:f eqn="sum 10800 0 @17"/>
                      <v:f eqn="if @9 0 21600"/>
                      <v:f eqn="sum 10800 0 @18"/>
                    </v:formulas>
                    <v:path textpathok="t" o:connecttype="custom" o:connectlocs="10800,@22;@19,@20;@21,@20"/>
                    <v:textpath on="t" style="v-text-kern:t" fitpath="t"/>
                    <v:handles>
                      <v:h position="@16,#0" polar="10800,10800"/>
                    </v:handles>
                    <o:lock v:ext="edit" text="t" shapetype="t"/>
                  </v:shapetype>
                  <v:shape id="_x0000_s1029" type="#_x0000_t144" style="position:absolute;left:5906;top:4699;width:646;height:617" fillcolor="navy" stroked="f">
                    <v:shadow color="#333" opacity=".5"/>
                    <v:textpath style="font-family:&quot;AF_Aseer&quot;" fitshape="t" trim="t" string="جامعــــــة محمد خيضــــــــــــر"/>
                  </v:shape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30" type="#_x0000_t136" style="position:absolute;left:6017;top:5559;width:432;height:101" fillcolor="navy" stroked="f">
                    <v:shadow color="#333" opacity=".5"/>
                    <v:textpath style="font-family:&quot;AF_Aseer&quot;;v-text-kern:t" trim="t" fitpath="t" string="بــســكــــــــــــرة"/>
                  </v:shape>
                </v:group>
              </w:pict>
            </w:r>
            <w:proofErr w:type="spellStart"/>
            <w:r w:rsidR="005E4E03">
              <w:rPr>
                <w:rFonts w:ascii="Calibri" w:hAnsi="Calibri"/>
                <w:b/>
                <w:bCs/>
                <w:color w:val="000000"/>
                <w:lang w:eastAsia="fr-FR"/>
              </w:rPr>
              <w:t>Universit</w:t>
            </w:r>
            <w:proofErr w:type="spellEnd"/>
            <w:r w:rsidR="005E4E03"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é</w:t>
            </w:r>
            <w:r w:rsidR="005E4E03">
              <w:rPr>
                <w:rFonts w:ascii="Calibri" w:hAnsi="Calibri"/>
                <w:b/>
                <w:bCs/>
                <w:color w:val="000000"/>
                <w:lang w:eastAsia="fr-FR"/>
              </w:rPr>
              <w:t xml:space="preserve"> Mohamed </w:t>
            </w:r>
            <w:proofErr w:type="spellStart"/>
            <w:r w:rsidR="005E4E03">
              <w:rPr>
                <w:rFonts w:ascii="Calibri" w:hAnsi="Calibri"/>
                <w:b/>
                <w:bCs/>
                <w:color w:val="000000"/>
                <w:lang w:eastAsia="fr-FR"/>
              </w:rPr>
              <w:t>Khider</w:t>
            </w:r>
            <w:proofErr w:type="spellEnd"/>
            <w:r w:rsidR="005E4E03">
              <w:rPr>
                <w:rFonts w:ascii="Calibri" w:hAnsi="Calibri"/>
                <w:b/>
                <w:bCs/>
                <w:color w:val="000000"/>
                <w:lang w:eastAsia="fr-FR"/>
              </w:rPr>
              <w:t xml:space="preserve"> - Biskra</w:t>
            </w:r>
          </w:p>
        </w:tc>
      </w:tr>
      <w:tr w:rsidR="005E4E03" w:rsidTr="003A405A">
        <w:trPr>
          <w:trHeight w:val="315"/>
          <w:jc w:val="center"/>
        </w:trPr>
        <w:tc>
          <w:tcPr>
            <w:tcW w:w="4962" w:type="dxa"/>
            <w:noWrap/>
            <w:vAlign w:val="bottom"/>
            <w:hideMark/>
          </w:tcPr>
          <w:p w:rsidR="005E4E03" w:rsidRDefault="005E4E03" w:rsidP="003A405A">
            <w:pPr>
              <w:bidi/>
              <w:rPr>
                <w:rFonts w:ascii="Calibri" w:hAnsi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hAnsi="Calibri"/>
                <w:b/>
                <w:bCs/>
                <w:color w:val="000000"/>
                <w:sz w:val="24"/>
                <w:szCs w:val="24"/>
                <w:rtl/>
                <w:lang w:eastAsia="fr-FR"/>
              </w:rPr>
              <w:t>كلية العلوم الإنسانية والاجتماعية</w:t>
            </w:r>
          </w:p>
        </w:tc>
        <w:tc>
          <w:tcPr>
            <w:tcW w:w="5247" w:type="dxa"/>
            <w:vAlign w:val="bottom"/>
            <w:hideMark/>
          </w:tcPr>
          <w:p w:rsidR="005E4E03" w:rsidRDefault="005E4E03" w:rsidP="003A405A">
            <w:pPr>
              <w:rPr>
                <w:rFonts w:ascii="Calibri" w:hAnsi="Calibri"/>
                <w:b/>
                <w:bCs/>
                <w:color w:val="000000"/>
                <w:lang w:eastAsia="fr-FR"/>
              </w:rPr>
            </w:pPr>
            <w:proofErr w:type="spellStart"/>
            <w:r>
              <w:rPr>
                <w:rFonts w:ascii="Calibri" w:hAnsi="Calibri"/>
                <w:b/>
                <w:bCs/>
                <w:color w:val="000000"/>
                <w:lang w:eastAsia="fr-FR"/>
              </w:rPr>
              <w:t>Facult</w:t>
            </w:r>
            <w:proofErr w:type="spellEnd"/>
            <w:r>
              <w:rPr>
                <w:rFonts w:ascii="Calibri" w:hAnsi="Calibri"/>
                <w:b/>
                <w:bCs/>
                <w:color w:val="000000"/>
                <w:rtl/>
                <w:lang w:eastAsia="fr-FR"/>
              </w:rPr>
              <w:t>é</w:t>
            </w:r>
            <w:r>
              <w:rPr>
                <w:rFonts w:ascii="Calibri" w:hAnsi="Calibri"/>
                <w:b/>
                <w:bCs/>
                <w:color w:val="000000"/>
                <w:lang w:eastAsia="fr-FR"/>
              </w:rPr>
              <w:t xml:space="preserve"> des sciences humaines&amp; sociales</w:t>
            </w:r>
          </w:p>
        </w:tc>
      </w:tr>
    </w:tbl>
    <w:p w:rsidR="005E4E03" w:rsidRDefault="005E4E03" w:rsidP="005E4E03"/>
    <w:p w:rsidR="00B832B7" w:rsidRDefault="005E4E03" w:rsidP="00BC1827">
      <w:pPr>
        <w:bidi/>
        <w:ind w:left="-426"/>
        <w:rPr>
          <w:rFonts w:hint="cs"/>
          <w:b/>
          <w:bCs/>
          <w:sz w:val="24"/>
          <w:szCs w:val="24"/>
          <w:rtl/>
          <w:lang w:bidi="ar-DZ"/>
        </w:rPr>
      </w:pPr>
      <w:r>
        <w:rPr>
          <w:b/>
          <w:bCs/>
          <w:sz w:val="24"/>
          <w:szCs w:val="24"/>
          <w:rtl/>
        </w:rPr>
        <w:t>قسم العلوم الاجتماعية</w:t>
      </w:r>
      <w:r w:rsidR="00BC1827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="00B832B7">
        <w:rPr>
          <w:rFonts w:hint="cs"/>
          <w:b/>
          <w:bCs/>
          <w:sz w:val="24"/>
          <w:szCs w:val="24"/>
          <w:rtl/>
          <w:lang w:bidi="ar-DZ"/>
        </w:rPr>
        <w:t>شعبة علم الاجتماع</w:t>
      </w:r>
    </w:p>
    <w:p w:rsidR="00B832B7" w:rsidRDefault="00B832B7" w:rsidP="00B832B7">
      <w:pPr>
        <w:bidi/>
        <w:ind w:left="-426"/>
        <w:rPr>
          <w:rFonts w:hint="cs"/>
          <w:b/>
          <w:bCs/>
          <w:sz w:val="24"/>
          <w:szCs w:val="24"/>
          <w:rtl/>
          <w:lang w:bidi="ar-DZ"/>
        </w:rPr>
      </w:pPr>
      <w:proofErr w:type="gramStart"/>
      <w:r>
        <w:rPr>
          <w:rFonts w:hint="cs"/>
          <w:b/>
          <w:bCs/>
          <w:sz w:val="24"/>
          <w:szCs w:val="24"/>
          <w:rtl/>
          <w:lang w:bidi="ar-DZ"/>
        </w:rPr>
        <w:t>السنة</w:t>
      </w:r>
      <w:proofErr w:type="gramEnd"/>
      <w:r>
        <w:rPr>
          <w:rFonts w:hint="cs"/>
          <w:b/>
          <w:bCs/>
          <w:sz w:val="24"/>
          <w:szCs w:val="24"/>
          <w:rtl/>
          <w:lang w:bidi="ar-DZ"/>
        </w:rPr>
        <w:t xml:space="preserve"> الثالثة</w:t>
      </w:r>
    </w:p>
    <w:p w:rsidR="00B832B7" w:rsidRDefault="00B832B7" w:rsidP="00B832B7">
      <w:pPr>
        <w:bidi/>
        <w:ind w:left="-426"/>
        <w:rPr>
          <w:rFonts w:hint="cs"/>
          <w:b/>
          <w:bCs/>
          <w:sz w:val="24"/>
          <w:szCs w:val="24"/>
          <w:rtl/>
          <w:lang w:bidi="ar-DZ"/>
        </w:rPr>
      </w:pPr>
    </w:p>
    <w:p w:rsidR="005E4E03" w:rsidRDefault="00B832B7" w:rsidP="005E4E03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محتوى مقياس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الحوكمة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وأخلاقيات المهنة</w:t>
      </w:r>
      <w:r w:rsidR="00BC1827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للأعمال الموجهة</w:t>
      </w:r>
    </w:p>
    <w:p w:rsidR="005E4E03" w:rsidRDefault="005E4E03" w:rsidP="005E4E03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الأستاذ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</w:rPr>
        <w:t>(ة)</w:t>
      </w:r>
      <w:r w:rsidR="00C51F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</w:t>
      </w:r>
      <w:r w:rsidR="00B832B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غربي صباح</w:t>
      </w:r>
      <w:r w:rsidR="00C51FF5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</w:t>
      </w:r>
    </w:p>
    <w:tbl>
      <w:tblPr>
        <w:tblStyle w:val="Grilledutableau"/>
        <w:bidiVisual/>
        <w:tblW w:w="9640" w:type="dxa"/>
        <w:tblInd w:w="-318" w:type="dxa"/>
        <w:tblLook w:val="04A0"/>
      </w:tblPr>
      <w:tblGrid>
        <w:gridCol w:w="3119"/>
        <w:gridCol w:w="6521"/>
      </w:tblGrid>
      <w:tr w:rsidR="00BC1827" w:rsidTr="00BC1827">
        <w:trPr>
          <w:trHeight w:val="153"/>
        </w:trPr>
        <w:tc>
          <w:tcPr>
            <w:tcW w:w="96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27" w:rsidRDefault="00BC1827" w:rsidP="00B832B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الحوكمة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وأخلاقيات المهنة</w:t>
            </w:r>
          </w:p>
        </w:tc>
      </w:tr>
      <w:tr w:rsidR="00BC1827" w:rsidTr="00BC1827">
        <w:trPr>
          <w:trHeight w:val="15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27" w:rsidRDefault="00BC1827" w:rsidP="00BC182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الأول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: الحكم الراشد</w:t>
            </w: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27" w:rsidRPr="00063D01" w:rsidRDefault="00BC1827" w:rsidP="00BC1827">
            <w:pPr>
              <w:bidi/>
              <w:jc w:val="both"/>
              <w:rPr>
                <w:b/>
                <w:bCs/>
                <w:sz w:val="32"/>
                <w:szCs w:val="32"/>
                <w:lang w:val="en-US" w:bidi="ar-DZ"/>
              </w:rPr>
            </w:pPr>
            <w:r w:rsidRPr="00063D01">
              <w:rPr>
                <w:b/>
                <w:bCs/>
                <w:sz w:val="32"/>
                <w:szCs w:val="32"/>
                <w:rtl/>
                <w:lang w:bidi="ar-DZ"/>
              </w:rPr>
              <w:t>-</w:t>
            </w:r>
            <w:r w:rsidRPr="00063D0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تعريف الحكم </w:t>
            </w:r>
            <w:proofErr w:type="gramStart"/>
            <w:r w:rsidRPr="00063D0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الراشد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،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النشأة .</w:t>
            </w:r>
          </w:p>
          <w:p w:rsidR="00BC1827" w:rsidRDefault="00BC1827" w:rsidP="00BC1827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 xml:space="preserve">- </w:t>
            </w:r>
            <w:r w:rsidRPr="00063D0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المكونات الرئيسية للحكم الراشد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(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احلال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الديموقراطية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،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DZ"/>
              </w:rPr>
              <w:t>الانظمة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الانتخابية ، اللامركزية،الحكم الدستوري ). </w:t>
            </w:r>
          </w:p>
          <w:p w:rsidR="00BC1827" w:rsidRDefault="00BC1827" w:rsidP="00BC1827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 xml:space="preserve">- </w:t>
            </w:r>
            <w:r w:rsidRPr="00063D01">
              <w:rPr>
                <w:b/>
                <w:bCs/>
                <w:sz w:val="32"/>
                <w:szCs w:val="32"/>
                <w:rtl/>
                <w:lang w:bidi="ar-DZ"/>
              </w:rPr>
              <w:t>م</w:t>
            </w:r>
            <w:r w:rsidRPr="00063D01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بادئ وقواعد الحكم الراشد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 :</w:t>
            </w:r>
          </w:p>
          <w:p w:rsidR="00BC1827" w:rsidRDefault="00BC1827" w:rsidP="00BC1827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sz w:val="32"/>
                <w:szCs w:val="32"/>
                <w:rtl/>
                <w:lang w:bidi="ar-DZ"/>
              </w:rPr>
              <w:t>- ال</w:t>
            </w:r>
            <w:r>
              <w:rPr>
                <w:rFonts w:hint="cs"/>
                <w:sz w:val="32"/>
                <w:szCs w:val="32"/>
                <w:rtl/>
                <w:lang w:bidi="ar-DZ"/>
              </w:rPr>
              <w:t>فصل بين السلطات .</w:t>
            </w:r>
          </w:p>
          <w:p w:rsidR="00BC1827" w:rsidRDefault="00BC1827" w:rsidP="00BC1827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- المجتمع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المدني .</w:t>
            </w:r>
            <w:proofErr w:type="gramEnd"/>
          </w:p>
          <w:p w:rsidR="00BC1827" w:rsidRDefault="00BC1827" w:rsidP="00BC1827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-استقلالية وسائل الاعلام .</w:t>
            </w:r>
          </w:p>
          <w:p w:rsidR="00BC1827" w:rsidRDefault="00BC1827" w:rsidP="00BC1827">
            <w:pPr>
              <w:bidi/>
              <w:jc w:val="both"/>
              <w:rPr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 xml:space="preserve">-الشفافية والمراقبة </w:t>
            </w:r>
            <w:proofErr w:type="gramStart"/>
            <w:r>
              <w:rPr>
                <w:rFonts w:hint="cs"/>
                <w:sz w:val="32"/>
                <w:szCs w:val="32"/>
                <w:rtl/>
                <w:lang w:bidi="ar-DZ"/>
              </w:rPr>
              <w:t>والمحاسبة .</w:t>
            </w:r>
            <w:proofErr w:type="gramEnd"/>
          </w:p>
          <w:p w:rsidR="00BC1827" w:rsidRDefault="00BC1827" w:rsidP="00BC18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  <w:lang w:bidi="ar-DZ"/>
              </w:rPr>
              <w:t>-المشاركة المجتمعية وحقوق الانسان والمواطنة .</w:t>
            </w:r>
          </w:p>
        </w:tc>
      </w:tr>
      <w:tr w:rsidR="00BC1827" w:rsidTr="00BC1827">
        <w:trPr>
          <w:trHeight w:val="153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27" w:rsidRDefault="00BC1827" w:rsidP="00B832B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proofErr w:type="gramStart"/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>الفصل</w:t>
            </w:r>
            <w:proofErr w:type="gramEnd"/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t xml:space="preserve"> الثاني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مكافحة ظاهرة الفساد </w:t>
            </w:r>
          </w:p>
          <w:p w:rsidR="00BC1827" w:rsidRDefault="00BC1827" w:rsidP="003A405A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827" w:rsidRDefault="00BC1827" w:rsidP="00BC18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-مفهوم الفساد: (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مفهوم </w:t>
            </w:r>
            <w:proofErr w:type="gram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الفساد ،</w:t>
            </w:r>
            <w:proofErr w:type="gram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الدين والفساد )</w:t>
            </w:r>
          </w:p>
          <w:p w:rsidR="00BC1827" w:rsidRDefault="00BC1827" w:rsidP="00BC18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</w:t>
            </w:r>
            <w:r w:rsidRPr="00BA2D7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أنواع الفساد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: (الفساد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الاداري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، الفساد المالي ، الفساد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الاخلاقي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، الفساد السياسي ) </w:t>
            </w:r>
          </w:p>
          <w:p w:rsidR="00BC1827" w:rsidRDefault="00BC1827" w:rsidP="00BC18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</w:t>
            </w:r>
            <w:r w:rsidRPr="00BA2D78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مظاهر الفساد الاداري والمالي :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(الرشوة ، المحسوبية ، المحاباة ، الوساطة ، الابتزاز ، التزوير ، نهب المال العام ، 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lastRenderedPageBreak/>
              <w:t xml:space="preserve">التباطؤ في انجاز المعاملات ، الانحرافات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الادارية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والوظيفية من قبل الموظف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والمسؤول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، عدم احترام مواعيد العمل ،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افشاء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اسرار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الوظيفة ، المحاباة ، المخالفات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اثناء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تأدية المهام ، استغلال المنصب ......) .</w:t>
            </w:r>
          </w:p>
          <w:p w:rsidR="00BC1827" w:rsidRDefault="00BC1827" w:rsidP="00BC18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</w:t>
            </w:r>
            <w:r w:rsidRPr="001054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أسباب الفساد </w:t>
            </w:r>
            <w:proofErr w:type="spellStart"/>
            <w:r w:rsidRPr="001054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الاداري</w:t>
            </w:r>
            <w:proofErr w:type="spellEnd"/>
            <w:r w:rsidRPr="001054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والمالي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:(أسباب حضرية ، أسباب سياسية ، هيكلية ،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قيمية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، اقتصادية ، بيولوجية ، اجتماعية ،.....)</w:t>
            </w:r>
          </w:p>
          <w:p w:rsidR="00BC1827" w:rsidRDefault="00BC1827" w:rsidP="00BC18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</w:t>
            </w:r>
            <w:r w:rsidRPr="001054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اثار الفساد </w:t>
            </w:r>
            <w:proofErr w:type="spellStart"/>
            <w:r w:rsidRPr="001054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الاداري</w:t>
            </w:r>
            <w:proofErr w:type="spellEnd"/>
            <w:r w:rsidRPr="001054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والمالي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: ( على النواحي الاجتماعية ، على التنمية الاقتصادية ، على النظام السياسي والاستقرار ).</w:t>
            </w:r>
          </w:p>
          <w:p w:rsidR="00BC1827" w:rsidRDefault="00BC1827" w:rsidP="00BC18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 w:rsidRPr="001054E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- محاربة الفساد من طرف المنظمات الدولية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: (منظمة الشفافية الدولية ، اتفاقية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الامم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المتحدة لمكافحة الفساد، برنامج البنك الدولي لمساعدة الدول النامية في محاربة الفساد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الاداري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، صندوق النقد الدولي ، الجهود الجزائرية في مكافحة الفساد ).</w:t>
            </w:r>
          </w:p>
          <w:p w:rsidR="00BC1827" w:rsidRDefault="00BC1827" w:rsidP="00BC18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</w:t>
            </w:r>
            <w:r w:rsidRPr="00797C0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طرق محاربة ظاهرة الفساد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: (الجانب الديني، التثقيفي، الجانب الاقتصادي، السياسي، التشريعي، القضائي، الإداري، الرقابي، الانتماء </w:t>
            </w:r>
            <w:proofErr w:type="spellStart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والولاءات</w:t>
            </w:r>
            <w:proofErr w:type="spellEnd"/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) .</w:t>
            </w:r>
          </w:p>
          <w:p w:rsidR="00BC1827" w:rsidRPr="00797C09" w:rsidRDefault="00BC1827" w:rsidP="00BC1827">
            <w:pPr>
              <w:bidi/>
              <w:jc w:val="both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-</w:t>
            </w:r>
            <w:r w:rsidRPr="007B6963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نماذج لتجارب بعض الدول في مكافحة الفساد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 xml:space="preserve"> ( التجربة الهندية ، السنغافورية ، الولايات م،أ ، هونج كونج ، الماليزية ، التركية ) </w:t>
            </w:r>
          </w:p>
          <w:p w:rsidR="00BC1827" w:rsidRDefault="00BC1827" w:rsidP="00BC1827">
            <w:pPr>
              <w:bidi/>
              <w:jc w:val="both"/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BC1827" w:rsidRDefault="00BC1827" w:rsidP="00BC1827">
            <w:pPr>
              <w:bidi/>
              <w:jc w:val="both"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</w:tr>
      <w:tr w:rsidR="00BC1827" w:rsidTr="00BC1827">
        <w:trPr>
          <w:trHeight w:val="1921"/>
        </w:trPr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27" w:rsidRDefault="00BC1827" w:rsidP="00BC182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</w:rPr>
              <w:lastRenderedPageBreak/>
              <w:t>الفصل الثالث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: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اخلاقيات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المهنة </w:t>
            </w:r>
          </w:p>
          <w:p w:rsidR="00BC1827" w:rsidRDefault="00BC1827" w:rsidP="003A405A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</w:p>
        </w:tc>
        <w:tc>
          <w:tcPr>
            <w:tcW w:w="6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827" w:rsidRDefault="00BC1827" w:rsidP="00BC1827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المفهوم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، الأهمية،  المبادئ (الاستقامة، الموضوعية، السرية، الكفاءة )</w:t>
            </w:r>
          </w:p>
        </w:tc>
      </w:tr>
    </w:tbl>
    <w:p w:rsidR="00BF3E71" w:rsidRDefault="00BF3E71" w:rsidP="005E4E03">
      <w:pPr>
        <w:bidi/>
      </w:pPr>
    </w:p>
    <w:sectPr w:rsidR="00BF3E71" w:rsidSect="0009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B53"/>
    <w:multiLevelType w:val="hybridMultilevel"/>
    <w:tmpl w:val="0BFAEDE2"/>
    <w:lvl w:ilvl="0" w:tplc="B0C2A96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8427D0"/>
    <w:multiLevelType w:val="hybridMultilevel"/>
    <w:tmpl w:val="FC3AF88A"/>
    <w:lvl w:ilvl="0" w:tplc="755A8440">
      <w:start w:val="14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/>
  <w:rsids>
    <w:rsidRoot w:val="005E4E03"/>
    <w:rsid w:val="00063D01"/>
    <w:rsid w:val="001054E1"/>
    <w:rsid w:val="002F65AC"/>
    <w:rsid w:val="00330436"/>
    <w:rsid w:val="00447327"/>
    <w:rsid w:val="005E4E03"/>
    <w:rsid w:val="00797C09"/>
    <w:rsid w:val="007B6963"/>
    <w:rsid w:val="007D7D14"/>
    <w:rsid w:val="00B832B7"/>
    <w:rsid w:val="00BA2D78"/>
    <w:rsid w:val="00BC1827"/>
    <w:rsid w:val="00BF3E71"/>
    <w:rsid w:val="00C51FF5"/>
    <w:rsid w:val="00DB5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E03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E4E03"/>
    <w:pPr>
      <w:ind w:left="720"/>
      <w:contextualSpacing/>
    </w:pPr>
    <w:rPr>
      <w:rFonts w:eastAsiaTheme="minorEastAsia"/>
      <w:lang w:eastAsia="fr-FR"/>
    </w:rPr>
  </w:style>
  <w:style w:type="table" w:styleId="Grilledutableau">
    <w:name w:val="Table Grid"/>
    <w:basedOn w:val="TableauNormal"/>
    <w:uiPriority w:val="59"/>
    <w:rsid w:val="005E4E03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2</cp:revision>
  <dcterms:created xsi:type="dcterms:W3CDTF">2021-11-08T20:04:00Z</dcterms:created>
  <dcterms:modified xsi:type="dcterms:W3CDTF">2021-11-08T20:04:00Z</dcterms:modified>
</cp:coreProperties>
</file>