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B1D" w:rsidRDefault="000A7B17" w:rsidP="000A7B17">
      <w:pPr>
        <w:bidi/>
        <w:rPr>
          <w:rFonts w:ascii="ae_AlHor" w:hAnsi="ae_AlHor" w:cs="ae_AlHor" w:hint="cs"/>
          <w:sz w:val="28"/>
          <w:szCs w:val="28"/>
          <w:rtl/>
          <w:lang w:bidi="ar-DZ"/>
        </w:rPr>
      </w:pPr>
      <w:r w:rsidRPr="000A7B17">
        <w:rPr>
          <w:rFonts w:ascii="ae_AlHor" w:hAnsi="ae_AlHor" w:cs="ae_AlHor"/>
          <w:sz w:val="28"/>
          <w:szCs w:val="28"/>
          <w:rtl/>
          <w:lang w:bidi="ar-DZ"/>
        </w:rPr>
        <w:t>تقديم عام للموضوع:</w:t>
      </w:r>
    </w:p>
    <w:p w:rsidR="000A7B17" w:rsidRDefault="000A7B17" w:rsidP="000A7B17">
      <w:pPr>
        <w:bidi/>
        <w:ind w:firstLine="708"/>
        <w:jc w:val="both"/>
        <w:rPr>
          <w:rFonts w:ascii="ae_AlHor" w:hAnsi="ae_AlHor" w:cs="ae_AlHor" w:hint="cs"/>
          <w:sz w:val="28"/>
          <w:szCs w:val="28"/>
          <w:rtl/>
          <w:lang w:bidi="ar-DZ"/>
        </w:rPr>
      </w:pPr>
      <w:r>
        <w:rPr>
          <w:rFonts w:ascii="ae_AlHor" w:hAnsi="ae_AlHor" w:cs="ae_AlHor" w:hint="cs"/>
          <w:sz w:val="28"/>
          <w:szCs w:val="28"/>
          <w:rtl/>
          <w:lang w:bidi="ar-DZ"/>
        </w:rPr>
        <w:t xml:space="preserve">قطاع المعلومات اليوم يعرف تحولات فرضتها مجموعة من العوامل منها: ولوج التكنولوجيا أما بطريقة حتمية أو باستيرادها دون الدخول في التفاصيل، أيضا التغيرات الحاصلة على مستوى المجتمع وهذا نقصد به التحول الثقافي فالجميع يعلم اليوم أن المجتمع الجزائري تطور تعليميا مقارنة بالحقب الماضية، أيضا التحولات الفكرية الحاصلة بين التعريب أو التحول اللغوي وكذا قضايا الإيديولوجيا وغير ذلك من المعضلات الشائكة من حيث التعامل </w:t>
      </w:r>
      <w:proofErr w:type="spellStart"/>
      <w:r>
        <w:rPr>
          <w:rFonts w:ascii="ae_AlHor" w:hAnsi="ae_AlHor" w:cs="ae_AlHor" w:hint="cs"/>
          <w:sz w:val="28"/>
          <w:szCs w:val="28"/>
          <w:rtl/>
          <w:lang w:bidi="ar-DZ"/>
        </w:rPr>
        <w:t>والإستيعاب</w:t>
      </w:r>
      <w:proofErr w:type="spellEnd"/>
      <w:r>
        <w:rPr>
          <w:rFonts w:ascii="ae_AlHor" w:hAnsi="ae_AlHor" w:cs="ae_AlHor" w:hint="cs"/>
          <w:sz w:val="28"/>
          <w:szCs w:val="28"/>
          <w:rtl/>
          <w:lang w:bidi="ar-DZ"/>
        </w:rPr>
        <w:t xml:space="preserve">، أيضا قضايا التعليم والغزو الفكري ما جعل الأنظمة الدولية اليوم تقف </w:t>
      </w:r>
      <w:proofErr w:type="spellStart"/>
      <w:r>
        <w:rPr>
          <w:rFonts w:ascii="ae_AlHor" w:hAnsi="ae_AlHor" w:cs="ae_AlHor" w:hint="cs"/>
          <w:sz w:val="28"/>
          <w:szCs w:val="28"/>
          <w:rtl/>
          <w:lang w:bidi="ar-DZ"/>
        </w:rPr>
        <w:t>يين</w:t>
      </w:r>
      <w:proofErr w:type="spellEnd"/>
      <w:r>
        <w:rPr>
          <w:rFonts w:ascii="ae_AlHor" w:hAnsi="ae_AlHor" w:cs="ae_AlHor" w:hint="cs"/>
          <w:sz w:val="28"/>
          <w:szCs w:val="28"/>
          <w:rtl/>
          <w:lang w:bidi="ar-DZ"/>
        </w:rPr>
        <w:t xml:space="preserve"> عقارب بوصلة لتبحث عن </w:t>
      </w:r>
      <w:proofErr w:type="spellStart"/>
      <w:r>
        <w:rPr>
          <w:rFonts w:ascii="ae_AlHor" w:hAnsi="ae_AlHor" w:cs="ae_AlHor" w:hint="cs"/>
          <w:sz w:val="28"/>
          <w:szCs w:val="28"/>
          <w:rtl/>
          <w:lang w:bidi="ar-DZ"/>
        </w:rPr>
        <w:t>الإتجاه</w:t>
      </w:r>
      <w:proofErr w:type="spellEnd"/>
      <w:r>
        <w:rPr>
          <w:rFonts w:ascii="ae_AlHor" w:hAnsi="ae_AlHor" w:cs="ae_AlHor" w:hint="cs"/>
          <w:sz w:val="28"/>
          <w:szCs w:val="28"/>
          <w:rtl/>
          <w:lang w:bidi="ar-DZ"/>
        </w:rPr>
        <w:t xml:space="preserve"> الذي يناسب توجهاتها، أيضا لدينا القضايا السياسية والإقليمية وغير ذلك بالمختصر المفيد جو عالمي </w:t>
      </w:r>
      <w:proofErr w:type="spellStart"/>
      <w:r>
        <w:rPr>
          <w:rFonts w:ascii="ae_AlHor" w:hAnsi="ae_AlHor" w:cs="ae_AlHor" w:hint="cs"/>
          <w:sz w:val="28"/>
          <w:szCs w:val="28"/>
          <w:rtl/>
          <w:lang w:bidi="ar-DZ"/>
        </w:rPr>
        <w:t>ولإقتصاد</w:t>
      </w:r>
      <w:proofErr w:type="spellEnd"/>
      <w:r>
        <w:rPr>
          <w:rFonts w:ascii="ae_AlHor" w:hAnsi="ae_AlHor" w:cs="ae_AlHor" w:hint="cs"/>
          <w:sz w:val="28"/>
          <w:szCs w:val="28"/>
          <w:rtl/>
          <w:lang w:bidi="ar-DZ"/>
        </w:rPr>
        <w:t xml:space="preserve"> عالمي يعرف تحولات كبرى ينبغي التفكير فيها بطريقة علمية حتى نعرف التعايش في بيئة مماثلة، وهذا يمكن تسميته ثقافة العيش أو ثقافة التعامل مع المعلومات لكون زمن اليوم زمن المعلومات.</w:t>
      </w:r>
    </w:p>
    <w:p w:rsidR="000A7B17" w:rsidRDefault="00EA3320" w:rsidP="00EA3320">
      <w:pPr>
        <w:bidi/>
        <w:ind w:firstLine="708"/>
        <w:jc w:val="both"/>
        <w:rPr>
          <w:rFonts w:ascii="ae_AlHor" w:hAnsi="ae_AlHor" w:cs="ae_AlHor" w:hint="cs"/>
          <w:sz w:val="28"/>
          <w:szCs w:val="28"/>
          <w:rtl/>
          <w:lang w:bidi="ar-DZ"/>
        </w:rPr>
      </w:pPr>
      <w:r>
        <w:rPr>
          <w:rFonts w:ascii="ae_AlHor" w:hAnsi="ae_AlHor" w:cs="ae_AlHor" w:hint="cs"/>
          <w:sz w:val="28"/>
          <w:szCs w:val="28"/>
          <w:rtl/>
          <w:lang w:bidi="ar-DZ"/>
        </w:rPr>
        <w:t>قطاع المعلومات بما فيه من مكتبات ومراكز المعلومات والمؤسسات التي تنشط في قطاع الثقافة لا تخرج عن السياق الذي قدمناه فكل المؤسسات اليوم تعرف تحديات يجب التعامل معها بالعلم والمعرفة فلا خيار آخر يمكن به المجابهة والمواجهة للحفاظ على المصالح والتوجه العام للدولة الجزائرية ومكونات مجتمعنا وقيمنا، فقطاع المعلومات مهم جدا في الأنظمة السياسية ويحتاج اليوم أكثر من أي وقت مضى إلى وساطة ثقافية، ملاحظة الوسط العام، فهم الأوضاع، ودراسة ويقظة على كل المستويات.</w:t>
      </w:r>
    </w:p>
    <w:p w:rsidR="0013172F" w:rsidRDefault="00EA3320" w:rsidP="0013172F">
      <w:pPr>
        <w:bidi/>
        <w:ind w:firstLine="708"/>
        <w:jc w:val="both"/>
        <w:rPr>
          <w:rFonts w:ascii="ae_AlHor" w:hAnsi="ae_AlHor" w:cs="ae_AlHor"/>
          <w:sz w:val="28"/>
          <w:szCs w:val="28"/>
          <w:rtl/>
          <w:lang w:bidi="ar-DZ"/>
        </w:rPr>
      </w:pPr>
      <w:r>
        <w:rPr>
          <w:rFonts w:ascii="ae_AlHor" w:hAnsi="ae_AlHor" w:cs="ae_AlHor" w:hint="cs"/>
          <w:sz w:val="28"/>
          <w:szCs w:val="28"/>
          <w:rtl/>
          <w:lang w:bidi="ar-DZ"/>
        </w:rPr>
        <w:t xml:space="preserve">الوساطة الثقافية كما ورد في بعد الدراسات المحتشمة والقليلة في الحقيقة توجه علمي للتعامل مع النزاعات أو خلافات على مستوى الإدارات أو المؤسسات الناشطة في القطاع، وكبداية للدراسة </w:t>
      </w:r>
      <w:proofErr w:type="spellStart"/>
      <w:r>
        <w:rPr>
          <w:rFonts w:ascii="ae_AlHor" w:hAnsi="ae_AlHor" w:cs="ae_AlHor" w:hint="cs"/>
          <w:sz w:val="28"/>
          <w:szCs w:val="28"/>
          <w:rtl/>
          <w:lang w:bidi="ar-DZ"/>
        </w:rPr>
        <w:t>المفاهيمية</w:t>
      </w:r>
      <w:proofErr w:type="spellEnd"/>
      <w:r>
        <w:rPr>
          <w:rFonts w:ascii="ae_AlHor" w:hAnsi="ae_AlHor" w:cs="ae_AlHor" w:hint="cs"/>
          <w:sz w:val="28"/>
          <w:szCs w:val="28"/>
          <w:rtl/>
          <w:lang w:bidi="ar-DZ"/>
        </w:rPr>
        <w:t xml:space="preserve"> لمصطلح الوساطة سنختار </w:t>
      </w:r>
      <w:r w:rsidR="0013172F">
        <w:rPr>
          <w:rFonts w:ascii="ae_AlHor" w:hAnsi="ae_AlHor" w:cs="ae_AlHor" w:hint="cs"/>
          <w:sz w:val="28"/>
          <w:szCs w:val="28"/>
          <w:rtl/>
          <w:lang w:bidi="ar-DZ"/>
        </w:rPr>
        <w:t>ثلاثة دراسات</w:t>
      </w:r>
      <w:r>
        <w:rPr>
          <w:rFonts w:ascii="ae_AlHor" w:hAnsi="ae_AlHor" w:cs="ae_AlHor" w:hint="cs"/>
          <w:sz w:val="28"/>
          <w:szCs w:val="28"/>
          <w:rtl/>
          <w:lang w:bidi="ar-DZ"/>
        </w:rPr>
        <w:t xml:space="preserve"> جاءت على ذكر أهم التعريفات التي نحتاجها: الأولى من تخصص علم المكتبات للباحث </w:t>
      </w:r>
      <w:proofErr w:type="spellStart"/>
      <w:r>
        <w:rPr>
          <w:rFonts w:ascii="ae_AlHor" w:hAnsi="ae_AlHor" w:cs="ae_AlHor" w:hint="cs"/>
          <w:sz w:val="28"/>
          <w:szCs w:val="28"/>
          <w:rtl/>
          <w:lang w:bidi="ar-DZ"/>
        </w:rPr>
        <w:t>دموش</w:t>
      </w:r>
      <w:proofErr w:type="spellEnd"/>
      <w:r>
        <w:rPr>
          <w:rFonts w:ascii="ae_AlHor" w:hAnsi="ae_AlHor" w:cs="ae_AlHor" w:hint="cs"/>
          <w:sz w:val="28"/>
          <w:szCs w:val="28"/>
          <w:rtl/>
          <w:lang w:bidi="ar-DZ"/>
        </w:rPr>
        <w:t xml:space="preserve"> أسامة مع الأستاذ عبد القادر عبد الإله (جامعة وهران) والثانية </w:t>
      </w:r>
      <w:r w:rsidR="0013172F">
        <w:rPr>
          <w:rFonts w:ascii="ae_AlHor" w:hAnsi="ae_AlHor" w:cs="ae_AlHor" w:hint="cs"/>
          <w:sz w:val="28"/>
          <w:szCs w:val="28"/>
          <w:rtl/>
          <w:lang w:bidi="ar-DZ"/>
        </w:rPr>
        <w:t xml:space="preserve">للباحثين عبد الرزاق غزال وموفق عبد المالك من جامعة المسيلة من التخصص أيضا، الدراسة الثالثة من الباحثة حوة فطيمة أيضا بمساهمة البروفيسور عبد الإله أيضا؛ ولماذا هذا </w:t>
      </w:r>
      <w:proofErr w:type="spellStart"/>
      <w:r w:rsidR="0013172F">
        <w:rPr>
          <w:rFonts w:ascii="ae_AlHor" w:hAnsi="ae_AlHor" w:cs="ae_AlHor" w:hint="cs"/>
          <w:sz w:val="28"/>
          <w:szCs w:val="28"/>
          <w:rtl/>
          <w:lang w:bidi="ar-DZ"/>
        </w:rPr>
        <w:t>الإختيار</w:t>
      </w:r>
      <w:proofErr w:type="spellEnd"/>
      <w:r w:rsidR="0013172F">
        <w:rPr>
          <w:rFonts w:ascii="ae_AlHor" w:hAnsi="ae_AlHor" w:cs="ae_AlHor" w:hint="cs"/>
          <w:sz w:val="28"/>
          <w:szCs w:val="28"/>
          <w:rtl/>
          <w:lang w:bidi="ar-DZ"/>
        </w:rPr>
        <w:t xml:space="preserve"> لكون التعريفات المعتمدة في هذه </w:t>
      </w:r>
    </w:p>
    <w:p w:rsidR="0013172F" w:rsidRDefault="0013172F" w:rsidP="0013172F">
      <w:pPr>
        <w:bidi/>
        <w:ind w:firstLine="708"/>
        <w:jc w:val="both"/>
        <w:rPr>
          <w:rFonts w:ascii="ae_AlHor" w:hAnsi="ae_AlHor" w:cs="ae_AlHor" w:hint="cs"/>
          <w:noProof/>
          <w:sz w:val="28"/>
          <w:szCs w:val="28"/>
          <w:rtl/>
          <w:lang w:eastAsia="fr-FR"/>
        </w:rPr>
      </w:pPr>
      <w:r>
        <w:rPr>
          <w:rFonts w:ascii="ae_AlHor" w:hAnsi="ae_AlHor" w:cs="ae_AlHor" w:hint="cs"/>
          <w:sz w:val="28"/>
          <w:szCs w:val="28"/>
          <w:rtl/>
          <w:lang w:bidi="ar-DZ"/>
        </w:rPr>
        <w:t>الدراسات معيارية وفي سياق التخصص.</w:t>
      </w:r>
      <w:r w:rsidRPr="0013172F">
        <w:rPr>
          <w:rFonts w:ascii="ae_AlHor" w:hAnsi="ae_AlHor" w:cs="ae_AlHor" w:hint="cs"/>
          <w:noProof/>
          <w:sz w:val="28"/>
          <w:szCs w:val="28"/>
          <w:rtl/>
          <w:lang w:eastAsia="fr-FR"/>
        </w:rPr>
        <w:t xml:space="preserve"> </w:t>
      </w:r>
    </w:p>
    <w:p w:rsidR="00EA3320" w:rsidRDefault="0013172F" w:rsidP="0013172F">
      <w:pPr>
        <w:bidi/>
        <w:ind w:firstLine="708"/>
        <w:jc w:val="both"/>
        <w:rPr>
          <w:rFonts w:ascii="ae_AlHor" w:hAnsi="ae_AlHor" w:cs="ae_AlHor" w:hint="cs"/>
          <w:noProof/>
          <w:sz w:val="28"/>
          <w:szCs w:val="28"/>
          <w:rtl/>
          <w:lang w:eastAsia="fr-FR"/>
        </w:rPr>
      </w:pPr>
      <w:r>
        <w:rPr>
          <w:rFonts w:ascii="ae_AlHor" w:hAnsi="ae_AlHor" w:cs="ae_AlHor" w:hint="cs"/>
          <w:noProof/>
          <w:sz w:val="28"/>
          <w:szCs w:val="28"/>
          <w:rtl/>
          <w:lang w:eastAsia="fr-FR"/>
        </w:rPr>
        <w:lastRenderedPageBreak/>
        <w:drawing>
          <wp:inline distT="0" distB="0" distL="0" distR="0" wp14:anchorId="48B7DE88" wp14:editId="50E0EB96">
            <wp:extent cx="5760720" cy="2347595"/>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60720" cy="2347595"/>
                    </a:xfrm>
                    <a:prstGeom prst="rect">
                      <a:avLst/>
                    </a:prstGeom>
                  </pic:spPr>
                </pic:pic>
              </a:graphicData>
            </a:graphic>
          </wp:inline>
        </w:drawing>
      </w:r>
    </w:p>
    <w:p w:rsidR="0013172F" w:rsidRDefault="0013172F" w:rsidP="0013172F">
      <w:pPr>
        <w:bidi/>
        <w:ind w:firstLine="708"/>
        <w:jc w:val="both"/>
        <w:rPr>
          <w:rFonts w:ascii="ae_AlHor" w:hAnsi="ae_AlHor" w:cs="ae_AlHor"/>
          <w:sz w:val="28"/>
          <w:szCs w:val="28"/>
          <w:rtl/>
          <w:lang w:bidi="ar-DZ"/>
        </w:rPr>
      </w:pPr>
      <w:r>
        <w:rPr>
          <w:rFonts w:ascii="ae_AlHor" w:hAnsi="ae_AlHor" w:cs="ae_AlHor"/>
          <w:noProof/>
          <w:sz w:val="28"/>
          <w:szCs w:val="28"/>
          <w:lang w:eastAsia="fr-FR"/>
        </w:rPr>
        <w:drawing>
          <wp:inline distT="0" distB="0" distL="0" distR="0">
            <wp:extent cx="5760720" cy="388810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60720" cy="3888105"/>
                    </a:xfrm>
                    <a:prstGeom prst="rect">
                      <a:avLst/>
                    </a:prstGeom>
                  </pic:spPr>
                </pic:pic>
              </a:graphicData>
            </a:graphic>
          </wp:inline>
        </w:drawing>
      </w:r>
    </w:p>
    <w:p w:rsidR="0013172F" w:rsidRDefault="0013172F" w:rsidP="0013172F">
      <w:pPr>
        <w:bidi/>
        <w:ind w:firstLine="708"/>
        <w:jc w:val="both"/>
        <w:rPr>
          <w:rFonts w:ascii="ae_AlHor" w:hAnsi="ae_AlHor" w:cs="ae_AlHor"/>
          <w:sz w:val="28"/>
          <w:szCs w:val="28"/>
          <w:rtl/>
          <w:lang w:bidi="ar-DZ"/>
        </w:rPr>
      </w:pPr>
      <w:r>
        <w:rPr>
          <w:rFonts w:ascii="ae_AlHor" w:hAnsi="ae_AlHor" w:cs="ae_AlHor"/>
          <w:noProof/>
          <w:sz w:val="28"/>
          <w:szCs w:val="28"/>
          <w:lang w:eastAsia="fr-FR"/>
        </w:rPr>
        <w:lastRenderedPageBreak/>
        <w:drawing>
          <wp:inline distT="0" distB="0" distL="0" distR="0">
            <wp:extent cx="5760720" cy="6330315"/>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60720" cy="6330315"/>
                    </a:xfrm>
                    <a:prstGeom prst="rect">
                      <a:avLst/>
                    </a:prstGeom>
                  </pic:spPr>
                </pic:pic>
              </a:graphicData>
            </a:graphic>
          </wp:inline>
        </w:drawing>
      </w:r>
    </w:p>
    <w:p w:rsidR="0013172F" w:rsidRDefault="0013172F" w:rsidP="0013172F">
      <w:pPr>
        <w:bidi/>
        <w:ind w:firstLine="708"/>
        <w:jc w:val="both"/>
        <w:rPr>
          <w:rFonts w:ascii="ae_AlHor" w:hAnsi="ae_AlHor" w:cs="ae_AlHor" w:hint="cs"/>
          <w:sz w:val="28"/>
          <w:szCs w:val="28"/>
          <w:rtl/>
          <w:lang w:bidi="ar-DZ"/>
        </w:rPr>
      </w:pPr>
      <w:r>
        <w:rPr>
          <w:rFonts w:ascii="ae_AlHor" w:hAnsi="ae_AlHor" w:cs="ae_AlHor" w:hint="cs"/>
          <w:sz w:val="28"/>
          <w:szCs w:val="28"/>
          <w:rtl/>
          <w:lang w:bidi="ar-DZ"/>
        </w:rPr>
        <w:t>الوساطة أيضا جاءت بالمفاهيم الموالية</w:t>
      </w:r>
    </w:p>
    <w:p w:rsidR="0013172F" w:rsidRDefault="0013172F" w:rsidP="0013172F">
      <w:pPr>
        <w:bidi/>
        <w:ind w:firstLine="708"/>
        <w:jc w:val="both"/>
        <w:rPr>
          <w:rFonts w:ascii="ae_AlHor" w:hAnsi="ae_AlHor" w:cs="ae_AlHor"/>
          <w:sz w:val="28"/>
          <w:szCs w:val="28"/>
          <w:rtl/>
          <w:lang w:bidi="ar-DZ"/>
        </w:rPr>
      </w:pPr>
      <w:r>
        <w:rPr>
          <w:rFonts w:ascii="ae_AlHor" w:hAnsi="ae_AlHor" w:cs="ae_AlHor"/>
          <w:noProof/>
          <w:sz w:val="28"/>
          <w:szCs w:val="28"/>
          <w:lang w:eastAsia="fr-FR"/>
        </w:rPr>
        <w:drawing>
          <wp:inline distT="0" distB="0" distL="0" distR="0">
            <wp:extent cx="5760720" cy="163957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1639570"/>
                    </a:xfrm>
                    <a:prstGeom prst="rect">
                      <a:avLst/>
                    </a:prstGeom>
                  </pic:spPr>
                </pic:pic>
              </a:graphicData>
            </a:graphic>
          </wp:inline>
        </w:drawing>
      </w:r>
    </w:p>
    <w:p w:rsidR="00BB20FF" w:rsidRDefault="00BB20FF" w:rsidP="0013172F">
      <w:pPr>
        <w:bidi/>
        <w:ind w:firstLine="708"/>
        <w:jc w:val="both"/>
        <w:rPr>
          <w:rFonts w:ascii="ae_AlHor" w:hAnsi="ae_AlHor" w:cs="ae_AlHor"/>
          <w:sz w:val="28"/>
          <w:szCs w:val="28"/>
          <w:rtl/>
          <w:lang w:bidi="ar-DZ"/>
        </w:rPr>
      </w:pPr>
      <w:r>
        <w:rPr>
          <w:rFonts w:ascii="ae_AlHor" w:hAnsi="ae_AlHor" w:cs="ae_AlHor"/>
          <w:noProof/>
          <w:sz w:val="28"/>
          <w:szCs w:val="28"/>
          <w:lang w:eastAsia="fr-FR"/>
        </w:rPr>
        <w:lastRenderedPageBreak/>
        <w:drawing>
          <wp:inline distT="0" distB="0" distL="0" distR="0">
            <wp:extent cx="5760720" cy="2155190"/>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2155190"/>
                    </a:xfrm>
                    <a:prstGeom prst="rect">
                      <a:avLst/>
                    </a:prstGeom>
                  </pic:spPr>
                </pic:pic>
              </a:graphicData>
            </a:graphic>
          </wp:inline>
        </w:drawing>
      </w:r>
    </w:p>
    <w:p w:rsidR="0013172F" w:rsidRDefault="00BB20FF" w:rsidP="0013172F">
      <w:pPr>
        <w:bidi/>
        <w:ind w:firstLine="708"/>
        <w:jc w:val="both"/>
        <w:rPr>
          <w:rFonts w:ascii="ae_AlHor" w:hAnsi="ae_AlHor" w:cs="ae_AlHor" w:hint="cs"/>
          <w:sz w:val="28"/>
          <w:szCs w:val="28"/>
          <w:rtl/>
          <w:lang w:bidi="ar-DZ"/>
        </w:rPr>
      </w:pPr>
      <w:proofErr w:type="spellStart"/>
      <w:r>
        <w:rPr>
          <w:rFonts w:ascii="ae_AlHor" w:hAnsi="ae_AlHor" w:cs="ae_AlHor" w:hint="cs"/>
          <w:sz w:val="28"/>
          <w:szCs w:val="28"/>
          <w:rtl/>
          <w:lang w:bidi="ar-DZ"/>
        </w:rPr>
        <w:t>إصطلاحا</w:t>
      </w:r>
      <w:proofErr w:type="spellEnd"/>
      <w:r>
        <w:rPr>
          <w:rFonts w:ascii="ae_AlHor" w:hAnsi="ae_AlHor" w:cs="ae_AlHor" w:hint="cs"/>
          <w:sz w:val="28"/>
          <w:szCs w:val="28"/>
          <w:rtl/>
          <w:lang w:bidi="ar-DZ"/>
        </w:rPr>
        <w:t xml:space="preserve"> نرى مفهوم أدق للوساطة خاصة من خلال بعض المقاربات التي جاء بها بعض المختصين في المجال:</w:t>
      </w:r>
    </w:p>
    <w:p w:rsidR="00BB20FF" w:rsidRDefault="00BB20FF" w:rsidP="00BB20FF">
      <w:pPr>
        <w:bidi/>
        <w:ind w:firstLine="708"/>
        <w:jc w:val="both"/>
        <w:rPr>
          <w:rFonts w:ascii="ae_AlHor" w:hAnsi="ae_AlHor" w:cs="ae_AlHor"/>
          <w:sz w:val="28"/>
          <w:szCs w:val="28"/>
          <w:rtl/>
          <w:lang w:bidi="ar-DZ"/>
        </w:rPr>
      </w:pPr>
      <w:r>
        <w:rPr>
          <w:rFonts w:ascii="ae_AlHor" w:hAnsi="ae_AlHor" w:cs="ae_AlHor"/>
          <w:noProof/>
          <w:sz w:val="28"/>
          <w:szCs w:val="28"/>
          <w:lang w:eastAsia="fr-FR"/>
        </w:rPr>
        <w:drawing>
          <wp:inline distT="0" distB="0" distL="0" distR="0">
            <wp:extent cx="5760720" cy="4066540"/>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4066540"/>
                    </a:xfrm>
                    <a:prstGeom prst="rect">
                      <a:avLst/>
                    </a:prstGeom>
                  </pic:spPr>
                </pic:pic>
              </a:graphicData>
            </a:graphic>
          </wp:inline>
        </w:drawing>
      </w:r>
    </w:p>
    <w:p w:rsidR="00BB20FF" w:rsidRDefault="00BB20FF" w:rsidP="00BB20FF">
      <w:pPr>
        <w:bidi/>
        <w:ind w:firstLine="708"/>
        <w:jc w:val="both"/>
        <w:rPr>
          <w:rFonts w:ascii="ae_AlHor" w:hAnsi="ae_AlHor" w:cs="ae_AlHor"/>
          <w:sz w:val="28"/>
          <w:szCs w:val="28"/>
          <w:rtl/>
          <w:lang w:bidi="ar-DZ"/>
        </w:rPr>
      </w:pPr>
      <w:r>
        <w:rPr>
          <w:rFonts w:ascii="ae_AlHor" w:hAnsi="ae_AlHor" w:cs="ae_AlHor"/>
          <w:noProof/>
          <w:sz w:val="28"/>
          <w:szCs w:val="28"/>
          <w:lang w:eastAsia="fr-FR"/>
        </w:rPr>
        <w:lastRenderedPageBreak/>
        <w:drawing>
          <wp:inline distT="0" distB="0" distL="0" distR="0">
            <wp:extent cx="5760720" cy="4980940"/>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4980940"/>
                    </a:xfrm>
                    <a:prstGeom prst="rect">
                      <a:avLst/>
                    </a:prstGeom>
                  </pic:spPr>
                </pic:pic>
              </a:graphicData>
            </a:graphic>
          </wp:inline>
        </w:drawing>
      </w:r>
    </w:p>
    <w:p w:rsidR="002E4FC3" w:rsidRDefault="00BB20FF" w:rsidP="00BB20FF">
      <w:pPr>
        <w:bidi/>
        <w:ind w:firstLine="708"/>
        <w:jc w:val="both"/>
        <w:rPr>
          <w:rFonts w:ascii="ae_AlHor" w:hAnsi="ae_AlHor" w:cs="ae_AlHor"/>
          <w:sz w:val="28"/>
          <w:szCs w:val="28"/>
          <w:rtl/>
          <w:lang w:bidi="ar-DZ"/>
        </w:rPr>
      </w:pPr>
      <w:r>
        <w:rPr>
          <w:rFonts w:ascii="ae_AlHor" w:hAnsi="ae_AlHor" w:cs="ae_AlHor"/>
          <w:noProof/>
          <w:sz w:val="28"/>
          <w:szCs w:val="28"/>
          <w:lang w:eastAsia="fr-FR"/>
        </w:rPr>
        <w:lastRenderedPageBreak/>
        <w:drawing>
          <wp:inline distT="0" distB="0" distL="0" distR="0">
            <wp:extent cx="5760720" cy="4935855"/>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60720" cy="4935855"/>
                    </a:xfrm>
                    <a:prstGeom prst="rect">
                      <a:avLst/>
                    </a:prstGeom>
                  </pic:spPr>
                </pic:pic>
              </a:graphicData>
            </a:graphic>
          </wp:inline>
        </w:drawing>
      </w:r>
    </w:p>
    <w:p w:rsidR="002E4FC3" w:rsidRPr="002E4FC3" w:rsidRDefault="002E4FC3" w:rsidP="002E4FC3">
      <w:pPr>
        <w:bidi/>
        <w:rPr>
          <w:rFonts w:ascii="ae_AlHor" w:hAnsi="ae_AlHor" w:cs="ae_AlHor"/>
          <w:sz w:val="28"/>
          <w:szCs w:val="28"/>
          <w:rtl/>
          <w:lang w:bidi="ar-DZ"/>
        </w:rPr>
      </w:pPr>
    </w:p>
    <w:p w:rsidR="002E4FC3" w:rsidRPr="002E4FC3" w:rsidRDefault="002E4FC3" w:rsidP="002E4FC3">
      <w:pPr>
        <w:bidi/>
        <w:rPr>
          <w:rFonts w:ascii="ae_AlHor" w:hAnsi="ae_AlHor" w:cs="ae_AlHor"/>
          <w:sz w:val="28"/>
          <w:szCs w:val="28"/>
          <w:rtl/>
          <w:lang w:bidi="ar-DZ"/>
        </w:rPr>
      </w:pPr>
    </w:p>
    <w:p w:rsidR="00BB20FF" w:rsidRPr="002E4FC3" w:rsidRDefault="00BB20FF" w:rsidP="002E4FC3">
      <w:pPr>
        <w:tabs>
          <w:tab w:val="left" w:pos="1317"/>
        </w:tabs>
        <w:bidi/>
        <w:rPr>
          <w:rFonts w:ascii="ae_AlHor" w:hAnsi="ae_AlHor" w:cs="ae_AlHor"/>
          <w:sz w:val="28"/>
          <w:szCs w:val="28"/>
          <w:rtl/>
          <w:lang w:bidi="ar-DZ"/>
        </w:rPr>
      </w:pPr>
    </w:p>
    <w:p w:rsidR="002E4FC3" w:rsidRDefault="002E4FC3" w:rsidP="00BB20FF">
      <w:pPr>
        <w:bidi/>
        <w:ind w:firstLine="708"/>
        <w:jc w:val="both"/>
        <w:rPr>
          <w:rFonts w:ascii="ae_AlHor" w:hAnsi="ae_AlHor" w:cs="ae_AlHor"/>
          <w:sz w:val="28"/>
          <w:szCs w:val="28"/>
          <w:rtl/>
          <w:lang w:bidi="ar-DZ"/>
        </w:rPr>
      </w:pPr>
      <w:r>
        <w:rPr>
          <w:rFonts w:ascii="ae_AlHor" w:hAnsi="ae_AlHor" w:cs="ae_AlHor"/>
          <w:noProof/>
          <w:sz w:val="28"/>
          <w:szCs w:val="28"/>
          <w:lang w:eastAsia="fr-FR"/>
        </w:rPr>
        <w:lastRenderedPageBreak/>
        <w:drawing>
          <wp:inline distT="0" distB="0" distL="0" distR="0">
            <wp:extent cx="5760720" cy="5742305"/>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5742305"/>
                    </a:xfrm>
                    <a:prstGeom prst="rect">
                      <a:avLst/>
                    </a:prstGeom>
                  </pic:spPr>
                </pic:pic>
              </a:graphicData>
            </a:graphic>
          </wp:inline>
        </w:drawing>
      </w:r>
    </w:p>
    <w:p w:rsidR="002E4FC3" w:rsidRDefault="002E4FC3" w:rsidP="00BB20FF">
      <w:pPr>
        <w:bidi/>
        <w:ind w:firstLine="708"/>
        <w:jc w:val="both"/>
        <w:rPr>
          <w:rFonts w:ascii="ae_AlHor" w:hAnsi="ae_AlHor" w:cs="ae_AlHor"/>
          <w:sz w:val="28"/>
          <w:szCs w:val="28"/>
          <w:rtl/>
          <w:lang w:bidi="ar-DZ"/>
        </w:rPr>
      </w:pPr>
      <w:r>
        <w:rPr>
          <w:rFonts w:ascii="ae_AlHor" w:hAnsi="ae_AlHor" w:cs="ae_AlHor"/>
          <w:noProof/>
          <w:sz w:val="28"/>
          <w:szCs w:val="28"/>
          <w:lang w:eastAsia="fr-FR"/>
        </w:rPr>
        <w:drawing>
          <wp:inline distT="0" distB="0" distL="0" distR="0">
            <wp:extent cx="5760720" cy="893445"/>
            <wp:effectExtent l="0" t="0" r="0" b="190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893445"/>
                    </a:xfrm>
                    <a:prstGeom prst="rect">
                      <a:avLst/>
                    </a:prstGeom>
                  </pic:spPr>
                </pic:pic>
              </a:graphicData>
            </a:graphic>
          </wp:inline>
        </w:drawing>
      </w:r>
    </w:p>
    <w:p w:rsidR="00BB20FF" w:rsidRDefault="002E4FC3" w:rsidP="00BB20FF">
      <w:pPr>
        <w:bidi/>
        <w:ind w:firstLine="708"/>
        <w:jc w:val="both"/>
        <w:rPr>
          <w:rFonts w:ascii="ae_AlHor" w:hAnsi="ae_AlHor" w:cs="ae_AlHor" w:hint="cs"/>
          <w:sz w:val="28"/>
          <w:szCs w:val="28"/>
          <w:rtl/>
          <w:lang w:bidi="ar-DZ"/>
        </w:rPr>
      </w:pPr>
      <w:r>
        <w:rPr>
          <w:rFonts w:ascii="ae_AlHor" w:hAnsi="ae_AlHor" w:cs="ae_AlHor" w:hint="cs"/>
          <w:sz w:val="28"/>
          <w:szCs w:val="28"/>
          <w:rtl/>
          <w:lang w:bidi="ar-DZ"/>
        </w:rPr>
        <w:t>وكمثال المكتبي يمكن أن يكون وسيط في مؤسسته:</w:t>
      </w:r>
    </w:p>
    <w:p w:rsidR="002E4FC3" w:rsidRDefault="002E4FC3" w:rsidP="002E4FC3">
      <w:pPr>
        <w:bidi/>
        <w:ind w:firstLine="708"/>
        <w:jc w:val="both"/>
        <w:rPr>
          <w:rFonts w:ascii="ae_AlHor" w:hAnsi="ae_AlHor" w:cs="ae_AlHor"/>
          <w:sz w:val="28"/>
          <w:szCs w:val="28"/>
          <w:rtl/>
          <w:lang w:bidi="ar-DZ"/>
        </w:rPr>
      </w:pPr>
      <w:r>
        <w:rPr>
          <w:rFonts w:ascii="ae_AlHor" w:hAnsi="ae_AlHor" w:cs="ae_AlHor"/>
          <w:noProof/>
          <w:sz w:val="28"/>
          <w:szCs w:val="28"/>
          <w:lang w:eastAsia="fr-FR"/>
        </w:rPr>
        <w:drawing>
          <wp:inline distT="0" distB="0" distL="0" distR="0">
            <wp:extent cx="5760720" cy="1309370"/>
            <wp:effectExtent l="0" t="0" r="0" b="508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1309370"/>
                    </a:xfrm>
                    <a:prstGeom prst="rect">
                      <a:avLst/>
                    </a:prstGeom>
                  </pic:spPr>
                </pic:pic>
              </a:graphicData>
            </a:graphic>
          </wp:inline>
        </w:drawing>
      </w:r>
    </w:p>
    <w:p w:rsidR="002E4FC3" w:rsidRPr="000A7B17" w:rsidRDefault="002E4FC3" w:rsidP="002E4FC3">
      <w:pPr>
        <w:bidi/>
        <w:ind w:firstLine="708"/>
        <w:jc w:val="both"/>
        <w:rPr>
          <w:rFonts w:ascii="ae_AlHor" w:hAnsi="ae_AlHor" w:cs="ae_AlHor"/>
          <w:sz w:val="28"/>
          <w:szCs w:val="28"/>
          <w:lang w:bidi="ar-DZ"/>
        </w:rPr>
      </w:pPr>
      <w:r>
        <w:rPr>
          <w:rFonts w:ascii="ae_AlHor" w:hAnsi="ae_AlHor" w:cs="ae_AlHor" w:hint="cs"/>
          <w:sz w:val="28"/>
          <w:szCs w:val="28"/>
          <w:rtl/>
          <w:lang w:bidi="ar-DZ"/>
        </w:rPr>
        <w:lastRenderedPageBreak/>
        <w:t>إلى هنا نكون قد قدمنا المفاهيم التي نريد توصيلها للطلبة حول الوساطة كمفهوم وكطرح تنظيري، حيث قمنا بتركيب عدد من المفاهيم من ثلاثة دراسات لتعميم الفائدة واختصار الوقت ولتجنب الحشو الذي لا فائدة منه، لكن كما هو ملاحظ في جوانب كثيرة من المعلومات هناك سياقات تم التعليم عليها باللون الأصفر لأهميتها ولسبب وجيه وهو إمكانية تتبع هذه العبارات لتوسيع المعلومات، كما قمنا بذلك لفتح نقاش حول هذه القضايا فيما بعد.</w:t>
      </w:r>
      <w:bookmarkStart w:id="0" w:name="_GoBack"/>
      <w:bookmarkEnd w:id="0"/>
      <w:r>
        <w:rPr>
          <w:rFonts w:ascii="ae_AlHor" w:hAnsi="ae_AlHor" w:cs="ae_AlHor" w:hint="cs"/>
          <w:sz w:val="28"/>
          <w:szCs w:val="28"/>
          <w:rtl/>
          <w:lang w:bidi="ar-DZ"/>
        </w:rPr>
        <w:t xml:space="preserve"> </w:t>
      </w:r>
    </w:p>
    <w:sectPr w:rsidR="002E4FC3" w:rsidRPr="000A7B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e_AlHor">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17"/>
    <w:rsid w:val="000A7B17"/>
    <w:rsid w:val="0013172F"/>
    <w:rsid w:val="002E4FC3"/>
    <w:rsid w:val="00845C2E"/>
    <w:rsid w:val="00977F67"/>
    <w:rsid w:val="00BB20FF"/>
    <w:rsid w:val="00D10507"/>
    <w:rsid w:val="00EA33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3172F"/>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1317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3172F"/>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1317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8</Pages>
  <Words>380</Words>
  <Characters>2096</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موسى</dc:creator>
  <cp:lastModifiedBy>موسى</cp:lastModifiedBy>
  <cp:revision>1</cp:revision>
  <dcterms:created xsi:type="dcterms:W3CDTF">2020-12-11T12:56:00Z</dcterms:created>
  <dcterms:modified xsi:type="dcterms:W3CDTF">2020-12-11T13:51:00Z</dcterms:modified>
</cp:coreProperties>
</file>