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0D2E85" w:rsidRPr="000D2E85" w:rsidTr="000D2E8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85" w:rsidRDefault="000D2E85" w:rsidP="001D7A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University of Mohamed khider- Biskra</w:t>
            </w:r>
            <w:r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br/>
              <w:t>Faculty of Law &amp; Political Science</w:t>
            </w:r>
            <w:r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br/>
              <w:t>Department of Law</w:t>
            </w:r>
            <w:r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br/>
            </w:r>
            <w:r w:rsidR="00D10A0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Speciality :</w:t>
            </w:r>
            <w:r w:rsidR="00310E27" w:rsidRPr="00310E2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DZ"/>
              </w:rPr>
              <w:t xml:space="preserve"> </w:t>
            </w:r>
            <w:r w:rsidR="00310E27" w:rsidRPr="00310E27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Administrative Law</w:t>
            </w:r>
            <w:r w:rsidR="00310E27"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 xml:space="preserve"> </w:t>
            </w:r>
            <w:r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br/>
            </w:r>
            <w:r w:rsidR="00D10A0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Level </w:t>
            </w:r>
            <w:proofErr w:type="gramStart"/>
            <w:r w:rsidR="00D10A0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:</w:t>
            </w:r>
            <w:r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Master1</w:t>
            </w:r>
            <w:proofErr w:type="gramEnd"/>
            <w:r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-Sem1</w:t>
            </w:r>
          </w:p>
          <w:p w:rsidR="006927B0" w:rsidRPr="000D2E85" w:rsidRDefault="006927B0" w:rsidP="00F24C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English</w:t>
            </w:r>
            <w:r w:rsidR="00DC5457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 xml:space="preserve"> legal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 xml:space="preserve"> terminology</w:t>
            </w:r>
          </w:p>
          <w:p w:rsidR="000D2E85" w:rsidRPr="000D2E85" w:rsidRDefault="000D2E85" w:rsidP="00F24C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 w:rsidRPr="000D2E8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2021-2022</w:t>
            </w:r>
          </w:p>
        </w:tc>
      </w:tr>
    </w:tbl>
    <w:p w:rsidR="00D10A05" w:rsidRDefault="00D10A05" w:rsidP="00183110">
      <w:pPr>
        <w:rPr>
          <w:rFonts w:asciiTheme="majorBidi" w:hAnsiTheme="majorBidi" w:cstheme="majorBidi"/>
          <w:sz w:val="40"/>
          <w:szCs w:val="40"/>
        </w:rPr>
      </w:pPr>
    </w:p>
    <w:p w:rsidR="00AA06A7" w:rsidRPr="008B37FC" w:rsidRDefault="00AA06A7" w:rsidP="00C54873">
      <w:pPr>
        <w:shd w:val="clear" w:color="auto" w:fill="92D050"/>
        <w:ind w:left="-397"/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</w:pPr>
      <w:r w:rsidRPr="008B37FC"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  <w:t xml:space="preserve">Topic </w:t>
      </w:r>
      <w:r w:rsidR="00C54873"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  <w:t>2</w:t>
      </w:r>
    </w:p>
    <w:p w:rsidR="004F55F8" w:rsidRDefault="004F55F8" w:rsidP="004F55F8">
      <w:pPr>
        <w:jc w:val="center"/>
        <w:rPr>
          <w:rFonts w:asciiTheme="majorBidi" w:hAnsiTheme="majorBidi" w:cstheme="majorBidi"/>
          <w:b/>
          <w:bCs/>
          <w:i/>
          <w:iCs/>
          <w:color w:val="0070C0"/>
          <w:sz w:val="32"/>
          <w:szCs w:val="32"/>
        </w:rPr>
      </w:pPr>
    </w:p>
    <w:p w:rsidR="001D7AF9" w:rsidRPr="00AD47C8" w:rsidRDefault="004F55F8" w:rsidP="00D55B89">
      <w:pPr>
        <w:jc w:val="center"/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shd w:val="clear" w:color="auto" w:fill="FFF2CC" w:themeFill="accent4" w:themeFillTint="33"/>
        </w:rPr>
      </w:pPr>
      <w:r w:rsidRPr="00AD47C8"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shd w:val="clear" w:color="auto" w:fill="FFF2CC" w:themeFill="accent4" w:themeFillTint="33"/>
        </w:rPr>
        <w:t xml:space="preserve">The Public </w:t>
      </w:r>
      <w:proofErr w:type="spellStart"/>
      <w:r w:rsidRPr="00AD47C8"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shd w:val="clear" w:color="auto" w:fill="FFF2CC" w:themeFill="accent4" w:themeFillTint="33"/>
        </w:rPr>
        <w:t>law</w:t>
      </w:r>
      <w:proofErr w:type="spellEnd"/>
      <w:r w:rsidRPr="00AD47C8"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shd w:val="clear" w:color="auto" w:fill="FFF2CC" w:themeFill="accent4" w:themeFillTint="33"/>
        </w:rPr>
        <w:t xml:space="preserve"> and </w:t>
      </w:r>
      <w:proofErr w:type="spellStart"/>
      <w:r w:rsidRPr="00AD47C8"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shd w:val="clear" w:color="auto" w:fill="FFF2CC" w:themeFill="accent4" w:themeFillTint="33"/>
        </w:rPr>
        <w:t>Private</w:t>
      </w:r>
      <w:proofErr w:type="spellEnd"/>
      <w:r w:rsidRPr="00AD47C8"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shd w:val="clear" w:color="auto" w:fill="FFF2CC" w:themeFill="accent4" w:themeFillTint="33"/>
        </w:rPr>
        <w:t xml:space="preserve"> </w:t>
      </w:r>
      <w:proofErr w:type="spellStart"/>
      <w:r w:rsidRPr="00AD47C8"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shd w:val="clear" w:color="auto" w:fill="FFF2CC" w:themeFill="accent4" w:themeFillTint="33"/>
        </w:rPr>
        <w:t>law</w:t>
      </w:r>
      <w:proofErr w:type="spellEnd"/>
    </w:p>
    <w:p w:rsidR="005F371E" w:rsidRPr="00F17EB8" w:rsidRDefault="00F17EB8" w:rsidP="00F17EB8">
      <w:pPr>
        <w:shd w:val="clear" w:color="auto" w:fill="FFFFFF" w:themeFill="background1"/>
        <w:jc w:val="center"/>
        <w:rPr>
          <w:rFonts w:ascii="Sakkal Majalla" w:hAnsi="Sakkal Majalla" w:cs="Sakkal Majalla"/>
          <w:b/>
          <w:bCs/>
          <w:color w:val="0070C0"/>
          <w:sz w:val="32"/>
          <w:szCs w:val="32"/>
          <w:rtl/>
          <w:lang w:bidi="ar-DZ"/>
        </w:rPr>
      </w:pPr>
      <w:r w:rsidRPr="00AD47C8">
        <w:rPr>
          <w:rFonts w:ascii="Sakkal Majalla" w:hAnsi="Sakkal Majalla" w:cs="Sakkal Majalla"/>
          <w:b/>
          <w:bCs/>
          <w:color w:val="002060"/>
          <w:sz w:val="40"/>
          <w:szCs w:val="40"/>
          <w:shd w:val="clear" w:color="auto" w:fill="FFF2CC" w:themeFill="accent4" w:themeFillTint="33"/>
          <w:rtl/>
          <w:lang w:bidi="ar-DZ"/>
        </w:rPr>
        <w:t>القانون العام والقانون الخاص</w:t>
      </w:r>
    </w:p>
    <w:p w:rsidR="00D55B89" w:rsidRDefault="00AB677D" w:rsidP="00D55B89">
      <w:pPr>
        <w:ind w:left="-624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1-</w:t>
      </w:r>
      <w:r w:rsidR="001D7AF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</w:t>
      </w:r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The definition of the Public </w:t>
      </w:r>
      <w:proofErr w:type="spellStart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law</w:t>
      </w:r>
      <w:proofErr w:type="spellEnd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and </w:t>
      </w:r>
      <w:proofErr w:type="spellStart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Private</w:t>
      </w:r>
      <w:proofErr w:type="spellEnd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</w:t>
      </w:r>
      <w:proofErr w:type="spellStart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law</w:t>
      </w:r>
      <w:proofErr w:type="spellEnd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 :</w:t>
      </w:r>
    </w:p>
    <w:p w:rsidR="00D10A05" w:rsidRDefault="001D7AF9" w:rsidP="0073596F">
      <w:pPr>
        <w:ind w:left="-624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  <w:r w:rsidRPr="001D7AF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Law is </w:t>
      </w:r>
      <w:proofErr w:type="spellStart"/>
      <w:r w:rsidRPr="001D7AF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lassified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into</w:t>
      </w:r>
      <w:proofErr w:type="spellEnd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two </w:t>
      </w:r>
      <w:proofErr w:type="spellStart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great</w:t>
      </w:r>
      <w:proofErr w:type="spellEnd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classes, public </w:t>
      </w:r>
      <w:proofErr w:type="spellStart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and </w:t>
      </w:r>
      <w:proofErr w:type="spellStart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private</w:t>
      </w:r>
      <w:proofErr w:type="spellEnd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.</w:t>
      </w:r>
    </w:p>
    <w:p w:rsidR="00F17EB8" w:rsidRPr="00E26220" w:rsidRDefault="00D55B89" w:rsidP="00C54873">
      <w:pPr>
        <w:ind w:left="-624"/>
        <w:rPr>
          <w:rFonts w:ascii="Sakkal Majalla" w:hAnsi="Sakkal Majalla" w:cs="Sakkal Majalla"/>
          <w:b/>
          <w:bCs/>
          <w:i/>
          <w:i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a</w:t>
      </w:r>
      <w:r w:rsidR="00F17EB8" w:rsidRPr="00E2622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-The definition of Public </w:t>
      </w:r>
      <w:proofErr w:type="spellStart"/>
      <w:proofErr w:type="gramStart"/>
      <w:r w:rsidR="00F17EB8" w:rsidRPr="00E2622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F17EB8" w:rsidRPr="00E2622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:</w:t>
      </w:r>
      <w:proofErr w:type="gramEnd"/>
    </w:p>
    <w:p w:rsidR="00F17EB8" w:rsidRDefault="005262C5" w:rsidP="005262C5">
      <w:pPr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  </w:t>
      </w:r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The</w:t>
      </w:r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r w:rsidRPr="005262C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Public </w:t>
      </w:r>
      <w:proofErr w:type="spellStart"/>
      <w:r w:rsidRPr="005262C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73596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is a </w:t>
      </w:r>
      <w:proofErr w:type="spellStart"/>
      <w:r w:rsidR="00F17EB8" w:rsidRP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general</w:t>
      </w:r>
      <w:proofErr w:type="spellEnd"/>
      <w:r w:rsidR="00F17EB8" w:rsidRPr="00F17EB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classification </w:t>
      </w:r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of </w:t>
      </w:r>
      <w:proofErr w:type="spellStart"/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concerned</w:t>
      </w:r>
      <w:proofErr w:type="spellEnd"/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with the political and </w:t>
      </w:r>
      <w:proofErr w:type="spellStart"/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sovereigh</w:t>
      </w:r>
      <w:proofErr w:type="spellEnd"/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capacity</w:t>
      </w:r>
      <w:proofErr w:type="spellEnd"/>
      <w:r w:rsidR="00AF3AC8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of a state.</w:t>
      </w:r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It is a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field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of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constitutional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administrative, criminal, and international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that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focuses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on the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organization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of the government, the relations between the state and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its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citizens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the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responsibilities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of government </w:t>
      </w:r>
      <w:proofErr w:type="spellStart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officials</w:t>
      </w:r>
      <w:proofErr w:type="spellEnd"/>
      <w:r w:rsidR="006C4F5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, and the relations between states</w:t>
      </w:r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. It is </w:t>
      </w:r>
      <w:proofErr w:type="spellStart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concerned</w:t>
      </w:r>
      <w:proofErr w:type="spellEnd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with political </w:t>
      </w:r>
      <w:proofErr w:type="spellStart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matters</w:t>
      </w:r>
      <w:proofErr w:type="spellEnd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including the powers, rights, </w:t>
      </w:r>
      <w:proofErr w:type="spellStart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capacities</w:t>
      </w:r>
      <w:proofErr w:type="spellEnd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and </w:t>
      </w:r>
      <w:proofErr w:type="spellStart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duties</w:t>
      </w:r>
      <w:proofErr w:type="spellEnd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of </w:t>
      </w:r>
      <w:proofErr w:type="spellStart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various</w:t>
      </w:r>
      <w:proofErr w:type="spellEnd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levels</w:t>
      </w:r>
      <w:proofErr w:type="spellEnd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of government and </w:t>
      </w:r>
      <w:r w:rsidR="005D1B75" w:rsidRP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government</w:t>
      </w:r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officials</w:t>
      </w:r>
      <w:proofErr w:type="spellEnd"/>
      <w:r w:rsidR="005D1B7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.</w:t>
      </w:r>
    </w:p>
    <w:p w:rsidR="00C54873" w:rsidRPr="00C54873" w:rsidRDefault="00C54873" w:rsidP="00C54873">
      <w:pPr>
        <w:bidi/>
        <w:spacing w:line="360" w:lineRule="auto"/>
        <w:ind w:left="-283" w:right="-51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54873">
        <w:rPr>
          <w:rFonts w:ascii="Sakkal Majalla" w:hAnsi="Sakkal Majalla" w:cs="Sakkal Majalla"/>
          <w:b/>
          <w:bCs/>
          <w:color w:val="C00000"/>
          <w:sz w:val="36"/>
          <w:szCs w:val="36"/>
          <w:u w:val="single"/>
          <w:rtl/>
          <w:lang w:bidi="ar-DZ"/>
        </w:rPr>
        <w:t>-تعريف القانون العام</w:t>
      </w:r>
      <w:r w:rsidRPr="00C5487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هو تصنيف عام للقانون الذي يتعلق بالقدرة السيادية والسياسية للدولة. هو مجال للإدارة الدستورية، القانون الجنائي والدولي الذي يركز على تنظيم الحكومة، والعلاقة بين الدولة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ومواطنيها، ومسؤوليات الموظفين الرسميين للحكومة، والعلاقات بين الدول. يتعلق القانون العام بالشؤون السياسية، ومن ضمنها السلطات، الحقوق، القدرات، وواجبات مختلف المستويات للحكومة وموظفيها الرسميين.</w:t>
      </w:r>
    </w:p>
    <w:p w:rsidR="00F86B6E" w:rsidRDefault="00D55B89" w:rsidP="00F86B6E">
      <w:pPr>
        <w:spacing w:line="360" w:lineRule="auto"/>
        <w:ind w:left="-680"/>
        <w:jc w:val="both"/>
        <w:rPr>
          <w:rFonts w:ascii="Sakkal Majalla" w:hAnsi="Sakkal Majalla" w:cs="Sakkal Majalla"/>
          <w:b/>
          <w:bCs/>
          <w:i/>
          <w:i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b</w:t>
      </w:r>
      <w:r w:rsidR="00F86B6E" w:rsidRPr="00E2622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-The definition of</w:t>
      </w:r>
      <w:r w:rsidR="005262C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F86B6E" w:rsidRPr="00E2622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Private</w:t>
      </w:r>
      <w:proofErr w:type="spellEnd"/>
      <w:r w:rsidR="00F86B6E" w:rsidRPr="00E2622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proofErr w:type="gramStart"/>
      <w:r w:rsidR="00F86B6E" w:rsidRPr="00E2622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F86B6E" w:rsidRPr="00E2622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:</w:t>
      </w:r>
      <w:proofErr w:type="gramEnd"/>
      <w:r w:rsidR="00F86B6E" w:rsidRPr="00F86B6E"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  <w:t xml:space="preserve"> تعريف القانون الخاص </w:t>
      </w:r>
    </w:p>
    <w:p w:rsidR="005262C5" w:rsidRDefault="00C54873" w:rsidP="00C54873">
      <w:pPr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   The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private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is that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part </w:t>
      </w:r>
      <w:r w:rsidR="005262C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of the </w:t>
      </w:r>
      <w:proofErr w:type="spellStart"/>
      <w:r w:rsidR="005262C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5262C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that </w:t>
      </w:r>
      <w:proofErr w:type="spellStart"/>
      <w:r w:rsidR="005262C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defines</w:t>
      </w:r>
      <w:proofErr w:type="spellEnd"/>
      <w:r w:rsidR="005262C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</w:t>
      </w:r>
      <w:proofErr w:type="spellStart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regulates</w:t>
      </w:r>
      <w:proofErr w:type="spellEnd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</w:t>
      </w:r>
      <w:proofErr w:type="spellStart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enforces</w:t>
      </w:r>
      <w:proofErr w:type="spellEnd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and </w:t>
      </w:r>
      <w:proofErr w:type="spellStart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administers</w:t>
      </w:r>
      <w:proofErr w:type="spellEnd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relationship</w:t>
      </w:r>
      <w:proofErr w:type="spellEnd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among</w:t>
      </w:r>
      <w:proofErr w:type="spellEnd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1107E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individuals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associations, and corporations. As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used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in distinction to public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the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term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means</w:t>
      </w:r>
      <w:r w:rsidR="00975E67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975E67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also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that part of the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that is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administered</w:t>
      </w:r>
      <w:proofErr w:type="spellEnd"/>
      <w:r w:rsidR="00975E6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975E67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975E67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relationship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between a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citizen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and another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citizen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or that is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concerned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with the definition,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regulation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and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enforcement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of rights in cases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where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both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the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person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in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whom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the right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inheres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and the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person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upon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whom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the obligation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rests</w:t>
      </w:r>
      <w:proofErr w:type="spellEnd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are </w:t>
      </w:r>
      <w:proofErr w:type="spellStart"/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private</w:t>
      </w:r>
      <w:proofErr w:type="spellEnd"/>
      <w:r w:rsidR="00975E67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individual</w:t>
      </w:r>
      <w:r w:rsidR="001356C3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.</w:t>
      </w:r>
    </w:p>
    <w:p w:rsidR="00C54873" w:rsidRPr="00CA18E1" w:rsidRDefault="00C54873" w:rsidP="00CA18E1">
      <w:pPr>
        <w:bidi/>
        <w:spacing w:line="360" w:lineRule="auto"/>
        <w:ind w:left="-227" w:right="-68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lang w:bidi="ar-DZ"/>
        </w:rPr>
      </w:pPr>
      <w:r w:rsidRPr="00C54873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DZ"/>
        </w:rPr>
        <w:t>-تعريف القانون الخاص</w:t>
      </w:r>
      <w:r w:rsidRPr="00C5487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:</w:t>
      </w:r>
      <w:r w:rsidRPr="00C5487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DZ"/>
        </w:rPr>
        <w:t xml:space="preserve"> </w:t>
      </w:r>
      <w:r w:rsidRPr="00975E6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هو الجزء من القانون الذي يعرف وينظم ويعزز ويدير العلاقة بين الأفراد، ال</w:t>
      </w:r>
      <w:r w:rsidR="00975E67" w:rsidRPr="00975E6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جمعيات، والشركات. ويستعمل في التمييز عن القانون العام، المصطلح يعني</w:t>
      </w:r>
      <w:r w:rsidR="00975E67" w:rsidRPr="00975E6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DZ"/>
        </w:rPr>
        <w:t xml:space="preserve"> </w:t>
      </w:r>
      <w:r w:rsidR="00975E67" w:rsidRPr="00975E6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أيضا الجزء من القانون الذي يدير </w:t>
      </w:r>
      <w:r w:rsidR="00975E6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975E67" w:rsidRPr="00975E6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DZ"/>
        </w:rPr>
        <w:t xml:space="preserve"> </w:t>
      </w:r>
      <w:r w:rsidR="00975E67" w:rsidRPr="00975E6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العلاقة بين مواطن ومواطن آخر، أو ما يتعلق بتعريف، تنظيم، وتعزيز الحقوق في الحالات عندما يبرز حق الشخص،</w:t>
      </w:r>
      <w:r w:rsidR="00975E6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وعندما يظل الالتزام عليه خصوصية فردية.</w:t>
      </w:r>
    </w:p>
    <w:p w:rsidR="00D55B89" w:rsidRPr="00D55B89" w:rsidRDefault="00D55B89" w:rsidP="00D55B89">
      <w:pPr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</w:pPr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2-The classification of </w:t>
      </w:r>
      <w:proofErr w:type="spellStart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laws</w:t>
      </w:r>
      <w:proofErr w:type="spellEnd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</w:t>
      </w:r>
      <w:proofErr w:type="spellStart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according</w:t>
      </w:r>
      <w:proofErr w:type="spellEnd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to the Public </w:t>
      </w:r>
      <w:proofErr w:type="spellStart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law</w:t>
      </w:r>
      <w:proofErr w:type="spellEnd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and </w:t>
      </w:r>
      <w:proofErr w:type="spellStart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Private</w:t>
      </w:r>
      <w:proofErr w:type="spellEnd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</w:t>
      </w:r>
      <w:proofErr w:type="spellStart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law</w:t>
      </w:r>
      <w:proofErr w:type="spellEnd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</w:t>
      </w:r>
      <w:proofErr w:type="spellStart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criteria</w:t>
      </w:r>
      <w:proofErr w:type="spellEnd"/>
      <w:r w:rsidRPr="00D55B89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 :</w:t>
      </w:r>
    </w:p>
    <w:p w:rsidR="00D55B89" w:rsidRDefault="00D169E4" w:rsidP="00CA18E1">
      <w:pPr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-</w:t>
      </w:r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The </w:t>
      </w:r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Public </w:t>
      </w:r>
      <w:proofErr w:type="spellStart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com</w:t>
      </w:r>
      <w:r w:rsid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</w:t>
      </w:r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rises as an </w:t>
      </w:r>
      <w:proofErr w:type="spellStart"/>
      <w:proofErr w:type="gramStart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example</w:t>
      </w:r>
      <w:proofErr w:type="spellEnd"/>
      <w:r w:rsidR="00D55B89" w:rsidRP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:</w:t>
      </w:r>
      <w:proofErr w:type="gramEnd"/>
      <w:r w:rsid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Constitutional</w:t>
      </w:r>
      <w:proofErr w:type="spellEnd"/>
      <w:r w:rsid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Administrative </w:t>
      </w:r>
      <w:proofErr w:type="spellStart"/>
      <w:r w:rsidR="00CA18E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</w:t>
      </w:r>
      <w:r w:rsid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aw</w:t>
      </w:r>
      <w:proofErr w:type="spellEnd"/>
      <w:r w:rsidR="00D55B8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</w:t>
      </w:r>
      <w:proofErr w:type="spellStart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Tax</w:t>
      </w:r>
      <w:proofErr w:type="spellEnd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Criminal </w:t>
      </w:r>
      <w:proofErr w:type="spellStart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</w:t>
      </w:r>
      <w:proofErr w:type="spellStart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procedural</w:t>
      </w:r>
      <w:proofErr w:type="spellEnd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laws</w:t>
      </w:r>
      <w:proofErr w:type="spellEnd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(</w:t>
      </w:r>
      <w:proofErr w:type="spellStart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Civil,Administrative</w:t>
      </w:r>
      <w:proofErr w:type="spellEnd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</w:t>
      </w:r>
      <w:proofErr w:type="spellStart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Penal</w:t>
      </w:r>
      <w:proofErr w:type="spellEnd"/>
      <w:r w:rsidR="006B555F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).</w:t>
      </w:r>
    </w:p>
    <w:p w:rsidR="00D169E4" w:rsidRDefault="00D169E4" w:rsidP="00D169E4">
      <w:pPr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-</w:t>
      </w:r>
      <w:r w:rsidRPr="00D169E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The </w:t>
      </w:r>
      <w:proofErr w:type="spellStart"/>
      <w:r w:rsidRPr="00D169E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rivate</w:t>
      </w:r>
      <w:proofErr w:type="spellEnd"/>
      <w:r w:rsidRPr="00D169E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Pr="00D169E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Pr="00D169E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comprises as an </w:t>
      </w:r>
      <w:proofErr w:type="spellStart"/>
      <w:r w:rsidRPr="00D169E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example</w:t>
      </w:r>
      <w:proofErr w:type="spellEnd"/>
      <w:r w:rsidRPr="00D169E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 :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Civil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Family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Labour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commercial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.</w:t>
      </w:r>
    </w:p>
    <w:p w:rsidR="00CA18E1" w:rsidRPr="00CF5AFF" w:rsidRDefault="00CA18E1" w:rsidP="00CF5AFF">
      <w:pPr>
        <w:shd w:val="clear" w:color="auto" w:fill="D9E2F3" w:themeFill="accent5" w:themeFillTint="33"/>
        <w:bidi/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  <w:lang w:bidi="ar-DZ"/>
        </w:rPr>
      </w:pPr>
      <w:r w:rsidRPr="00CF5AFF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  <w:lang w:bidi="ar-DZ"/>
        </w:rPr>
        <w:t>2-تصنيف القانون بناء على "قانون عام" و"قانون خاص":</w:t>
      </w:r>
    </w:p>
    <w:p w:rsidR="00CA18E1" w:rsidRDefault="00DA1870" w:rsidP="00CA18E1">
      <w:pPr>
        <w:bidi/>
        <w:spacing w:line="360" w:lineRule="auto"/>
        <w:ind w:left="-68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 w:rsidR="00CA18E1" w:rsidRPr="00DA187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القانون العام يشمل كمثال: القانون الدستوري، القانون الإداري، </w:t>
      </w:r>
      <w:r w:rsidRPr="00DA187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قانون الضرائب، القانون الجنائي، القوانين الإجرائية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r w:rsidRPr="00DA187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المدني، الإداري، والعقوبات).</w:t>
      </w:r>
    </w:p>
    <w:p w:rsidR="00DA1870" w:rsidRPr="00DA1870" w:rsidRDefault="00DA1870" w:rsidP="00DA1870">
      <w:pPr>
        <w:bidi/>
        <w:spacing w:line="360" w:lineRule="auto"/>
        <w:ind w:left="-68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-القانون الخاص يشمل كمثال: القانون المدني، قانون الأسرة، قانون العمل، القانون التجاري.</w:t>
      </w:r>
    </w:p>
    <w:p w:rsidR="00F62FC0" w:rsidRDefault="00F62FC0" w:rsidP="00F62FC0">
      <w:pPr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  <w:r w:rsidRPr="00B157FB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3-The </w:t>
      </w:r>
      <w:proofErr w:type="spellStart"/>
      <w:r w:rsidRPr="00B157FB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difference</w:t>
      </w:r>
      <w:proofErr w:type="spellEnd"/>
      <w:r w:rsidRPr="00B157FB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between the Public </w:t>
      </w:r>
      <w:proofErr w:type="spellStart"/>
      <w:r w:rsidRPr="00B157FB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law</w:t>
      </w:r>
      <w:proofErr w:type="spellEnd"/>
      <w:r w:rsidRPr="00B157FB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and the </w:t>
      </w:r>
      <w:proofErr w:type="spellStart"/>
      <w:r w:rsidRPr="00B157FB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Private</w:t>
      </w:r>
      <w:proofErr w:type="spellEnd"/>
      <w:r w:rsidRPr="00B157FB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 xml:space="preserve"> </w:t>
      </w:r>
      <w:proofErr w:type="spellStart"/>
      <w:r w:rsidRPr="00B157FB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DEEAF6" w:themeFill="accent1" w:themeFillTint="33"/>
          <w:lang w:bidi="ar-DZ"/>
        </w:rPr>
        <w:t>law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 :</w:t>
      </w:r>
    </w:p>
    <w:p w:rsidR="00F24A01" w:rsidRDefault="00DD5D8B" w:rsidP="00DD5D8B">
      <w:pPr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  </w:t>
      </w:r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The important </w:t>
      </w:r>
      <w:proofErr w:type="spellStart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difference</w:t>
      </w:r>
      <w:proofErr w:type="spellEnd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between the two </w:t>
      </w:r>
      <w:proofErr w:type="spellStart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braches</w:t>
      </w:r>
      <w:proofErr w:type="spellEnd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of </w:t>
      </w:r>
      <w:proofErr w:type="spellStart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lays</w:t>
      </w:r>
      <w:proofErr w:type="spellEnd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in </w:t>
      </w:r>
      <w:proofErr w:type="spellStart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where</w:t>
      </w:r>
      <w:proofErr w:type="spellEnd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the state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or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the </w:t>
      </w:r>
      <w:proofErr w:type="spellStart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government’s</w:t>
      </w:r>
      <w:proofErr w:type="spellEnd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position in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its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relationship</w:t>
      </w:r>
      <w:proofErr w:type="spellEnd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with </w:t>
      </w:r>
      <w:proofErr w:type="spellStart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other</w:t>
      </w:r>
      <w:proofErr w:type="spellEnd"/>
      <w:r w:rsidR="00F24A01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legal persons, if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the </w:t>
      </w:r>
      <w:r w:rsidRPr="00DD5D8B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state </w:t>
      </w:r>
      <w:proofErr w:type="spellStart"/>
      <w:r w:rsidRPr="00DD5D8B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or</w:t>
      </w:r>
      <w:proofErr w:type="spellEnd"/>
      <w:r w:rsidRPr="00DD5D8B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the government is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practicing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its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power as high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authority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we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are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dealing</w:t>
      </w:r>
      <w:proofErr w:type="spellEnd"/>
      <w:r w:rsidR="00DA1870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in this case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with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laws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that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belong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to public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, if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otherwise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it is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private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law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.</w:t>
      </w:r>
    </w:p>
    <w:p w:rsidR="00F62FC0" w:rsidRPr="00DA1870" w:rsidRDefault="00DA1870" w:rsidP="00DA1870">
      <w:pPr>
        <w:shd w:val="clear" w:color="auto" w:fill="D9E2F3" w:themeFill="accent5" w:themeFillTint="33"/>
        <w:bidi/>
        <w:spacing w:line="360" w:lineRule="auto"/>
        <w:ind w:left="-680" w:right="-567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DZ"/>
        </w:rPr>
      </w:pPr>
      <w:r w:rsidRPr="00DA1870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DZ"/>
        </w:rPr>
        <w:t>3-الفرق بين القانون العام والقانون الخاص:</w:t>
      </w:r>
    </w:p>
    <w:p w:rsidR="00DA1870" w:rsidRDefault="00DA1870" w:rsidP="00DA1870">
      <w:pPr>
        <w:bidi/>
        <w:spacing w:line="360" w:lineRule="auto"/>
        <w:ind w:left="-68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  <w:r w:rsidRPr="00DA187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الاختلاف الكبير بين فروع القانون يمتد في مكانة الدولة أو الحكومة في علاقتها مع الأ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خاص القانونيين الآخرين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 فإذا مارست الدولة أو الحكومة سلطتها كسلطة عليا، فإننا نتعامل في هذه الحالة مع القوانين التي تنتمي إلى القانون العام. وإذا كان خلاف ذلك، فإنه القانون الخاص.</w:t>
      </w:r>
    </w:p>
    <w:p w:rsidR="001D7AF9" w:rsidRDefault="001D7AF9" w:rsidP="00AA06A7">
      <w:pPr>
        <w:rPr>
          <w:rFonts w:asciiTheme="majorBidi" w:hAnsiTheme="majorBidi" w:cstheme="majorBidi"/>
          <w:b/>
          <w:bCs/>
          <w:i/>
          <w:iCs/>
          <w:sz w:val="40"/>
          <w:szCs w:val="40"/>
          <w:lang w:bidi="ar-DZ"/>
        </w:rPr>
      </w:pPr>
      <w:bookmarkStart w:id="0" w:name="_GoBack"/>
      <w:bookmarkEnd w:id="0"/>
    </w:p>
    <w:p w:rsidR="001D7AF9" w:rsidRPr="00D10A05" w:rsidRDefault="001D7AF9" w:rsidP="00AA06A7">
      <w:pPr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DZ"/>
        </w:rPr>
      </w:pPr>
    </w:p>
    <w:p w:rsidR="000D2E85" w:rsidRDefault="000D2E85">
      <w:pPr>
        <w:rPr>
          <w:rFonts w:asciiTheme="majorBidi" w:hAnsiTheme="majorBidi" w:cstheme="majorBidi"/>
          <w:sz w:val="40"/>
          <w:szCs w:val="40"/>
          <w:lang w:bidi="ar-DZ"/>
        </w:rPr>
      </w:pPr>
    </w:p>
    <w:p w:rsidR="000D2E85" w:rsidRPr="00C824B6" w:rsidRDefault="000D2E85">
      <w:pPr>
        <w:rPr>
          <w:rFonts w:asciiTheme="majorBidi" w:hAnsiTheme="majorBidi" w:cstheme="majorBidi"/>
          <w:sz w:val="40"/>
          <w:szCs w:val="40"/>
        </w:rPr>
      </w:pPr>
    </w:p>
    <w:sectPr w:rsidR="000D2E85" w:rsidRPr="00C8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B6"/>
    <w:rsid w:val="00052219"/>
    <w:rsid w:val="000D2E85"/>
    <w:rsid w:val="001107EF"/>
    <w:rsid w:val="001356C3"/>
    <w:rsid w:val="00183110"/>
    <w:rsid w:val="001D7AF9"/>
    <w:rsid w:val="00310E27"/>
    <w:rsid w:val="004F55F8"/>
    <w:rsid w:val="005262C5"/>
    <w:rsid w:val="005D1B75"/>
    <w:rsid w:val="005E0F2D"/>
    <w:rsid w:val="005F371E"/>
    <w:rsid w:val="00637002"/>
    <w:rsid w:val="006927B0"/>
    <w:rsid w:val="006B555F"/>
    <w:rsid w:val="006C4F59"/>
    <w:rsid w:val="0073596F"/>
    <w:rsid w:val="00801852"/>
    <w:rsid w:val="008B37FC"/>
    <w:rsid w:val="00975E67"/>
    <w:rsid w:val="00A300DE"/>
    <w:rsid w:val="00AA06A7"/>
    <w:rsid w:val="00AB677D"/>
    <w:rsid w:val="00AB6AF0"/>
    <w:rsid w:val="00AD47C8"/>
    <w:rsid w:val="00AF3AC8"/>
    <w:rsid w:val="00B157FB"/>
    <w:rsid w:val="00C54873"/>
    <w:rsid w:val="00C824B6"/>
    <w:rsid w:val="00CA18E1"/>
    <w:rsid w:val="00CB645D"/>
    <w:rsid w:val="00CF5AFF"/>
    <w:rsid w:val="00D10A05"/>
    <w:rsid w:val="00D169E4"/>
    <w:rsid w:val="00D55B89"/>
    <w:rsid w:val="00DA1870"/>
    <w:rsid w:val="00DC5457"/>
    <w:rsid w:val="00DD5D8B"/>
    <w:rsid w:val="00E26220"/>
    <w:rsid w:val="00EC6ED5"/>
    <w:rsid w:val="00F17EB8"/>
    <w:rsid w:val="00F24A01"/>
    <w:rsid w:val="00F24CDB"/>
    <w:rsid w:val="00F62FC0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F20E6-E37C-4E45-812C-2E9999B6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2021-12-17T17:00:00Z</dcterms:created>
  <dcterms:modified xsi:type="dcterms:W3CDTF">2021-12-21T09:52:00Z</dcterms:modified>
</cp:coreProperties>
</file>