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C81" w:rsidRDefault="00304C81" w:rsidP="00304C81">
      <w:pPr>
        <w:bidi/>
        <w:spacing w:after="0"/>
        <w:ind w:firstLine="565"/>
        <w:jc w:val="center"/>
        <w:rPr>
          <w:rFonts w:cs="Simplified Arabic"/>
          <w:sz w:val="36"/>
          <w:szCs w:val="36"/>
          <w:lang w:bidi="ar-DZ"/>
        </w:rPr>
      </w:pPr>
      <w:r>
        <w:rPr>
          <w:rFonts w:cs="Simplified Arabic" w:hint="cs"/>
          <w:sz w:val="36"/>
          <w:szCs w:val="36"/>
          <w:rtl/>
          <w:lang w:bidi="ar-DZ"/>
        </w:rPr>
        <w:t>الباب الأول</w:t>
      </w:r>
    </w:p>
    <w:p w:rsidR="00304C81" w:rsidRDefault="00304C81" w:rsidP="00304C81">
      <w:pPr>
        <w:bidi/>
        <w:spacing w:after="0"/>
        <w:ind w:firstLine="565"/>
        <w:jc w:val="center"/>
        <w:rPr>
          <w:rFonts w:cs="Simplified Arabic"/>
          <w:sz w:val="36"/>
          <w:szCs w:val="36"/>
          <w:rtl/>
          <w:lang w:bidi="ar-DZ"/>
        </w:rPr>
      </w:pPr>
      <w:r>
        <w:rPr>
          <w:rFonts w:cs="Simplified Arabic" w:hint="cs"/>
          <w:sz w:val="36"/>
          <w:szCs w:val="36"/>
          <w:rtl/>
          <w:lang w:bidi="ar-DZ"/>
        </w:rPr>
        <w:t>القواعد العامة للإثبات</w:t>
      </w:r>
    </w:p>
    <w:p w:rsidR="00304C81" w:rsidRDefault="00304C81" w:rsidP="00304C81">
      <w:pPr>
        <w:pStyle w:val="Paragraphedeliste"/>
        <w:tabs>
          <w:tab w:val="right" w:pos="282"/>
        </w:tabs>
        <w:bidi/>
        <w:spacing w:after="0"/>
        <w:ind w:left="-2"/>
        <w:jc w:val="both"/>
        <w:rPr>
          <w:rFonts w:cs="Simplified Arabic"/>
          <w:bCs/>
          <w:sz w:val="28"/>
          <w:szCs w:val="28"/>
          <w:rtl/>
          <w:lang w:bidi="ar-DZ"/>
        </w:rPr>
      </w:pPr>
    </w:p>
    <w:p w:rsidR="00304C81" w:rsidRDefault="00304C81" w:rsidP="00304C81">
      <w:pPr>
        <w:pStyle w:val="Paragraphedeliste"/>
        <w:tabs>
          <w:tab w:val="right" w:pos="282"/>
        </w:tabs>
        <w:bidi/>
        <w:spacing w:after="0"/>
        <w:ind w:left="-2"/>
        <w:jc w:val="both"/>
        <w:rPr>
          <w:rFonts w:cs="Simplified Arabic"/>
          <w:bCs/>
          <w:sz w:val="28"/>
          <w:szCs w:val="28"/>
          <w:rtl/>
          <w:lang w:bidi="ar-DZ"/>
        </w:rPr>
      </w:pPr>
    </w:p>
    <w:p w:rsidR="00304C81" w:rsidRDefault="00304C81" w:rsidP="00304C81">
      <w:pPr>
        <w:pStyle w:val="Paragraphedeliste"/>
        <w:tabs>
          <w:tab w:val="right" w:pos="282"/>
        </w:tabs>
        <w:bidi/>
        <w:spacing w:after="0"/>
        <w:ind w:left="-2"/>
        <w:jc w:val="both"/>
        <w:rPr>
          <w:rFonts w:cs="Simplified Arabic"/>
          <w:bCs/>
          <w:sz w:val="28"/>
          <w:szCs w:val="28"/>
          <w:rtl/>
          <w:lang w:bidi="ar-DZ"/>
        </w:rPr>
      </w:pPr>
      <w:r>
        <w:rPr>
          <w:rFonts w:cs="Simplified Arabic" w:hint="cs"/>
          <w:bCs/>
          <w:sz w:val="28"/>
          <w:szCs w:val="28"/>
          <w:rtl/>
          <w:lang w:bidi="ar-DZ"/>
        </w:rPr>
        <w:t xml:space="preserve">تقسيم: </w:t>
      </w:r>
    </w:p>
    <w:p w:rsidR="00304C81" w:rsidRDefault="00304C81" w:rsidP="00304C81">
      <w:pPr>
        <w:pStyle w:val="Paragraphedeliste"/>
        <w:tabs>
          <w:tab w:val="right" w:pos="282"/>
        </w:tabs>
        <w:bidi/>
        <w:spacing w:after="0"/>
        <w:ind w:left="-2" w:firstLine="567"/>
        <w:jc w:val="both"/>
        <w:rPr>
          <w:rFonts w:cs="Simplified Arabic"/>
          <w:b/>
          <w:sz w:val="28"/>
          <w:szCs w:val="28"/>
          <w:lang w:bidi="ar-DZ"/>
        </w:rPr>
      </w:pPr>
      <w:r>
        <w:rPr>
          <w:rFonts w:cs="Simplified Arabic" w:hint="cs"/>
          <w:b/>
          <w:sz w:val="28"/>
          <w:szCs w:val="28"/>
          <w:rtl/>
          <w:lang w:bidi="ar-DZ"/>
        </w:rPr>
        <w:t xml:space="preserve">الحديث عن القواعد العامة للإثبات يقتضي بداية بيان دور كل من القاضي والخصوم في الإثبات فنبين أولا مبدأ حياد القاضي ثم نبين بعد ذلك حق الخصوم في الإثبات، وفي مناقشة ما يقدم من أدلة في الدعوى وما يتصل بهذا الحق، ونعرض يبعد ذلك بالبيان لعبء الإثبات أي من يقع عليه عبء الإثبات ثم محل الإثبات أي ما ينبغي إثباته لذلك نعالج هذه القواعد في ثلاثة فصول على النحو التالي: </w:t>
      </w:r>
    </w:p>
    <w:p w:rsidR="00304C81" w:rsidRDefault="00304C81" w:rsidP="00304C81">
      <w:pPr>
        <w:pStyle w:val="Paragraphedeliste"/>
        <w:numPr>
          <w:ilvl w:val="0"/>
          <w:numId w:val="11"/>
        </w:numPr>
        <w:tabs>
          <w:tab w:val="right" w:pos="282"/>
        </w:tabs>
        <w:bidi/>
        <w:spacing w:after="0"/>
        <w:jc w:val="both"/>
        <w:rPr>
          <w:rFonts w:cs="Simplified Arabic"/>
          <w:b/>
          <w:sz w:val="28"/>
          <w:szCs w:val="28"/>
          <w:rtl/>
          <w:lang w:bidi="ar-DZ"/>
        </w:rPr>
      </w:pPr>
      <w:r>
        <w:rPr>
          <w:rFonts w:cs="Simplified Arabic" w:hint="cs"/>
          <w:b/>
          <w:sz w:val="28"/>
          <w:szCs w:val="28"/>
          <w:rtl/>
          <w:lang w:bidi="ar-DZ"/>
        </w:rPr>
        <w:t>الفصل الأول: أشخاص الإثبات.</w:t>
      </w:r>
    </w:p>
    <w:p w:rsidR="00304C81" w:rsidRDefault="00304C81" w:rsidP="00304C81">
      <w:pPr>
        <w:pStyle w:val="Paragraphedeliste"/>
        <w:numPr>
          <w:ilvl w:val="0"/>
          <w:numId w:val="11"/>
        </w:numPr>
        <w:tabs>
          <w:tab w:val="right" w:pos="282"/>
          <w:tab w:val="right" w:pos="990"/>
        </w:tabs>
        <w:bidi/>
        <w:spacing w:after="0"/>
        <w:jc w:val="both"/>
        <w:rPr>
          <w:rFonts w:cs="Simplified Arabic"/>
          <w:b/>
          <w:sz w:val="28"/>
          <w:szCs w:val="28"/>
          <w:rtl/>
          <w:lang w:bidi="ar-DZ"/>
        </w:rPr>
      </w:pPr>
      <w:r>
        <w:rPr>
          <w:rFonts w:cs="Simplified Arabic" w:hint="cs"/>
          <w:b/>
          <w:sz w:val="28"/>
          <w:szCs w:val="28"/>
          <w:rtl/>
          <w:lang w:bidi="ar-DZ"/>
        </w:rPr>
        <w:t>الفصل الثاني: محل الإثبات.</w:t>
      </w:r>
    </w:p>
    <w:p w:rsidR="00304C81" w:rsidRDefault="00304C81" w:rsidP="00304C81">
      <w:pPr>
        <w:pStyle w:val="Paragraphedeliste"/>
        <w:numPr>
          <w:ilvl w:val="0"/>
          <w:numId w:val="11"/>
        </w:numPr>
        <w:tabs>
          <w:tab w:val="right" w:pos="282"/>
        </w:tabs>
        <w:bidi/>
        <w:spacing w:after="0"/>
        <w:jc w:val="both"/>
        <w:rPr>
          <w:rFonts w:cs="Simplified Arabic"/>
          <w:b/>
          <w:sz w:val="28"/>
          <w:szCs w:val="28"/>
          <w:rtl/>
          <w:lang w:bidi="ar-DZ"/>
        </w:rPr>
      </w:pPr>
      <w:r>
        <w:rPr>
          <w:rFonts w:cs="Simplified Arabic" w:hint="cs"/>
          <w:b/>
          <w:sz w:val="28"/>
          <w:szCs w:val="28"/>
          <w:rtl/>
          <w:lang w:bidi="ar-DZ"/>
        </w:rPr>
        <w:t>الفصل الثالث: عبء الإثبات.</w:t>
      </w:r>
    </w:p>
    <w:p w:rsidR="00304C81" w:rsidRDefault="00304C81" w:rsidP="00304C81">
      <w:pPr>
        <w:pStyle w:val="Paragraphedeliste"/>
        <w:tabs>
          <w:tab w:val="right" w:pos="282"/>
        </w:tabs>
        <w:bidi/>
        <w:spacing w:after="0"/>
        <w:ind w:left="1285"/>
        <w:jc w:val="both"/>
        <w:rPr>
          <w:rFonts w:cs="Simplified Arabic"/>
          <w:b/>
          <w:sz w:val="28"/>
          <w:szCs w:val="28"/>
          <w:lang w:bidi="ar-DZ"/>
        </w:rPr>
      </w:pPr>
    </w:p>
    <w:p w:rsidR="00304C81" w:rsidRDefault="00304C81" w:rsidP="00304C81">
      <w:pPr>
        <w:tabs>
          <w:tab w:val="right" w:pos="282"/>
        </w:tabs>
        <w:bidi/>
        <w:spacing w:after="0"/>
        <w:jc w:val="both"/>
        <w:rPr>
          <w:rFonts w:cs="Simplified Arabic"/>
          <w:sz w:val="40"/>
          <w:szCs w:val="40"/>
          <w:rtl/>
          <w:lang w:bidi="ar-DZ"/>
        </w:rPr>
      </w:pPr>
    </w:p>
    <w:p w:rsidR="00304C81" w:rsidRDefault="00304C81" w:rsidP="00304C81">
      <w:pPr>
        <w:tabs>
          <w:tab w:val="right" w:pos="282"/>
        </w:tabs>
        <w:bidi/>
        <w:spacing w:after="0"/>
        <w:jc w:val="both"/>
        <w:rPr>
          <w:rFonts w:cs="Simplified Arabic"/>
          <w:sz w:val="40"/>
          <w:szCs w:val="40"/>
          <w:rtl/>
          <w:lang w:bidi="ar-DZ"/>
        </w:rPr>
      </w:pPr>
    </w:p>
    <w:p w:rsidR="00304C81" w:rsidRDefault="00304C81" w:rsidP="00304C81">
      <w:pPr>
        <w:tabs>
          <w:tab w:val="right" w:pos="282"/>
        </w:tabs>
        <w:bidi/>
        <w:spacing w:after="0"/>
        <w:jc w:val="both"/>
        <w:rPr>
          <w:rFonts w:cs="Simplified Arabic"/>
          <w:sz w:val="40"/>
          <w:szCs w:val="40"/>
          <w:rtl/>
          <w:lang w:bidi="ar-DZ"/>
        </w:rPr>
      </w:pPr>
    </w:p>
    <w:p w:rsidR="00304C81" w:rsidRDefault="00304C81" w:rsidP="00304C81">
      <w:pPr>
        <w:tabs>
          <w:tab w:val="right" w:pos="282"/>
        </w:tabs>
        <w:bidi/>
        <w:spacing w:after="0"/>
        <w:jc w:val="both"/>
        <w:rPr>
          <w:rFonts w:cs="Simplified Arabic"/>
          <w:sz w:val="40"/>
          <w:szCs w:val="40"/>
          <w:rtl/>
          <w:lang w:bidi="ar-DZ"/>
        </w:rPr>
      </w:pPr>
    </w:p>
    <w:p w:rsidR="00304C81" w:rsidRDefault="00304C81" w:rsidP="00304C81">
      <w:pPr>
        <w:tabs>
          <w:tab w:val="right" w:pos="282"/>
        </w:tabs>
        <w:bidi/>
        <w:spacing w:after="0"/>
        <w:jc w:val="both"/>
        <w:rPr>
          <w:rFonts w:cs="Simplified Arabic"/>
          <w:sz w:val="40"/>
          <w:szCs w:val="40"/>
          <w:rtl/>
          <w:lang w:bidi="ar-DZ"/>
        </w:rPr>
      </w:pPr>
    </w:p>
    <w:p w:rsidR="00304C81" w:rsidRDefault="00304C81" w:rsidP="00304C81">
      <w:pPr>
        <w:tabs>
          <w:tab w:val="right" w:pos="282"/>
        </w:tabs>
        <w:bidi/>
        <w:spacing w:after="0"/>
        <w:jc w:val="both"/>
        <w:rPr>
          <w:rFonts w:cs="Simplified Arabic"/>
          <w:sz w:val="40"/>
          <w:szCs w:val="40"/>
          <w:rtl/>
          <w:lang w:bidi="ar-DZ"/>
        </w:rPr>
      </w:pPr>
    </w:p>
    <w:p w:rsidR="00304C81" w:rsidRDefault="00304C81" w:rsidP="00304C81">
      <w:pPr>
        <w:tabs>
          <w:tab w:val="right" w:pos="282"/>
        </w:tabs>
        <w:bidi/>
        <w:spacing w:after="0"/>
        <w:jc w:val="both"/>
        <w:rPr>
          <w:rFonts w:cs="Simplified Arabic"/>
          <w:sz w:val="40"/>
          <w:szCs w:val="40"/>
          <w:rtl/>
          <w:lang w:bidi="ar-DZ"/>
        </w:rPr>
      </w:pPr>
    </w:p>
    <w:p w:rsidR="00304C81" w:rsidRDefault="00304C81" w:rsidP="00304C81">
      <w:pPr>
        <w:tabs>
          <w:tab w:val="right" w:pos="282"/>
        </w:tabs>
        <w:bidi/>
        <w:spacing w:after="0"/>
        <w:jc w:val="both"/>
        <w:rPr>
          <w:rFonts w:cs="Simplified Arabic"/>
          <w:sz w:val="40"/>
          <w:szCs w:val="40"/>
          <w:rtl/>
          <w:lang w:bidi="ar-DZ"/>
        </w:rPr>
      </w:pPr>
    </w:p>
    <w:p w:rsidR="00304C81" w:rsidRDefault="00304C81" w:rsidP="00304C81">
      <w:pPr>
        <w:tabs>
          <w:tab w:val="right" w:pos="282"/>
        </w:tabs>
        <w:bidi/>
        <w:spacing w:after="0"/>
        <w:jc w:val="both"/>
        <w:rPr>
          <w:rFonts w:cs="Simplified Arabic"/>
          <w:sz w:val="40"/>
          <w:szCs w:val="40"/>
          <w:rtl/>
          <w:lang w:bidi="ar-DZ"/>
        </w:rPr>
      </w:pPr>
    </w:p>
    <w:p w:rsidR="00304C81" w:rsidRDefault="00304C81" w:rsidP="00304C81">
      <w:pPr>
        <w:tabs>
          <w:tab w:val="right" w:pos="282"/>
        </w:tabs>
        <w:bidi/>
        <w:spacing w:after="0"/>
        <w:jc w:val="both"/>
        <w:rPr>
          <w:rFonts w:cs="Simplified Arabic"/>
          <w:sz w:val="40"/>
          <w:szCs w:val="40"/>
          <w:rtl/>
          <w:lang w:bidi="ar-DZ"/>
        </w:rPr>
      </w:pPr>
    </w:p>
    <w:p w:rsidR="00304C81" w:rsidRDefault="00304C81" w:rsidP="00304C81">
      <w:pPr>
        <w:tabs>
          <w:tab w:val="right" w:pos="282"/>
        </w:tabs>
        <w:bidi/>
        <w:spacing w:after="0"/>
        <w:jc w:val="both"/>
        <w:rPr>
          <w:rFonts w:cs="Simplified Arabic"/>
          <w:sz w:val="40"/>
          <w:szCs w:val="40"/>
          <w:rtl/>
          <w:lang w:bidi="ar-DZ"/>
        </w:rPr>
      </w:pPr>
    </w:p>
    <w:p w:rsidR="00304C81" w:rsidRDefault="00304C81" w:rsidP="00304C81">
      <w:pPr>
        <w:tabs>
          <w:tab w:val="right" w:pos="282"/>
        </w:tabs>
        <w:bidi/>
        <w:spacing w:after="0"/>
        <w:jc w:val="both"/>
        <w:rPr>
          <w:rFonts w:cs="Simplified Arabic"/>
          <w:sz w:val="40"/>
          <w:szCs w:val="40"/>
          <w:rtl/>
          <w:lang w:bidi="ar-DZ"/>
        </w:rPr>
      </w:pPr>
    </w:p>
    <w:p w:rsidR="00304C81" w:rsidRDefault="00304C81" w:rsidP="00304C81">
      <w:pPr>
        <w:tabs>
          <w:tab w:val="right" w:pos="282"/>
        </w:tabs>
        <w:bidi/>
        <w:spacing w:after="0"/>
        <w:jc w:val="center"/>
        <w:rPr>
          <w:rFonts w:cs="Simplified Arabic"/>
          <w:sz w:val="36"/>
          <w:szCs w:val="36"/>
          <w:rtl/>
          <w:lang w:bidi="ar-DZ"/>
        </w:rPr>
      </w:pPr>
      <w:r>
        <w:rPr>
          <w:rFonts w:cs="Simplified Arabic" w:hint="cs"/>
          <w:sz w:val="36"/>
          <w:szCs w:val="36"/>
          <w:rtl/>
          <w:lang w:bidi="ar-DZ"/>
        </w:rPr>
        <w:lastRenderedPageBreak/>
        <w:t>الفصل الأول</w:t>
      </w:r>
    </w:p>
    <w:p w:rsidR="00304C81" w:rsidRDefault="00304C81" w:rsidP="00304C81">
      <w:pPr>
        <w:tabs>
          <w:tab w:val="right" w:pos="282"/>
        </w:tabs>
        <w:bidi/>
        <w:spacing w:after="0"/>
        <w:jc w:val="center"/>
        <w:rPr>
          <w:rFonts w:cs="Simplified Arabic"/>
          <w:sz w:val="36"/>
          <w:szCs w:val="36"/>
          <w:rtl/>
          <w:lang w:bidi="ar-DZ"/>
        </w:rPr>
      </w:pPr>
      <w:r>
        <w:rPr>
          <w:rFonts w:cs="Simplified Arabic" w:hint="cs"/>
          <w:sz w:val="36"/>
          <w:szCs w:val="36"/>
          <w:rtl/>
          <w:lang w:bidi="ar-DZ"/>
        </w:rPr>
        <w:t xml:space="preserve"> أشخاص الإثبات</w:t>
      </w:r>
    </w:p>
    <w:p w:rsidR="00304C81" w:rsidRDefault="00304C81" w:rsidP="00304C81">
      <w:pPr>
        <w:tabs>
          <w:tab w:val="right" w:pos="282"/>
        </w:tabs>
        <w:bidi/>
        <w:spacing w:after="0"/>
        <w:jc w:val="center"/>
        <w:rPr>
          <w:rFonts w:cs="Simplified Arabic"/>
          <w:sz w:val="16"/>
          <w:szCs w:val="16"/>
          <w:rtl/>
          <w:lang w:bidi="ar-DZ"/>
        </w:rPr>
      </w:pPr>
    </w:p>
    <w:p w:rsidR="00304C81" w:rsidRDefault="00304C81" w:rsidP="00304C81">
      <w:pPr>
        <w:tabs>
          <w:tab w:val="right" w:pos="282"/>
        </w:tabs>
        <w:bidi/>
        <w:spacing w:after="0"/>
        <w:jc w:val="both"/>
        <w:rPr>
          <w:rFonts w:cs="Simplified Arabic"/>
          <w:sz w:val="16"/>
          <w:szCs w:val="16"/>
          <w:rtl/>
          <w:lang w:bidi="ar-DZ"/>
        </w:rPr>
      </w:pPr>
    </w:p>
    <w:p w:rsidR="00304C81" w:rsidRDefault="00304C81" w:rsidP="00304C81">
      <w:pPr>
        <w:tabs>
          <w:tab w:val="right" w:pos="565"/>
        </w:tabs>
        <w:bidi/>
        <w:spacing w:after="0"/>
        <w:ind w:left="-2" w:firstLine="567"/>
        <w:jc w:val="both"/>
        <w:rPr>
          <w:rFonts w:cs="Simplified Arabic"/>
          <w:sz w:val="28"/>
          <w:szCs w:val="28"/>
          <w:rtl/>
          <w:lang w:bidi="ar-DZ"/>
        </w:rPr>
      </w:pPr>
      <w:r>
        <w:rPr>
          <w:rFonts w:cs="Simplified Arabic" w:hint="cs"/>
          <w:sz w:val="28"/>
          <w:szCs w:val="28"/>
          <w:rtl/>
          <w:lang w:bidi="ar-DZ"/>
        </w:rPr>
        <w:t>يقصد بأطراف الإثبات الأشخاص المشاركين في عملية الإثبات ويكون الشخص طرفا في الإثبات إذ كان طرفا في منازعة أمام القضاء، وبهذا التحديد يشمل أطراف الإثبات القاضي والخصوم.</w:t>
      </w:r>
    </w:p>
    <w:p w:rsidR="00304C81" w:rsidRDefault="00304C81" w:rsidP="00304C81">
      <w:pPr>
        <w:tabs>
          <w:tab w:val="right" w:pos="282"/>
        </w:tabs>
        <w:bidi/>
        <w:spacing w:after="0"/>
        <w:ind w:firstLine="565"/>
        <w:jc w:val="both"/>
        <w:rPr>
          <w:rFonts w:cs="Simplified Arabic"/>
          <w:sz w:val="28"/>
          <w:szCs w:val="28"/>
          <w:rtl/>
          <w:lang w:bidi="ar-DZ"/>
        </w:rPr>
      </w:pPr>
      <w:r>
        <w:rPr>
          <w:rFonts w:cs="Simplified Arabic" w:hint="cs"/>
          <w:sz w:val="28"/>
          <w:szCs w:val="28"/>
          <w:rtl/>
          <w:lang w:bidi="ar-DZ"/>
        </w:rPr>
        <w:t>وبذلك سنبحث في هذا الفصل، دور القاضي في عملية الإثبات في المبحث الأول، ودور الخصوم في المبحث الثاني.</w:t>
      </w:r>
    </w:p>
    <w:p w:rsidR="00304C81" w:rsidRDefault="00304C81" w:rsidP="00304C81">
      <w:pPr>
        <w:tabs>
          <w:tab w:val="right" w:pos="282"/>
        </w:tabs>
        <w:bidi/>
        <w:spacing w:after="0"/>
        <w:ind w:firstLine="565"/>
        <w:jc w:val="both"/>
        <w:rPr>
          <w:rFonts w:cs="Simplified Arabic"/>
          <w:sz w:val="16"/>
          <w:szCs w:val="16"/>
          <w:rtl/>
          <w:lang w:bidi="ar-DZ"/>
        </w:rPr>
      </w:pPr>
    </w:p>
    <w:p w:rsidR="00304C81" w:rsidRDefault="00304C81" w:rsidP="00304C81">
      <w:pPr>
        <w:pStyle w:val="Paragraphedeliste"/>
        <w:tabs>
          <w:tab w:val="right" w:pos="-2"/>
        </w:tabs>
        <w:bidi/>
        <w:spacing w:after="0"/>
        <w:ind w:left="-2"/>
        <w:jc w:val="center"/>
        <w:rPr>
          <w:rFonts w:cs="Simplified Arabic"/>
          <w:sz w:val="36"/>
          <w:szCs w:val="36"/>
          <w:rtl/>
          <w:lang w:bidi="ar-DZ"/>
        </w:rPr>
      </w:pPr>
      <w:r>
        <w:rPr>
          <w:rFonts w:cs="Simplified Arabic" w:hint="cs"/>
          <w:sz w:val="36"/>
          <w:szCs w:val="36"/>
          <w:rtl/>
          <w:lang w:bidi="ar-DZ"/>
        </w:rPr>
        <w:t xml:space="preserve"> المبحث الأول</w:t>
      </w:r>
    </w:p>
    <w:p w:rsidR="00304C81" w:rsidRDefault="00304C81" w:rsidP="00304C81">
      <w:pPr>
        <w:pStyle w:val="Paragraphedeliste"/>
        <w:tabs>
          <w:tab w:val="right" w:pos="-2"/>
        </w:tabs>
        <w:bidi/>
        <w:spacing w:after="0"/>
        <w:ind w:left="-2"/>
        <w:jc w:val="center"/>
        <w:rPr>
          <w:rFonts w:cs="Simplified Arabic"/>
          <w:sz w:val="36"/>
          <w:szCs w:val="36"/>
          <w:rtl/>
          <w:lang w:bidi="ar-DZ"/>
        </w:rPr>
      </w:pPr>
      <w:r>
        <w:rPr>
          <w:rFonts w:cs="Simplified Arabic" w:hint="cs"/>
          <w:sz w:val="36"/>
          <w:szCs w:val="36"/>
          <w:rtl/>
          <w:lang w:bidi="ar-DZ"/>
        </w:rPr>
        <w:t>دور القاضي في الإثبات</w:t>
      </w:r>
    </w:p>
    <w:p w:rsidR="00304C81" w:rsidRDefault="00304C81" w:rsidP="00304C81">
      <w:pPr>
        <w:pStyle w:val="Paragraphedeliste"/>
        <w:tabs>
          <w:tab w:val="right" w:pos="-2"/>
        </w:tabs>
        <w:bidi/>
        <w:spacing w:after="0"/>
        <w:ind w:left="-2"/>
        <w:jc w:val="both"/>
        <w:rPr>
          <w:rFonts w:cs="Simplified Arabic"/>
          <w:sz w:val="16"/>
          <w:szCs w:val="16"/>
          <w:rtl/>
          <w:lang w:bidi="ar-DZ"/>
        </w:rPr>
      </w:pPr>
    </w:p>
    <w:p w:rsidR="00304C81" w:rsidRDefault="00304C81" w:rsidP="00304C81">
      <w:pPr>
        <w:pStyle w:val="Paragraphedeliste"/>
        <w:tabs>
          <w:tab w:val="right" w:pos="-2"/>
        </w:tabs>
        <w:bidi/>
        <w:spacing w:after="0"/>
        <w:ind w:left="-2"/>
        <w:jc w:val="both"/>
        <w:rPr>
          <w:rFonts w:cs="Simplified Arabic"/>
          <w:sz w:val="16"/>
          <w:szCs w:val="16"/>
          <w:rtl/>
          <w:lang w:bidi="ar-DZ"/>
        </w:rPr>
      </w:pPr>
    </w:p>
    <w:p w:rsidR="00304C81" w:rsidRDefault="00304C81" w:rsidP="00304C81">
      <w:pPr>
        <w:tabs>
          <w:tab w:val="right" w:pos="282"/>
        </w:tabs>
        <w:bidi/>
        <w:spacing w:after="0"/>
        <w:ind w:firstLine="565"/>
        <w:jc w:val="both"/>
        <w:rPr>
          <w:rFonts w:cs="Simplified Arabic"/>
          <w:sz w:val="28"/>
          <w:szCs w:val="28"/>
          <w:rtl/>
          <w:lang w:bidi="ar-DZ"/>
        </w:rPr>
      </w:pPr>
      <w:r>
        <w:rPr>
          <w:rFonts w:cs="Simplified Arabic" w:hint="cs"/>
          <w:sz w:val="28"/>
          <w:szCs w:val="28"/>
          <w:rtl/>
          <w:lang w:bidi="ar-DZ"/>
        </w:rPr>
        <w:t>وهنا نعرض لمبدأ حياد القاضي في الإثبات، ثم نبين بعد ذلك دور القاضي في القوانين الحديثة.</w:t>
      </w:r>
    </w:p>
    <w:p w:rsidR="00304C81" w:rsidRDefault="00304C81" w:rsidP="00304C81">
      <w:pPr>
        <w:tabs>
          <w:tab w:val="right" w:pos="282"/>
        </w:tabs>
        <w:bidi/>
        <w:spacing w:after="0"/>
        <w:ind w:firstLine="565"/>
        <w:jc w:val="both"/>
        <w:rPr>
          <w:rFonts w:cs="Simplified Arabic"/>
          <w:sz w:val="16"/>
          <w:szCs w:val="16"/>
          <w:rtl/>
          <w:lang w:bidi="ar-DZ"/>
        </w:rPr>
      </w:pPr>
    </w:p>
    <w:p w:rsidR="00304C81" w:rsidRDefault="00304C81" w:rsidP="00304C81">
      <w:pPr>
        <w:tabs>
          <w:tab w:val="right" w:pos="849"/>
        </w:tabs>
        <w:bidi/>
        <w:spacing w:after="0"/>
        <w:jc w:val="both"/>
        <w:rPr>
          <w:rFonts w:cs="Simplified Arabic"/>
          <w:sz w:val="32"/>
          <w:szCs w:val="32"/>
          <w:rtl/>
          <w:lang w:bidi="ar-DZ"/>
        </w:rPr>
      </w:pPr>
      <w:r>
        <w:rPr>
          <w:rFonts w:cs="Simplified Arabic" w:hint="cs"/>
          <w:bCs/>
          <w:sz w:val="32"/>
          <w:szCs w:val="32"/>
          <w:rtl/>
          <w:lang w:bidi="ar-DZ"/>
        </w:rPr>
        <w:t>ـ</w:t>
      </w:r>
      <w:r>
        <w:rPr>
          <w:rFonts w:cs="Simplified Arabic" w:hint="cs"/>
          <w:bCs/>
          <w:sz w:val="32"/>
          <w:szCs w:val="32"/>
          <w:u w:val="single"/>
          <w:rtl/>
          <w:lang w:bidi="ar-DZ"/>
        </w:rPr>
        <w:t xml:space="preserve"> المطلب الأول</w:t>
      </w:r>
      <w:r>
        <w:rPr>
          <w:rFonts w:cs="Simplified Arabic" w:hint="cs"/>
          <w:bCs/>
          <w:sz w:val="32"/>
          <w:szCs w:val="32"/>
          <w:rtl/>
          <w:lang w:bidi="ar-DZ"/>
        </w:rPr>
        <w:t xml:space="preserve">: مبدأ حياد القاضي </w:t>
      </w:r>
      <w:r>
        <w:rPr>
          <w:rFonts w:asciiTheme="minorHAnsi" w:hAnsiTheme="minorHAnsi" w:cs="Simplified Arabic"/>
          <w:b/>
          <w:sz w:val="28"/>
          <w:szCs w:val="28"/>
          <w:lang w:bidi="ar-DZ"/>
        </w:rPr>
        <w:t>Neutralité Du juge</w:t>
      </w:r>
      <w:r>
        <w:rPr>
          <w:rFonts w:cs="Simplified Arabic" w:hint="cs"/>
          <w:bCs/>
          <w:sz w:val="28"/>
          <w:szCs w:val="28"/>
          <w:rtl/>
          <w:lang w:bidi="ar-DZ"/>
        </w:rPr>
        <w:t>:</w:t>
      </w:r>
      <w:r>
        <w:rPr>
          <w:rFonts w:cs="Simplified Arabic" w:hint="cs"/>
          <w:bCs/>
          <w:sz w:val="32"/>
          <w:szCs w:val="32"/>
          <w:rtl/>
          <w:lang w:bidi="ar-DZ"/>
        </w:rPr>
        <w:t xml:space="preserve"> </w:t>
      </w:r>
    </w:p>
    <w:p w:rsidR="00304C81" w:rsidRDefault="00304C81" w:rsidP="00304C81">
      <w:pPr>
        <w:tabs>
          <w:tab w:val="left" w:pos="565"/>
          <w:tab w:val="right" w:pos="849"/>
        </w:tabs>
        <w:bidi/>
        <w:spacing w:after="0"/>
        <w:ind w:left="-2" w:firstLine="567"/>
        <w:jc w:val="both"/>
        <w:rPr>
          <w:rFonts w:cs="Simplified Arabic"/>
          <w:b/>
          <w:sz w:val="28"/>
          <w:szCs w:val="28"/>
          <w:lang w:bidi="ar-DZ"/>
        </w:rPr>
      </w:pPr>
      <w:r>
        <w:rPr>
          <w:rFonts w:cs="Simplified Arabic" w:hint="cs"/>
          <w:b/>
          <w:sz w:val="28"/>
          <w:szCs w:val="28"/>
          <w:rtl/>
          <w:lang w:bidi="ar-DZ"/>
        </w:rPr>
        <w:t>لا يقصد بمبدأ حياد القاضي عدم تحيزه، فوق منصة القضاء لأن هذا الأمر بديهي لا يقوم القضاء بغيره، إنما يقصد به في نظرية الإثبات، انحصار مهمة القاضي في القيام بدور المحكم، بين الخصوم، بحيث يكون موقفه في الدعوى سلبيا، ويقتصر عمله على تقدير ما يقدمه الخصوم بالطرق التي حددها القانون ليعتبر الوقائع المدعى بها ثابتة أو غير ثابتة .</w:t>
      </w:r>
      <w:r>
        <w:rPr>
          <w:rStyle w:val="Appelnotedebasdep"/>
          <w:rFonts w:cs="Simplified Arabic"/>
          <w:sz w:val="28"/>
          <w:szCs w:val="28"/>
          <w:lang w:bidi="ar-DZ"/>
        </w:rPr>
        <w:t>)</w:t>
      </w:r>
      <w:r>
        <w:rPr>
          <w:rStyle w:val="Appelnotedebasdep"/>
          <w:rFonts w:cs="Simplified Arabic" w:hint="cs"/>
          <w:sz w:val="28"/>
          <w:szCs w:val="28"/>
          <w:rtl/>
          <w:lang w:bidi="ar-DZ"/>
        </w:rPr>
        <w:t>1</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2"/>
        <w:t>(</w:t>
      </w:r>
    </w:p>
    <w:p w:rsidR="00304C81" w:rsidRDefault="00304C81" w:rsidP="00304C81">
      <w:pPr>
        <w:tabs>
          <w:tab w:val="right" w:pos="282"/>
        </w:tabs>
        <w:bidi/>
        <w:spacing w:after="0"/>
        <w:jc w:val="both"/>
        <w:rPr>
          <w:rFonts w:cs="Simplified Arabic"/>
          <w:sz w:val="28"/>
          <w:szCs w:val="28"/>
          <w:lang w:bidi="ar-DZ"/>
        </w:rPr>
      </w:pPr>
      <w:r>
        <w:rPr>
          <w:rFonts w:cs="Simplified Arabic" w:hint="cs"/>
          <w:sz w:val="28"/>
          <w:szCs w:val="28"/>
          <w:rtl/>
          <w:lang w:bidi="ar-DZ"/>
        </w:rPr>
        <w:t>وليس له أن يبحث ومن تلقاء نفسه عن الوقائع، أو الأدلة، التي يحتج بها الخصوم، ويتفرع من هذا المبدأ عدم جواز قضاء القاضي استنادا إلى علمه الشخصي بواقعة الدعوى.</w:t>
      </w:r>
    </w:p>
    <w:p w:rsidR="00304C81" w:rsidRDefault="00304C81" w:rsidP="00304C81">
      <w:pPr>
        <w:tabs>
          <w:tab w:val="right" w:pos="282"/>
        </w:tabs>
        <w:bidi/>
        <w:spacing w:after="0"/>
        <w:ind w:firstLine="565"/>
        <w:jc w:val="both"/>
        <w:rPr>
          <w:rFonts w:cs="Simplified Arabic"/>
          <w:sz w:val="28"/>
          <w:szCs w:val="28"/>
          <w:rtl/>
          <w:lang w:bidi="ar-DZ"/>
        </w:rPr>
      </w:pPr>
      <w:r>
        <w:rPr>
          <w:rFonts w:cs="Simplified Arabic" w:hint="cs"/>
          <w:sz w:val="28"/>
          <w:szCs w:val="28"/>
          <w:rtl/>
          <w:lang w:bidi="ar-DZ"/>
        </w:rPr>
        <w:t>على أن الأخذ بهذا المبدأ يؤدي في الكثير من الأحيان إلى منع القاضي عن استجلاء الحقيقة، وجعل أطراف الدعوى هم أسياد الخصومة، كما أنهم أسياد حقوقهم .</w:t>
      </w:r>
      <w:r>
        <w:rPr>
          <w:rStyle w:val="Appelnotedebasdep"/>
          <w:rFonts w:cs="Simplified Arabic"/>
          <w:sz w:val="28"/>
          <w:szCs w:val="28"/>
          <w:lang w:bidi="ar-DZ"/>
        </w:rPr>
        <w:t>)</w:t>
      </w:r>
      <w:r>
        <w:rPr>
          <w:rStyle w:val="Appelnotedebasdep"/>
          <w:rFonts w:cs="Simplified Arabic" w:hint="cs"/>
          <w:sz w:val="28"/>
          <w:szCs w:val="28"/>
          <w:rtl/>
          <w:lang w:bidi="ar-DZ"/>
        </w:rPr>
        <w:t>2</w:t>
      </w:r>
      <w:r>
        <w:rPr>
          <w:rStyle w:val="Appelnotedebasdep"/>
          <w:rFonts w:cs="Simplified Arabic"/>
          <w:sz w:val="28"/>
          <w:szCs w:val="28"/>
          <w:lang w:bidi="ar-DZ"/>
        </w:rPr>
        <w:footnoteReference w:customMarkFollows="1" w:id="3"/>
        <w:t>(</w:t>
      </w:r>
    </w:p>
    <w:p w:rsidR="00304C81" w:rsidRDefault="00304C81" w:rsidP="00304C81">
      <w:pPr>
        <w:tabs>
          <w:tab w:val="right" w:pos="282"/>
        </w:tabs>
        <w:bidi/>
        <w:spacing w:after="0"/>
        <w:ind w:firstLine="565"/>
        <w:jc w:val="both"/>
        <w:rPr>
          <w:rFonts w:cs="Simplified Arabic"/>
          <w:sz w:val="16"/>
          <w:szCs w:val="16"/>
          <w:rtl/>
          <w:lang w:bidi="ar-DZ"/>
        </w:rPr>
      </w:pPr>
    </w:p>
    <w:p w:rsidR="00304C81" w:rsidRDefault="00304C81" w:rsidP="00304C81">
      <w:pPr>
        <w:pStyle w:val="Paragraphedeliste"/>
        <w:tabs>
          <w:tab w:val="right" w:pos="-2"/>
        </w:tabs>
        <w:bidi/>
        <w:spacing w:after="0"/>
        <w:ind w:left="-2"/>
        <w:jc w:val="both"/>
        <w:rPr>
          <w:rFonts w:cs="Simplified Arabic"/>
          <w:sz w:val="32"/>
          <w:szCs w:val="32"/>
          <w:rtl/>
          <w:lang w:bidi="ar-DZ"/>
        </w:rPr>
      </w:pPr>
      <w:r>
        <w:rPr>
          <w:rFonts w:cs="Simplified Arabic" w:hint="cs"/>
          <w:bCs/>
          <w:sz w:val="32"/>
          <w:szCs w:val="32"/>
          <w:rtl/>
          <w:lang w:bidi="ar-DZ"/>
        </w:rPr>
        <w:t>ـ</w:t>
      </w:r>
      <w:r>
        <w:rPr>
          <w:rFonts w:cs="Simplified Arabic" w:hint="cs"/>
          <w:bCs/>
          <w:sz w:val="32"/>
          <w:szCs w:val="32"/>
          <w:u w:val="single"/>
          <w:rtl/>
          <w:lang w:bidi="ar-DZ"/>
        </w:rPr>
        <w:t xml:space="preserve"> المطلب الثاني</w:t>
      </w:r>
      <w:r>
        <w:rPr>
          <w:rFonts w:cs="Simplified Arabic" w:hint="cs"/>
          <w:bCs/>
          <w:sz w:val="32"/>
          <w:szCs w:val="32"/>
          <w:rtl/>
          <w:lang w:bidi="ar-DZ"/>
        </w:rPr>
        <w:t>: دور القاضي في القوانين الحديثة:</w:t>
      </w:r>
    </w:p>
    <w:p w:rsidR="00304C81" w:rsidRDefault="00304C81" w:rsidP="00304C81">
      <w:pPr>
        <w:pStyle w:val="Paragraphedeliste"/>
        <w:tabs>
          <w:tab w:val="right" w:pos="849"/>
        </w:tabs>
        <w:bidi/>
        <w:spacing w:after="0"/>
        <w:ind w:left="-2" w:firstLine="567"/>
        <w:jc w:val="both"/>
        <w:rPr>
          <w:rFonts w:cs="Simplified Arabic"/>
          <w:sz w:val="28"/>
          <w:szCs w:val="28"/>
          <w:lang w:bidi="ar-DZ"/>
        </w:rPr>
      </w:pPr>
      <w:r>
        <w:rPr>
          <w:rFonts w:cs="Simplified Arabic" w:hint="cs"/>
          <w:sz w:val="28"/>
          <w:szCs w:val="28"/>
          <w:rtl/>
          <w:lang w:bidi="ar-DZ"/>
        </w:rPr>
        <w:t>يستمد تطور دور القاضي الإثبات في الإثبات تَطور فكرة المبدأ التقليدي الذي يجعل الخصومة ملك للخصوم، وهذه النظرة الضيقة إلى الخصومة المدنية قد تغيرت في الوقت الحالي، فحياد القاضي أصبح لا يتنافى مع سلوكه الإيجابي في توجيه سير الخصومة بما في ذلك أدلة الإثبات فيها.</w:t>
      </w:r>
      <w:r>
        <w:rPr>
          <w:rStyle w:val="Appelnotedebasdep"/>
          <w:rFonts w:cs="Simplified Arabic"/>
          <w:sz w:val="28"/>
          <w:szCs w:val="28"/>
          <w:lang w:bidi="ar-DZ"/>
        </w:rPr>
        <w:t>)</w:t>
      </w:r>
      <w:r>
        <w:rPr>
          <w:rStyle w:val="Appelnotedebasdep"/>
          <w:rFonts w:cs="Simplified Arabic" w:hint="cs"/>
          <w:sz w:val="28"/>
          <w:szCs w:val="28"/>
          <w:rtl/>
          <w:lang w:bidi="ar-DZ"/>
        </w:rPr>
        <w:t>3</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4"/>
        <w:t>(</w:t>
      </w:r>
    </w:p>
    <w:p w:rsidR="00304C81" w:rsidRDefault="00304C81" w:rsidP="00304C81">
      <w:pPr>
        <w:pStyle w:val="Paragraphedeliste"/>
        <w:tabs>
          <w:tab w:val="right" w:pos="849"/>
        </w:tabs>
        <w:bidi/>
        <w:spacing w:after="0"/>
        <w:ind w:left="-2" w:firstLine="567"/>
        <w:jc w:val="both"/>
        <w:rPr>
          <w:rFonts w:cs="Simplified Arabic"/>
          <w:sz w:val="28"/>
          <w:szCs w:val="28"/>
          <w:rtl/>
          <w:lang w:bidi="ar-DZ"/>
        </w:rPr>
      </w:pPr>
      <w:r>
        <w:rPr>
          <w:rFonts w:cs="Simplified Arabic" w:hint="cs"/>
          <w:sz w:val="28"/>
          <w:szCs w:val="28"/>
          <w:rtl/>
          <w:lang w:bidi="ar-DZ"/>
        </w:rPr>
        <w:lastRenderedPageBreak/>
        <w:t>دعما للدور الإيجابي للقاضي المدني، فقد أعطى قانون الإجراءات المدنية والإدارية بعض السلطات في توجيه وتسيير الخصومة .</w:t>
      </w:r>
      <w:r>
        <w:rPr>
          <w:rStyle w:val="Appelnotedebasdep"/>
          <w:rFonts w:cs="Simplified Arabic"/>
          <w:sz w:val="28"/>
          <w:szCs w:val="28"/>
          <w:lang w:bidi="ar-DZ"/>
        </w:rPr>
        <w:t>)</w:t>
      </w:r>
      <w:r>
        <w:rPr>
          <w:rStyle w:val="Appelnotedebasdep"/>
          <w:rFonts w:cs="Simplified Arabic" w:hint="cs"/>
          <w:sz w:val="28"/>
          <w:szCs w:val="28"/>
          <w:rtl/>
          <w:lang w:bidi="ar-DZ"/>
        </w:rPr>
        <w:t>1</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5"/>
        <w:t>(</w:t>
      </w:r>
      <w:r>
        <w:rPr>
          <w:rFonts w:cs="Simplified Arabic" w:hint="cs"/>
          <w:sz w:val="28"/>
          <w:szCs w:val="28"/>
          <w:rtl/>
          <w:lang w:bidi="ar-DZ"/>
        </w:rPr>
        <w:t>فله توجيه اليمين، والأمر بحضور الخصوم لاستجوابهم والحكم بندب خبير.</w:t>
      </w:r>
    </w:p>
    <w:p w:rsidR="00304C81" w:rsidRDefault="00304C81" w:rsidP="00304C81">
      <w:pPr>
        <w:pStyle w:val="Paragraphedeliste"/>
        <w:tabs>
          <w:tab w:val="right" w:pos="849"/>
        </w:tabs>
        <w:bidi/>
        <w:spacing w:after="0"/>
        <w:ind w:left="-2" w:firstLine="567"/>
        <w:jc w:val="both"/>
        <w:rPr>
          <w:rFonts w:cs="Simplified Arabic"/>
          <w:sz w:val="28"/>
          <w:szCs w:val="28"/>
          <w:rtl/>
          <w:lang w:bidi="ar-DZ"/>
        </w:rPr>
      </w:pPr>
      <w:r>
        <w:rPr>
          <w:rFonts w:cs="Simplified Arabic" w:hint="cs"/>
          <w:sz w:val="28"/>
          <w:szCs w:val="28"/>
          <w:rtl/>
          <w:lang w:bidi="ar-DZ"/>
        </w:rPr>
        <w:t>وبهذا أصبح الفكر القانوني الحديث يميل إلى إلقاء عبء البحث عن الحقيقة على عاتق القاضي، بدلا من أن يقتصر دوره على دور المحكم، فلم تعد لدعوى ملكا لطرفيها، وبذلك لا يمكن أن تتحقق العدالة إذا أمكن لسوء نية أحد الخصمين، أو عدم مهارة اخصم الأخر أن يحول دون كشف الحقيقة، وتبنى المشرع الجزائري هذه الفكرة.</w:t>
      </w:r>
    </w:p>
    <w:p w:rsidR="00304C81" w:rsidRDefault="00304C81" w:rsidP="00304C81">
      <w:pPr>
        <w:pStyle w:val="Paragraphedeliste"/>
        <w:tabs>
          <w:tab w:val="right" w:pos="849"/>
        </w:tabs>
        <w:bidi/>
        <w:spacing w:after="0"/>
        <w:ind w:left="-2" w:firstLine="567"/>
        <w:jc w:val="both"/>
        <w:rPr>
          <w:rFonts w:cs="Simplified Arabic"/>
          <w:sz w:val="16"/>
          <w:szCs w:val="16"/>
          <w:rtl/>
          <w:lang w:bidi="ar-DZ"/>
        </w:rPr>
      </w:pPr>
    </w:p>
    <w:p w:rsidR="00304C81" w:rsidRDefault="00304C81" w:rsidP="00304C81">
      <w:pPr>
        <w:tabs>
          <w:tab w:val="right" w:pos="282"/>
        </w:tabs>
        <w:bidi/>
        <w:spacing w:after="0"/>
        <w:ind w:hanging="2"/>
        <w:jc w:val="both"/>
        <w:rPr>
          <w:rFonts w:cs="Simplified Arabic"/>
          <w:sz w:val="10"/>
          <w:szCs w:val="10"/>
          <w:rtl/>
          <w:lang w:bidi="ar-DZ"/>
        </w:rPr>
      </w:pPr>
    </w:p>
    <w:p w:rsidR="00304C81" w:rsidRDefault="00304C81" w:rsidP="00304C81">
      <w:pPr>
        <w:tabs>
          <w:tab w:val="right" w:pos="282"/>
        </w:tabs>
        <w:bidi/>
        <w:spacing w:after="0"/>
        <w:ind w:hanging="2"/>
        <w:jc w:val="both"/>
        <w:rPr>
          <w:rFonts w:cs="Simplified Arabic"/>
          <w:sz w:val="10"/>
          <w:szCs w:val="10"/>
          <w:rtl/>
          <w:lang w:bidi="ar-DZ"/>
        </w:rPr>
      </w:pPr>
    </w:p>
    <w:p w:rsidR="00304C81" w:rsidRDefault="00304C81" w:rsidP="00304C81">
      <w:pPr>
        <w:tabs>
          <w:tab w:val="right" w:pos="282"/>
        </w:tabs>
        <w:bidi/>
        <w:spacing w:after="0"/>
        <w:ind w:hanging="2"/>
        <w:jc w:val="center"/>
        <w:rPr>
          <w:rFonts w:cs="Simplified Arabic"/>
          <w:sz w:val="36"/>
          <w:szCs w:val="36"/>
          <w:rtl/>
          <w:lang w:bidi="ar-DZ"/>
        </w:rPr>
      </w:pPr>
      <w:r>
        <w:rPr>
          <w:rFonts w:cs="Simplified Arabic" w:hint="cs"/>
          <w:sz w:val="36"/>
          <w:szCs w:val="36"/>
          <w:rtl/>
          <w:lang w:bidi="ar-DZ"/>
        </w:rPr>
        <w:t>المبحث الثاني</w:t>
      </w:r>
    </w:p>
    <w:p w:rsidR="00304C81" w:rsidRDefault="00304C81" w:rsidP="00304C81">
      <w:pPr>
        <w:tabs>
          <w:tab w:val="right" w:pos="282"/>
        </w:tabs>
        <w:bidi/>
        <w:spacing w:after="0"/>
        <w:ind w:hanging="2"/>
        <w:jc w:val="center"/>
        <w:rPr>
          <w:rFonts w:cs="Simplified Arabic"/>
          <w:sz w:val="36"/>
          <w:szCs w:val="36"/>
          <w:rtl/>
          <w:lang w:bidi="ar-DZ"/>
        </w:rPr>
      </w:pPr>
      <w:r>
        <w:rPr>
          <w:rFonts w:cs="Simplified Arabic" w:hint="cs"/>
          <w:sz w:val="36"/>
          <w:szCs w:val="36"/>
          <w:rtl/>
          <w:lang w:bidi="ar-DZ"/>
        </w:rPr>
        <w:t xml:space="preserve"> الخصوم وحقهم في الإثبات.</w:t>
      </w:r>
    </w:p>
    <w:p w:rsidR="00304C81" w:rsidRDefault="00304C81" w:rsidP="00304C81">
      <w:pPr>
        <w:pStyle w:val="Paragraphedeliste"/>
        <w:tabs>
          <w:tab w:val="right" w:pos="849"/>
        </w:tabs>
        <w:bidi/>
        <w:spacing w:after="0"/>
        <w:ind w:left="-2" w:firstLine="567"/>
        <w:jc w:val="both"/>
        <w:rPr>
          <w:rFonts w:cs="Simplified Arabic"/>
          <w:sz w:val="16"/>
          <w:szCs w:val="16"/>
          <w:rtl/>
          <w:lang w:bidi="ar-DZ"/>
        </w:rPr>
      </w:pPr>
    </w:p>
    <w:p w:rsidR="00304C81" w:rsidRDefault="00304C81" w:rsidP="00304C81">
      <w:pPr>
        <w:pStyle w:val="Paragraphedeliste"/>
        <w:tabs>
          <w:tab w:val="right" w:pos="849"/>
        </w:tabs>
        <w:bidi/>
        <w:spacing w:after="0"/>
        <w:ind w:left="-2" w:firstLine="567"/>
        <w:jc w:val="both"/>
        <w:rPr>
          <w:rFonts w:cs="Simplified Arabic"/>
          <w:sz w:val="16"/>
          <w:szCs w:val="16"/>
          <w:rtl/>
          <w:lang w:bidi="ar-DZ"/>
        </w:rPr>
      </w:pPr>
    </w:p>
    <w:p w:rsidR="00304C81" w:rsidRDefault="00304C81" w:rsidP="00304C81">
      <w:pPr>
        <w:pStyle w:val="Paragraphedeliste"/>
        <w:tabs>
          <w:tab w:val="right" w:pos="849"/>
        </w:tabs>
        <w:bidi/>
        <w:spacing w:after="0"/>
        <w:ind w:left="-2" w:firstLine="567"/>
        <w:jc w:val="both"/>
        <w:rPr>
          <w:rFonts w:cs="Simplified Arabic"/>
          <w:sz w:val="28"/>
          <w:szCs w:val="28"/>
          <w:rtl/>
          <w:lang w:bidi="ar-DZ"/>
        </w:rPr>
      </w:pPr>
      <w:r>
        <w:rPr>
          <w:rFonts w:cs="Simplified Arabic" w:hint="cs"/>
          <w:sz w:val="28"/>
          <w:szCs w:val="28"/>
          <w:rtl/>
          <w:lang w:bidi="ar-DZ"/>
        </w:rPr>
        <w:t>نتناول في هذا المبحث الحق في الإثبات ومبدأ المجابهة بالدليل، بعد ذلك عن حدود هذا الحق.</w:t>
      </w:r>
    </w:p>
    <w:p w:rsidR="00304C81" w:rsidRDefault="00304C81" w:rsidP="00304C81">
      <w:pPr>
        <w:pStyle w:val="Paragraphedeliste"/>
        <w:tabs>
          <w:tab w:val="right" w:pos="849"/>
        </w:tabs>
        <w:bidi/>
        <w:spacing w:after="0"/>
        <w:ind w:left="-2" w:firstLine="567"/>
        <w:jc w:val="both"/>
        <w:rPr>
          <w:rFonts w:cs="Simplified Arabic"/>
          <w:sz w:val="16"/>
          <w:szCs w:val="16"/>
          <w:rtl/>
          <w:lang w:bidi="ar-DZ"/>
        </w:rPr>
      </w:pPr>
    </w:p>
    <w:p w:rsidR="00304C81" w:rsidRDefault="00304C81" w:rsidP="00304C81">
      <w:pPr>
        <w:tabs>
          <w:tab w:val="right" w:pos="849"/>
        </w:tabs>
        <w:bidi/>
        <w:spacing w:after="0"/>
        <w:jc w:val="both"/>
        <w:rPr>
          <w:rFonts w:cs="Simplified Arabic"/>
          <w:bCs/>
          <w:sz w:val="32"/>
          <w:szCs w:val="32"/>
          <w:rtl/>
          <w:lang w:bidi="ar-DZ"/>
        </w:rPr>
      </w:pPr>
      <w:r>
        <w:rPr>
          <w:rFonts w:cs="Simplified Arabic" w:hint="cs"/>
          <w:bCs/>
          <w:sz w:val="32"/>
          <w:szCs w:val="32"/>
          <w:rtl/>
          <w:lang w:bidi="ar-DZ"/>
        </w:rPr>
        <w:t>ـ</w:t>
      </w:r>
      <w:r>
        <w:rPr>
          <w:rFonts w:cs="Simplified Arabic" w:hint="cs"/>
          <w:bCs/>
          <w:sz w:val="32"/>
          <w:szCs w:val="32"/>
          <w:u w:val="single"/>
          <w:rtl/>
          <w:lang w:bidi="ar-DZ"/>
        </w:rPr>
        <w:t xml:space="preserve"> المطلب الأول</w:t>
      </w:r>
      <w:r>
        <w:rPr>
          <w:rFonts w:cs="Simplified Arabic" w:hint="cs"/>
          <w:bCs/>
          <w:sz w:val="32"/>
          <w:szCs w:val="32"/>
          <w:rtl/>
          <w:lang w:bidi="ar-DZ"/>
        </w:rPr>
        <w:t>: مبدأ المجابهة بالدليل:</w:t>
      </w:r>
    </w:p>
    <w:p w:rsidR="00304C81" w:rsidRDefault="00304C81" w:rsidP="00304C81">
      <w:pPr>
        <w:pStyle w:val="Paragraphedeliste"/>
        <w:tabs>
          <w:tab w:val="right" w:pos="849"/>
        </w:tabs>
        <w:bidi/>
        <w:spacing w:after="0"/>
        <w:ind w:left="-2" w:firstLine="567"/>
        <w:jc w:val="both"/>
        <w:rPr>
          <w:rFonts w:cs="Simplified Arabic"/>
          <w:b/>
          <w:sz w:val="28"/>
          <w:szCs w:val="28"/>
          <w:rtl/>
          <w:lang w:bidi="ar-DZ"/>
        </w:rPr>
      </w:pPr>
      <w:r>
        <w:rPr>
          <w:rFonts w:cs="Simplified Arabic" w:hint="cs"/>
          <w:b/>
          <w:sz w:val="28"/>
          <w:szCs w:val="28"/>
          <w:rtl/>
          <w:lang w:bidi="ar-DZ"/>
        </w:rPr>
        <w:t>للخصوم في الإثبات دور إيجابي على نقيض دور القاضي، على الخصم أن يثبت إدعاءه فإذا لم يصل، بما يقدمه من أدلة، إلى إقناع القاضي بصحة ادعائه، خسر دعواه دون حاجة إلى تقدير أدلة خصمه</w:t>
      </w:r>
      <w:r>
        <w:rPr>
          <w:rStyle w:val="Appelnotedebasdep"/>
          <w:rFonts w:cs="Simplified Arabic"/>
          <w:sz w:val="28"/>
          <w:szCs w:val="28"/>
          <w:lang w:bidi="ar-DZ"/>
        </w:rPr>
        <w:t>)</w:t>
      </w:r>
      <w:r>
        <w:rPr>
          <w:rStyle w:val="Appelnotedebasdep"/>
          <w:rFonts w:cs="Simplified Arabic" w:hint="cs"/>
          <w:sz w:val="28"/>
          <w:szCs w:val="28"/>
          <w:rtl/>
          <w:lang w:bidi="ar-DZ"/>
        </w:rPr>
        <w:t>2</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6"/>
        <w:t>(</w:t>
      </w:r>
      <w:r>
        <w:rPr>
          <w:rFonts w:cs="Simplified Arabic" w:hint="cs"/>
          <w:b/>
          <w:sz w:val="28"/>
          <w:szCs w:val="28"/>
          <w:rtl/>
          <w:lang w:bidi="ar-DZ"/>
        </w:rPr>
        <w:t>، فالإثبات شرط للحكم للخصم بادعائه.</w:t>
      </w:r>
    </w:p>
    <w:p w:rsidR="00304C81" w:rsidRDefault="00304C81" w:rsidP="00304C81">
      <w:pPr>
        <w:pStyle w:val="Paragraphedeliste"/>
        <w:tabs>
          <w:tab w:val="right" w:pos="849"/>
        </w:tabs>
        <w:bidi/>
        <w:spacing w:after="0"/>
        <w:ind w:left="-2"/>
        <w:jc w:val="both"/>
        <w:rPr>
          <w:rFonts w:cs="Simplified Arabic"/>
          <w:b/>
          <w:sz w:val="28"/>
          <w:szCs w:val="28"/>
          <w:rtl/>
          <w:lang w:bidi="ar-DZ"/>
        </w:rPr>
      </w:pPr>
      <w:r>
        <w:rPr>
          <w:rFonts w:cs="Simplified Arabic" w:hint="cs"/>
          <w:b/>
          <w:sz w:val="28"/>
          <w:szCs w:val="28"/>
          <w:rtl/>
          <w:lang w:bidi="ar-DZ"/>
        </w:rPr>
        <w:t>وليس بالمعنى الدقيق واجبا عليه، لا يستطيع القاضي أن يحرمه منه، دون أن يبين في الحكم الأسباب التي تبرر رفض طلبه، وحماية لهذا الحق ولكفالة استعماله أقيمت حصانة قضائية للخصوم عما يصدر منهم من جرائم سب أو قذف في استعماله.</w:t>
      </w:r>
      <w:r>
        <w:rPr>
          <w:rStyle w:val="Appelnotedebasdep"/>
          <w:rFonts w:cs="Simplified Arabic"/>
          <w:sz w:val="28"/>
          <w:szCs w:val="28"/>
          <w:lang w:bidi="ar-DZ"/>
        </w:rPr>
        <w:t>)</w:t>
      </w:r>
      <w:r>
        <w:rPr>
          <w:rStyle w:val="Appelnotedebasdep"/>
          <w:rFonts w:cs="Simplified Arabic" w:hint="cs"/>
          <w:sz w:val="28"/>
          <w:szCs w:val="28"/>
          <w:rtl/>
          <w:lang w:bidi="ar-DZ"/>
        </w:rPr>
        <w:t>3</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7"/>
        <w:t>(</w:t>
      </w:r>
    </w:p>
    <w:p w:rsidR="00304C81" w:rsidRDefault="00304C81" w:rsidP="00304C81">
      <w:pPr>
        <w:pStyle w:val="Paragraphedeliste"/>
        <w:tabs>
          <w:tab w:val="right" w:pos="849"/>
        </w:tabs>
        <w:bidi/>
        <w:spacing w:after="0"/>
        <w:ind w:left="-2" w:firstLine="567"/>
        <w:jc w:val="both"/>
        <w:rPr>
          <w:rFonts w:cs="Simplified Arabic"/>
          <w:b/>
          <w:sz w:val="28"/>
          <w:szCs w:val="28"/>
          <w:rtl/>
          <w:lang w:bidi="ar-DZ"/>
        </w:rPr>
      </w:pPr>
      <w:r>
        <w:rPr>
          <w:rFonts w:cs="Simplified Arabic" w:hint="cs"/>
          <w:b/>
          <w:sz w:val="28"/>
          <w:szCs w:val="28"/>
          <w:rtl/>
          <w:lang w:bidi="ar-DZ"/>
        </w:rPr>
        <w:t>ويكون للخصم الآخر، تطبيقا لنفس المبدأ، ـن يدحض كل دليل يقدمه خصمه ليثبت عكس ما يدعيه ويكون للخصم إنكار خطه أو توقيعه إذا كان الدليل ضده محرر عرفيا، والطعن فيه بالتزوير متى كان محرر سميًا.</w:t>
      </w:r>
    </w:p>
    <w:p w:rsidR="00304C81" w:rsidRDefault="00304C81" w:rsidP="00304C81">
      <w:pPr>
        <w:pStyle w:val="Paragraphedeliste"/>
        <w:tabs>
          <w:tab w:val="right" w:pos="849"/>
        </w:tabs>
        <w:bidi/>
        <w:spacing w:after="0"/>
        <w:ind w:left="-2" w:firstLine="567"/>
        <w:jc w:val="both"/>
        <w:rPr>
          <w:rFonts w:cs="Simplified Arabic"/>
          <w:sz w:val="28"/>
          <w:szCs w:val="28"/>
          <w:rtl/>
          <w:lang w:bidi="ar-DZ"/>
        </w:rPr>
      </w:pPr>
      <w:r>
        <w:rPr>
          <w:rFonts w:cs="Simplified Arabic" w:hint="cs"/>
          <w:b/>
          <w:sz w:val="28"/>
          <w:szCs w:val="28"/>
          <w:rtl/>
          <w:lang w:bidi="ar-DZ"/>
        </w:rPr>
        <w:t>وإذا كان تقديم الأدلة جائزا إلى حين قفل باب المرافعة، فإنه يجب مع ذلك تقديمها بوقت كافي يسمح بإعمال مبدأ المواجهة.</w:t>
      </w:r>
      <w:r>
        <w:rPr>
          <w:rStyle w:val="Appelnotedebasdep"/>
          <w:rFonts w:cs="Simplified Arabic"/>
          <w:sz w:val="28"/>
          <w:szCs w:val="28"/>
          <w:lang w:bidi="ar-DZ"/>
        </w:rPr>
        <w:t>)</w:t>
      </w:r>
      <w:r>
        <w:rPr>
          <w:rStyle w:val="Appelnotedebasdep"/>
          <w:rFonts w:cs="Simplified Arabic" w:hint="cs"/>
          <w:sz w:val="28"/>
          <w:szCs w:val="28"/>
          <w:rtl/>
          <w:lang w:bidi="ar-DZ"/>
        </w:rPr>
        <w:t>4</w:t>
      </w:r>
      <w:r>
        <w:rPr>
          <w:rStyle w:val="Appelnotedebasdep"/>
          <w:rFonts w:cs="Simplified Arabic"/>
          <w:sz w:val="28"/>
          <w:szCs w:val="28"/>
          <w:lang w:bidi="ar-DZ"/>
        </w:rPr>
        <w:footnoteReference w:customMarkFollows="1" w:id="8"/>
        <w:t>(</w:t>
      </w:r>
    </w:p>
    <w:p w:rsidR="00B74550" w:rsidRDefault="00B74550" w:rsidP="00B74550">
      <w:pPr>
        <w:pStyle w:val="Paragraphedeliste"/>
        <w:tabs>
          <w:tab w:val="right" w:pos="849"/>
        </w:tabs>
        <w:bidi/>
        <w:spacing w:after="0"/>
        <w:ind w:left="-2" w:firstLine="567"/>
        <w:jc w:val="both"/>
        <w:rPr>
          <w:rFonts w:cs="Simplified Arabic"/>
          <w:sz w:val="28"/>
          <w:szCs w:val="28"/>
          <w:rtl/>
          <w:lang w:bidi="ar-DZ"/>
        </w:rPr>
      </w:pPr>
    </w:p>
    <w:p w:rsidR="00E465A7" w:rsidRDefault="00E465A7" w:rsidP="00304C81">
      <w:pPr>
        <w:tabs>
          <w:tab w:val="right" w:pos="849"/>
        </w:tabs>
        <w:bidi/>
        <w:spacing w:after="0"/>
        <w:jc w:val="both"/>
        <w:rPr>
          <w:rFonts w:cs="Simplified Arabic" w:hint="cs"/>
          <w:bCs/>
          <w:sz w:val="32"/>
          <w:szCs w:val="32"/>
          <w:rtl/>
          <w:lang w:bidi="ar-DZ"/>
        </w:rPr>
      </w:pPr>
    </w:p>
    <w:p w:rsidR="00304C81" w:rsidRDefault="00304C81" w:rsidP="00E465A7">
      <w:pPr>
        <w:tabs>
          <w:tab w:val="right" w:pos="849"/>
        </w:tabs>
        <w:bidi/>
        <w:spacing w:after="0"/>
        <w:jc w:val="both"/>
        <w:rPr>
          <w:rFonts w:cs="Simplified Arabic"/>
          <w:bCs/>
          <w:sz w:val="32"/>
          <w:szCs w:val="32"/>
          <w:rtl/>
          <w:lang w:bidi="ar-DZ"/>
        </w:rPr>
      </w:pPr>
      <w:r>
        <w:rPr>
          <w:rFonts w:cs="Simplified Arabic" w:hint="cs"/>
          <w:bCs/>
          <w:sz w:val="32"/>
          <w:szCs w:val="32"/>
          <w:rtl/>
          <w:lang w:bidi="ar-DZ"/>
        </w:rPr>
        <w:lastRenderedPageBreak/>
        <w:t>ـ</w:t>
      </w:r>
      <w:r>
        <w:rPr>
          <w:rFonts w:cs="Simplified Arabic" w:hint="cs"/>
          <w:bCs/>
          <w:sz w:val="32"/>
          <w:szCs w:val="32"/>
          <w:u w:val="single"/>
          <w:rtl/>
          <w:lang w:bidi="ar-DZ"/>
        </w:rPr>
        <w:t xml:space="preserve"> المطلب الثاني</w:t>
      </w:r>
      <w:r>
        <w:rPr>
          <w:rFonts w:cs="Simplified Arabic" w:hint="cs"/>
          <w:bCs/>
          <w:sz w:val="32"/>
          <w:szCs w:val="32"/>
          <w:rtl/>
          <w:lang w:bidi="ar-DZ"/>
        </w:rPr>
        <w:t xml:space="preserve">: حدود حق الخصوم في الإثبات: </w:t>
      </w:r>
    </w:p>
    <w:p w:rsidR="00304C81" w:rsidRDefault="00304C81" w:rsidP="00304C81">
      <w:pPr>
        <w:tabs>
          <w:tab w:val="right" w:pos="849"/>
        </w:tabs>
        <w:bidi/>
        <w:spacing w:after="0"/>
        <w:jc w:val="both"/>
        <w:rPr>
          <w:rFonts w:cs="Simplified Arabic"/>
          <w:bCs/>
          <w:sz w:val="16"/>
          <w:szCs w:val="16"/>
          <w:rtl/>
          <w:lang w:bidi="ar-DZ"/>
        </w:rPr>
      </w:pPr>
    </w:p>
    <w:p w:rsidR="00304C81" w:rsidRDefault="00304C81" w:rsidP="00304C81">
      <w:pPr>
        <w:pStyle w:val="Paragraphedeliste"/>
        <w:tabs>
          <w:tab w:val="right" w:pos="849"/>
        </w:tabs>
        <w:bidi/>
        <w:spacing w:after="0"/>
        <w:ind w:left="-2" w:firstLine="567"/>
        <w:jc w:val="both"/>
        <w:rPr>
          <w:rFonts w:cs="Simplified Arabic"/>
          <w:b/>
          <w:sz w:val="28"/>
          <w:szCs w:val="28"/>
          <w:rtl/>
          <w:lang w:bidi="ar-DZ"/>
        </w:rPr>
      </w:pPr>
      <w:r>
        <w:rPr>
          <w:rFonts w:cs="Simplified Arabic" w:hint="cs"/>
          <w:b/>
          <w:sz w:val="28"/>
          <w:szCs w:val="28"/>
          <w:rtl/>
          <w:lang w:bidi="ar-DZ"/>
        </w:rPr>
        <w:t>على أن حق الخصوم في الإثبات يتقيد من ناحية بقواعد القانون التي تحدد شروط الواقعة محل الإثبات، ليكون إثباتها جائزًا، وتعين طرق معينة لإثبات الإدعاء أو لنقص الأدلة فلا يجوز للخصم أن يقيم الدليل على واقعة لا يجيز القانون إثباتها.</w:t>
      </w:r>
    </w:p>
    <w:p w:rsidR="00304C81" w:rsidRDefault="00304C81" w:rsidP="00304C81">
      <w:pPr>
        <w:pStyle w:val="Paragraphedeliste"/>
        <w:tabs>
          <w:tab w:val="right" w:pos="849"/>
        </w:tabs>
        <w:bidi/>
        <w:spacing w:after="0"/>
        <w:ind w:left="-2" w:firstLine="567"/>
        <w:jc w:val="both"/>
        <w:rPr>
          <w:rFonts w:cs="Simplified Arabic"/>
          <w:b/>
          <w:sz w:val="28"/>
          <w:szCs w:val="28"/>
          <w:rtl/>
          <w:lang w:bidi="ar-DZ"/>
        </w:rPr>
      </w:pPr>
      <w:r>
        <w:rPr>
          <w:rFonts w:cs="Simplified Arabic" w:hint="cs"/>
          <w:b/>
          <w:sz w:val="28"/>
          <w:szCs w:val="28"/>
          <w:rtl/>
          <w:lang w:bidi="ar-DZ"/>
        </w:rPr>
        <w:t>وحق الخصم في الإثبات يتقيد من ناحية أخرى بالسلطة التقديرية لقاضي الموضوع في قبول طلب الأمر بإجراء تحقيق للإثبات أو رفضه، وله أن يرفض السير في إجراءات الطعن بالتزوير إذ اقتنع بصحة المحرر محل الطعن.</w:t>
      </w:r>
      <w:r>
        <w:rPr>
          <w:rStyle w:val="Appelnotedebasdep"/>
          <w:rFonts w:cs="Simplified Arabic"/>
          <w:sz w:val="28"/>
          <w:szCs w:val="28"/>
          <w:lang w:bidi="ar-DZ"/>
        </w:rPr>
        <w:t>)</w:t>
      </w:r>
      <w:r>
        <w:rPr>
          <w:rStyle w:val="Appelnotedebasdep"/>
          <w:rFonts w:cs="Simplified Arabic" w:hint="cs"/>
          <w:sz w:val="28"/>
          <w:szCs w:val="28"/>
          <w:rtl/>
          <w:lang w:bidi="ar-DZ"/>
        </w:rPr>
        <w:t>1</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9"/>
        <w:t>(</w:t>
      </w:r>
      <w:r>
        <w:rPr>
          <w:rFonts w:cs="Simplified Arabic" w:hint="cs"/>
          <w:b/>
          <w:sz w:val="28"/>
          <w:szCs w:val="28"/>
          <w:rtl/>
          <w:lang w:bidi="ar-DZ"/>
        </w:rPr>
        <w:t xml:space="preserve"> </w:t>
      </w:r>
    </w:p>
    <w:p w:rsidR="00304C81" w:rsidRDefault="00304C81" w:rsidP="00304C81">
      <w:pPr>
        <w:pStyle w:val="Paragraphedeliste"/>
        <w:tabs>
          <w:tab w:val="right" w:pos="849"/>
        </w:tabs>
        <w:bidi/>
        <w:spacing w:after="0"/>
        <w:ind w:left="-2" w:firstLine="567"/>
        <w:jc w:val="both"/>
        <w:rPr>
          <w:rFonts w:cs="Simplified Arabic"/>
          <w:b/>
          <w:sz w:val="28"/>
          <w:szCs w:val="28"/>
          <w:rtl/>
          <w:lang w:bidi="ar-DZ"/>
        </w:rPr>
      </w:pPr>
      <w:r>
        <w:rPr>
          <w:rFonts w:cs="Simplified Arabic" w:hint="cs"/>
          <w:b/>
          <w:sz w:val="28"/>
          <w:szCs w:val="28"/>
          <w:rtl/>
          <w:lang w:bidi="ar-DZ"/>
        </w:rPr>
        <w:t xml:space="preserve">وحرية الخصوم في تقديم الأدلة مقيدة أخيرا بالتزامهم بملاحظة حد أدنى من الأمانة- وليس المقصود منه قول الحقيقة- وهو التزام لصيق بمبدأ المواجهة بمفهومه الصحيح، فلا يجوز للخصم أن يقدم وثائق وسندات حصل عليها بطريق الغش، وكما يجب على الخصم التحفظ الذي تفرضه المبادئ العامة، </w:t>
      </w:r>
    </w:p>
    <w:p w:rsidR="00304C81" w:rsidRDefault="00304C81" w:rsidP="00304C81">
      <w:pPr>
        <w:pStyle w:val="Paragraphedeliste"/>
        <w:tabs>
          <w:tab w:val="right" w:pos="849"/>
        </w:tabs>
        <w:bidi/>
        <w:spacing w:after="0"/>
        <w:ind w:left="-2"/>
        <w:jc w:val="both"/>
        <w:rPr>
          <w:rFonts w:cs="Simplified Arabic"/>
          <w:sz w:val="28"/>
          <w:szCs w:val="28"/>
          <w:rtl/>
          <w:lang w:bidi="ar-DZ"/>
        </w:rPr>
      </w:pPr>
      <w:r>
        <w:rPr>
          <w:rFonts w:cs="Simplified Arabic" w:hint="cs"/>
          <w:b/>
          <w:sz w:val="28"/>
          <w:szCs w:val="28"/>
          <w:rtl/>
          <w:lang w:bidi="ar-DZ"/>
        </w:rPr>
        <w:t>وكذلك مراعاة الاحترام الواجب للعدالة.</w:t>
      </w:r>
      <w:r>
        <w:rPr>
          <w:rStyle w:val="Appelnotedebasdep"/>
          <w:rFonts w:cs="Simplified Arabic"/>
          <w:sz w:val="28"/>
          <w:szCs w:val="28"/>
          <w:lang w:bidi="ar-DZ"/>
        </w:rPr>
        <w:t>)</w:t>
      </w:r>
      <w:r>
        <w:rPr>
          <w:rStyle w:val="Appelnotedebasdep"/>
          <w:rFonts w:cs="Simplified Arabic" w:hint="cs"/>
          <w:sz w:val="28"/>
          <w:szCs w:val="28"/>
          <w:rtl/>
          <w:lang w:bidi="ar-DZ"/>
        </w:rPr>
        <w:t>2</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10"/>
        <w:t>(</w:t>
      </w:r>
    </w:p>
    <w:p w:rsidR="00304C81" w:rsidRDefault="00304C81" w:rsidP="00304C81">
      <w:pPr>
        <w:pStyle w:val="Paragraphedeliste"/>
        <w:tabs>
          <w:tab w:val="right" w:pos="849"/>
        </w:tabs>
        <w:bidi/>
        <w:spacing w:after="0"/>
        <w:ind w:left="-2" w:firstLine="567"/>
        <w:jc w:val="both"/>
        <w:rPr>
          <w:rFonts w:cs="Simplified Arabic"/>
          <w:sz w:val="28"/>
          <w:szCs w:val="28"/>
          <w:rtl/>
          <w:lang w:bidi="ar-DZ"/>
        </w:rPr>
      </w:pPr>
      <w:r>
        <w:rPr>
          <w:rFonts w:cs="Simplified Arabic" w:hint="cs"/>
          <w:sz w:val="28"/>
          <w:szCs w:val="28"/>
          <w:rtl/>
          <w:lang w:bidi="ar-DZ"/>
        </w:rPr>
        <w:t>ويتفرع على الحق في الإثبات، مبدأ المواجهة بين الخصوم ويقيده  مبادئ أساسية هي:</w:t>
      </w:r>
    </w:p>
    <w:p w:rsidR="00304C81" w:rsidRDefault="00304C81" w:rsidP="00304C81">
      <w:pPr>
        <w:pStyle w:val="Paragraphedeliste"/>
        <w:tabs>
          <w:tab w:val="right" w:pos="849"/>
        </w:tabs>
        <w:bidi/>
        <w:spacing w:after="0"/>
        <w:ind w:left="-2" w:firstLine="567"/>
        <w:jc w:val="both"/>
        <w:rPr>
          <w:rFonts w:cs="Simplified Arabic"/>
          <w:sz w:val="6"/>
          <w:szCs w:val="6"/>
          <w:rtl/>
          <w:lang w:bidi="ar-DZ"/>
        </w:rPr>
      </w:pPr>
    </w:p>
    <w:p w:rsidR="00304C81" w:rsidRDefault="00304C81" w:rsidP="00304C81">
      <w:pPr>
        <w:pStyle w:val="Paragraphedeliste"/>
        <w:numPr>
          <w:ilvl w:val="0"/>
          <w:numId w:val="13"/>
        </w:numPr>
        <w:tabs>
          <w:tab w:val="right" w:pos="423"/>
        </w:tabs>
        <w:bidi/>
        <w:spacing w:after="0"/>
        <w:ind w:left="-2" w:firstLine="0"/>
        <w:jc w:val="both"/>
        <w:rPr>
          <w:rFonts w:cs="Simplified Arabic"/>
          <w:sz w:val="28"/>
          <w:szCs w:val="28"/>
          <w:rtl/>
          <w:lang w:bidi="ar-DZ"/>
        </w:rPr>
      </w:pPr>
      <w:r>
        <w:rPr>
          <w:rFonts w:cs="Simplified Arabic" w:hint="cs"/>
          <w:b/>
          <w:bCs/>
          <w:sz w:val="28"/>
          <w:szCs w:val="28"/>
          <w:rtl/>
          <w:lang w:bidi="ar-DZ"/>
        </w:rPr>
        <w:t>لا جوز للخصم</w:t>
      </w:r>
      <w:r>
        <w:rPr>
          <w:rFonts w:cs="Simplified Arabic" w:hint="cs"/>
          <w:sz w:val="28"/>
          <w:szCs w:val="28"/>
          <w:rtl/>
          <w:lang w:bidi="ar-DZ"/>
        </w:rPr>
        <w:t xml:space="preserve"> </w:t>
      </w:r>
      <w:r>
        <w:rPr>
          <w:rFonts w:cs="Simplified Arabic" w:hint="cs"/>
          <w:b/>
          <w:bCs/>
          <w:sz w:val="28"/>
          <w:szCs w:val="28"/>
          <w:rtl/>
          <w:lang w:bidi="ar-DZ"/>
        </w:rPr>
        <w:t>أن يضع دليلا لنفسه</w:t>
      </w:r>
      <w:r>
        <w:rPr>
          <w:rFonts w:cs="Simplified Arabic" w:hint="cs"/>
          <w:sz w:val="28"/>
          <w:szCs w:val="28"/>
          <w:rtl/>
          <w:lang w:bidi="ar-DZ"/>
        </w:rPr>
        <w:t xml:space="preserve">: </w:t>
      </w:r>
    </w:p>
    <w:p w:rsidR="00304C81" w:rsidRDefault="00304C81" w:rsidP="00304C81">
      <w:pPr>
        <w:tabs>
          <w:tab w:val="right" w:pos="423"/>
        </w:tabs>
        <w:bidi/>
        <w:spacing w:after="0"/>
        <w:ind w:left="-2" w:firstLine="567"/>
        <w:jc w:val="both"/>
        <w:rPr>
          <w:rFonts w:cs="Simplified Arabic"/>
          <w:sz w:val="28"/>
          <w:szCs w:val="28"/>
          <w:lang w:bidi="ar-DZ"/>
        </w:rPr>
      </w:pPr>
      <w:r>
        <w:rPr>
          <w:rFonts w:cs="Simplified Arabic" w:hint="cs"/>
          <w:sz w:val="28"/>
          <w:szCs w:val="28"/>
          <w:rtl/>
          <w:lang w:bidi="ar-DZ"/>
        </w:rPr>
        <w:t>يجب بداهة أن يكون الدليل الذي يحتج به على الخصم، صادر منه ويتأسس هذا المبدأ على حرية احترام الأشخاص، واستقلال كل منهم على الأخر، فالشخص لا يمكن إلا أن يلتزم بما يصدر عنه، ولا يجوز من ثم، لخصم أن يحتج على خصمه بدليل يصنعه لنفسه، كمحرر أو فعل أو قول، صادر منه .</w:t>
      </w:r>
      <w:r>
        <w:rPr>
          <w:rStyle w:val="Appelnotedebasdep"/>
          <w:rFonts w:cs="Simplified Arabic"/>
          <w:sz w:val="28"/>
          <w:szCs w:val="28"/>
          <w:lang w:bidi="ar-DZ"/>
        </w:rPr>
        <w:t>)</w:t>
      </w:r>
      <w:r>
        <w:rPr>
          <w:rStyle w:val="Appelnotedebasdep"/>
          <w:rFonts w:cs="Simplified Arabic" w:hint="cs"/>
          <w:sz w:val="28"/>
          <w:szCs w:val="28"/>
          <w:rtl/>
          <w:lang w:bidi="ar-DZ"/>
        </w:rPr>
        <w:t>3</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11"/>
        <w:t>(</w:t>
      </w:r>
      <w:r>
        <w:rPr>
          <w:rFonts w:cs="Simplified Arabic" w:hint="cs"/>
          <w:sz w:val="28"/>
          <w:szCs w:val="28"/>
          <w:rtl/>
          <w:lang w:bidi="ar-DZ"/>
        </w:rPr>
        <w:t xml:space="preserve"> </w:t>
      </w:r>
    </w:p>
    <w:p w:rsidR="00304C81" w:rsidRDefault="00304C81" w:rsidP="00304C81">
      <w:pPr>
        <w:tabs>
          <w:tab w:val="right" w:pos="423"/>
        </w:tabs>
        <w:bidi/>
        <w:spacing w:after="0"/>
        <w:ind w:left="-2" w:firstLine="567"/>
        <w:jc w:val="both"/>
        <w:rPr>
          <w:rFonts w:cs="Simplified Arabic"/>
          <w:sz w:val="28"/>
          <w:szCs w:val="28"/>
          <w:rtl/>
          <w:lang w:bidi="ar-DZ"/>
        </w:rPr>
      </w:pPr>
      <w:r>
        <w:rPr>
          <w:rFonts w:cs="Simplified Arabic" w:hint="cs"/>
          <w:sz w:val="28"/>
          <w:szCs w:val="28"/>
          <w:rtl/>
          <w:lang w:bidi="ar-DZ"/>
        </w:rPr>
        <w:t>وعلة تقرير هذا المبدأ أنه لو جاز أن يصطنع أي شخص دليلا لنفسه ضد أي شخص آخر لما آمن إنسان على نفسه أو ماله ولتعرض كل شخص لإدعاءات لا حصر لها يصطنع أدلتها أشخاص آخرون ضده.</w:t>
      </w:r>
      <w:r>
        <w:rPr>
          <w:rStyle w:val="Appelnotedebasdep"/>
          <w:rFonts w:cs="Simplified Arabic"/>
          <w:sz w:val="28"/>
          <w:szCs w:val="28"/>
          <w:lang w:bidi="ar-DZ"/>
        </w:rPr>
        <w:t>)</w:t>
      </w:r>
      <w:r>
        <w:rPr>
          <w:rStyle w:val="Appelnotedebasdep"/>
          <w:rFonts w:cs="Simplified Arabic" w:hint="cs"/>
          <w:sz w:val="28"/>
          <w:szCs w:val="28"/>
          <w:rtl/>
          <w:lang w:bidi="ar-DZ"/>
        </w:rPr>
        <w:t>4</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12"/>
        <w:t>(</w:t>
      </w:r>
    </w:p>
    <w:p w:rsidR="00304C81" w:rsidRDefault="00304C81" w:rsidP="00304C81">
      <w:pPr>
        <w:pStyle w:val="Paragraphedeliste"/>
        <w:tabs>
          <w:tab w:val="right" w:pos="849"/>
        </w:tabs>
        <w:bidi/>
        <w:spacing w:after="0"/>
        <w:ind w:left="-2" w:firstLine="567"/>
        <w:jc w:val="both"/>
        <w:rPr>
          <w:rFonts w:cs="Simplified Arabic"/>
          <w:b/>
          <w:sz w:val="28"/>
          <w:szCs w:val="28"/>
          <w:rtl/>
          <w:lang w:bidi="ar-DZ"/>
        </w:rPr>
      </w:pPr>
      <w:r>
        <w:rPr>
          <w:rFonts w:cs="Simplified Arabic" w:hint="cs"/>
          <w:b/>
          <w:sz w:val="28"/>
          <w:szCs w:val="28"/>
          <w:rtl/>
          <w:lang w:bidi="ar-DZ"/>
        </w:rPr>
        <w:t>ويرد على هذا المبدأ استثناءات قليلة، أبرزها أن دفاتر التاجر قد تكون في حدود معينة حجة له.</w:t>
      </w:r>
      <w:r>
        <w:rPr>
          <w:rStyle w:val="Appelnotedebasdep"/>
          <w:rFonts w:cs="Simplified Arabic"/>
          <w:sz w:val="28"/>
          <w:szCs w:val="28"/>
          <w:lang w:bidi="ar-DZ"/>
        </w:rPr>
        <w:t>)</w:t>
      </w:r>
      <w:r>
        <w:rPr>
          <w:rStyle w:val="Appelnotedebasdep"/>
          <w:rFonts w:cs="Simplified Arabic" w:hint="cs"/>
          <w:sz w:val="28"/>
          <w:szCs w:val="28"/>
          <w:rtl/>
          <w:lang w:bidi="ar-DZ"/>
        </w:rPr>
        <w:t>5</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13"/>
        <w:t>(</w:t>
      </w:r>
      <w:r>
        <w:rPr>
          <w:rFonts w:cs="Simplified Arabic" w:hint="cs"/>
          <w:b/>
          <w:sz w:val="28"/>
          <w:szCs w:val="28"/>
          <w:rtl/>
          <w:lang w:bidi="ar-DZ"/>
        </w:rPr>
        <w:t xml:space="preserve"> </w:t>
      </w:r>
    </w:p>
    <w:p w:rsidR="00304C81" w:rsidRDefault="00304C81" w:rsidP="00304C81">
      <w:pPr>
        <w:pStyle w:val="Paragraphedeliste"/>
        <w:tabs>
          <w:tab w:val="right" w:pos="849"/>
        </w:tabs>
        <w:bidi/>
        <w:spacing w:after="0"/>
        <w:ind w:left="-2" w:firstLine="567"/>
        <w:jc w:val="both"/>
        <w:rPr>
          <w:rFonts w:cs="Simplified Arabic"/>
          <w:b/>
          <w:sz w:val="6"/>
          <w:szCs w:val="6"/>
          <w:rtl/>
          <w:lang w:bidi="ar-DZ"/>
        </w:rPr>
      </w:pPr>
    </w:p>
    <w:p w:rsidR="00304C81" w:rsidRDefault="00304C81" w:rsidP="00304C81">
      <w:pPr>
        <w:pStyle w:val="Paragraphedeliste"/>
        <w:numPr>
          <w:ilvl w:val="0"/>
          <w:numId w:val="13"/>
        </w:numPr>
        <w:tabs>
          <w:tab w:val="right" w:pos="423"/>
        </w:tabs>
        <w:bidi/>
        <w:spacing w:after="0"/>
        <w:ind w:left="-2" w:firstLine="0"/>
        <w:jc w:val="both"/>
        <w:rPr>
          <w:rFonts w:cs="Simplified Arabic"/>
          <w:b/>
          <w:bCs/>
          <w:sz w:val="28"/>
          <w:szCs w:val="28"/>
          <w:rtl/>
          <w:lang w:bidi="ar-DZ"/>
        </w:rPr>
      </w:pPr>
      <w:r>
        <w:rPr>
          <w:rFonts w:cs="Simplified Arabic" w:hint="cs"/>
          <w:b/>
          <w:bCs/>
          <w:sz w:val="28"/>
          <w:szCs w:val="28"/>
          <w:rtl/>
          <w:lang w:bidi="ar-DZ"/>
        </w:rPr>
        <w:t>لا يجوز إجبار الخصم</w:t>
      </w:r>
      <w:r>
        <w:rPr>
          <w:rFonts w:cs="Simplified Arabic" w:hint="cs"/>
          <w:sz w:val="28"/>
          <w:szCs w:val="28"/>
          <w:rtl/>
          <w:lang w:bidi="ar-DZ"/>
        </w:rPr>
        <w:t xml:space="preserve"> </w:t>
      </w:r>
      <w:r>
        <w:rPr>
          <w:rFonts w:cs="Simplified Arabic" w:hint="cs"/>
          <w:b/>
          <w:bCs/>
          <w:sz w:val="28"/>
          <w:szCs w:val="28"/>
          <w:rtl/>
          <w:lang w:bidi="ar-DZ"/>
        </w:rPr>
        <w:t>على تقديم دليل ضد نفسه</w:t>
      </w:r>
      <w:r>
        <w:rPr>
          <w:rFonts w:cs="Simplified Arabic" w:hint="cs"/>
          <w:sz w:val="28"/>
          <w:szCs w:val="28"/>
          <w:rtl/>
          <w:lang w:bidi="ar-DZ"/>
        </w:rPr>
        <w:t>:</w:t>
      </w:r>
    </w:p>
    <w:p w:rsidR="00304C81" w:rsidRDefault="00304C81" w:rsidP="00304C81">
      <w:pPr>
        <w:pStyle w:val="Paragraphedeliste"/>
        <w:tabs>
          <w:tab w:val="right" w:pos="423"/>
        </w:tabs>
        <w:bidi/>
        <w:spacing w:after="0"/>
        <w:ind w:left="-2" w:firstLine="567"/>
        <w:jc w:val="both"/>
        <w:rPr>
          <w:rFonts w:cs="Simplified Arabic"/>
          <w:sz w:val="28"/>
          <w:szCs w:val="28"/>
          <w:lang w:bidi="ar-DZ"/>
        </w:rPr>
      </w:pPr>
      <w:r>
        <w:rPr>
          <w:rFonts w:cs="Simplified Arabic" w:hint="cs"/>
          <w:sz w:val="28"/>
          <w:szCs w:val="28"/>
          <w:rtl/>
          <w:lang w:bidi="ar-DZ"/>
        </w:rPr>
        <w:t>حدد القانون كما سنرى</w:t>
      </w:r>
      <w:r>
        <w:rPr>
          <w:rStyle w:val="Appelnotedebasdep"/>
          <w:rFonts w:cs="Simplified Arabic"/>
          <w:sz w:val="28"/>
          <w:szCs w:val="28"/>
          <w:lang w:bidi="ar-DZ"/>
        </w:rPr>
        <w:t>)</w:t>
      </w:r>
      <w:r>
        <w:rPr>
          <w:rStyle w:val="Appelnotedebasdep"/>
          <w:rFonts w:cs="Simplified Arabic" w:hint="cs"/>
          <w:sz w:val="28"/>
          <w:szCs w:val="28"/>
          <w:rtl/>
          <w:lang w:bidi="ar-DZ"/>
        </w:rPr>
        <w:t>6</w:t>
      </w:r>
      <w:r>
        <w:rPr>
          <w:rStyle w:val="Appelnotedebasdep"/>
          <w:rFonts w:cs="Simplified Arabic"/>
          <w:sz w:val="28"/>
          <w:szCs w:val="28"/>
          <w:lang w:bidi="ar-DZ"/>
        </w:rPr>
        <w:footnoteReference w:customMarkFollows="1" w:id="14"/>
        <w:t>(</w:t>
      </w:r>
      <w:r>
        <w:rPr>
          <w:rFonts w:cs="Simplified Arabic" w:hint="cs"/>
          <w:sz w:val="28"/>
          <w:szCs w:val="28"/>
          <w:rtl/>
          <w:lang w:bidi="ar-DZ"/>
        </w:rPr>
        <w:t>، أي الخصمين يقع عليه عبء الإثبات، أي من يتحمل تبعة الإثبات، فيكون لهذا الخصم تقديم الأدلة، الجائزة قانونا لإثبات ما يدعيه، وإلا خسر دعواه، وليس له إرغام خصمَه على أن يقدم له ما يمكن أن يكون دليلا ضده، أو حجة عليه في الخصومة.</w:t>
      </w:r>
      <w:r>
        <w:rPr>
          <w:rStyle w:val="Appelnotedebasdep"/>
          <w:rFonts w:cs="Simplified Arabic"/>
          <w:sz w:val="28"/>
          <w:szCs w:val="28"/>
          <w:lang w:bidi="ar-DZ"/>
        </w:rPr>
        <w:t>)</w:t>
      </w:r>
      <w:r>
        <w:rPr>
          <w:rStyle w:val="Appelnotedebasdep"/>
          <w:rFonts w:cs="Simplified Arabic" w:hint="cs"/>
          <w:sz w:val="28"/>
          <w:szCs w:val="28"/>
          <w:rtl/>
          <w:lang w:bidi="ar-DZ"/>
        </w:rPr>
        <w:t>7</w:t>
      </w:r>
      <w:r>
        <w:rPr>
          <w:rStyle w:val="Appelnotedebasdep"/>
          <w:rFonts w:cs="Simplified Arabic"/>
          <w:sz w:val="28"/>
          <w:szCs w:val="28"/>
          <w:lang w:bidi="ar-DZ"/>
        </w:rPr>
        <w:footnoteReference w:customMarkFollows="1" w:id="15"/>
        <w:t>(</w:t>
      </w:r>
      <w:r>
        <w:rPr>
          <w:rFonts w:cs="Simplified Arabic" w:hint="cs"/>
          <w:sz w:val="28"/>
          <w:szCs w:val="28"/>
          <w:rtl/>
          <w:lang w:bidi="ar-DZ"/>
        </w:rPr>
        <w:t xml:space="preserve">  </w:t>
      </w:r>
    </w:p>
    <w:p w:rsidR="00304C81" w:rsidRDefault="00304C81" w:rsidP="00304C81">
      <w:pPr>
        <w:pStyle w:val="Paragraphedeliste"/>
        <w:tabs>
          <w:tab w:val="right" w:pos="423"/>
        </w:tabs>
        <w:bidi/>
        <w:spacing w:after="0"/>
        <w:ind w:left="-2" w:firstLine="567"/>
        <w:jc w:val="both"/>
        <w:rPr>
          <w:rFonts w:cs="Simplified Arabic"/>
          <w:sz w:val="28"/>
          <w:szCs w:val="28"/>
          <w:rtl/>
          <w:lang w:bidi="ar-DZ"/>
        </w:rPr>
      </w:pPr>
      <w:r>
        <w:rPr>
          <w:rFonts w:cs="Simplified Arabic" w:hint="cs"/>
          <w:sz w:val="28"/>
          <w:szCs w:val="28"/>
          <w:rtl/>
          <w:lang w:bidi="ar-DZ"/>
        </w:rPr>
        <w:lastRenderedPageBreak/>
        <w:t>إذا كانت القاعدة عدم إجبار الخصم على تقديم دليل يملكه لا يريد تقديمه، إلا أنه ليس ثمة ما يحول دون أن يستمد الخصم دليلا لصالحه من مستند قدمه  خصمه في الدعوى، ليستخلص من هذا المستند دليلا لصالحه يؤيد به إدعاءه، وهذا إعمالا لمبدأ المواجهة بالأدلة.</w:t>
      </w:r>
    </w:p>
    <w:p w:rsidR="00304C81" w:rsidRDefault="00304C81" w:rsidP="00304C81">
      <w:pPr>
        <w:pStyle w:val="Paragraphedeliste"/>
        <w:tabs>
          <w:tab w:val="right" w:pos="423"/>
        </w:tabs>
        <w:bidi/>
        <w:spacing w:after="0"/>
        <w:ind w:left="-2" w:firstLine="567"/>
        <w:jc w:val="both"/>
        <w:rPr>
          <w:rFonts w:cs="Simplified Arabic"/>
          <w:sz w:val="28"/>
          <w:szCs w:val="28"/>
          <w:rtl/>
          <w:lang w:bidi="ar-DZ"/>
        </w:rPr>
      </w:pPr>
      <w:r>
        <w:rPr>
          <w:rFonts w:cs="Simplified Arabic" w:hint="cs"/>
          <w:sz w:val="28"/>
          <w:szCs w:val="28"/>
          <w:rtl/>
          <w:lang w:bidi="ar-DZ"/>
        </w:rPr>
        <w:t>غير أن هذه القاعدة تصطدم بمبدأ أخلاقي التزم الصدق في القول والفعل، وبعدم التستر على الحقيقة في ساحة القضاء، وبمقتضى اعتبارات العدالة فإنها تسمح بالقول بأنه يجوز إجبار الخصم على أن يقدم دليلا تحت يده حتى لو كان ضد نفسه، كما يجوز أن يوجه هذا الطلب إلى شخص ليس طرفا في الخصومة وهذه الفكرة ليست جديدة وإنما ترجع إلى القانون الروماني الذي كان يعرفها بدعوى العرض</w:t>
      </w:r>
      <w:r>
        <w:rPr>
          <w:rStyle w:val="Appelnotedebasdep"/>
          <w:rFonts w:cs="Simplified Arabic"/>
          <w:sz w:val="28"/>
          <w:szCs w:val="28"/>
          <w:lang w:bidi="ar-DZ"/>
        </w:rPr>
        <w:t>)</w:t>
      </w:r>
      <w:r>
        <w:rPr>
          <w:rStyle w:val="Appelnotedebasdep"/>
          <w:rFonts w:cs="Simplified Arabic" w:hint="cs"/>
          <w:sz w:val="28"/>
          <w:szCs w:val="28"/>
          <w:rtl/>
          <w:lang w:bidi="ar-DZ"/>
        </w:rPr>
        <w:t>1</w:t>
      </w:r>
      <w:r>
        <w:rPr>
          <w:rStyle w:val="Appelnotedebasdep"/>
          <w:rFonts w:cs="Simplified Arabic"/>
          <w:sz w:val="28"/>
          <w:szCs w:val="28"/>
          <w:lang w:bidi="ar-DZ"/>
        </w:rPr>
        <w:footnoteReference w:customMarkFollows="1" w:id="16"/>
        <w:t>(</w:t>
      </w:r>
      <w:r>
        <w:rPr>
          <w:rFonts w:cs="Simplified Arabic" w:hint="cs"/>
          <w:sz w:val="28"/>
          <w:szCs w:val="28"/>
          <w:rtl/>
          <w:lang w:bidi="ar-DZ"/>
        </w:rPr>
        <w:t xml:space="preserve"> وقد أخذت بها الكثير من التشريعات</w:t>
      </w:r>
      <w:r>
        <w:rPr>
          <w:rStyle w:val="Appelnotedebasdep"/>
          <w:rFonts w:cs="Simplified Arabic"/>
          <w:sz w:val="28"/>
          <w:szCs w:val="28"/>
          <w:lang w:bidi="ar-DZ"/>
        </w:rPr>
        <w:t>)</w:t>
      </w:r>
      <w:r>
        <w:rPr>
          <w:rStyle w:val="Appelnotedebasdep"/>
          <w:rFonts w:cs="Simplified Arabic" w:hint="cs"/>
          <w:sz w:val="28"/>
          <w:szCs w:val="28"/>
          <w:rtl/>
          <w:lang w:bidi="ar-DZ"/>
        </w:rPr>
        <w:t>2</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17"/>
        <w:t>(</w:t>
      </w:r>
      <w:r>
        <w:rPr>
          <w:rFonts w:cs="Simplified Arabic" w:hint="cs"/>
          <w:sz w:val="28"/>
          <w:szCs w:val="28"/>
          <w:rtl/>
          <w:lang w:bidi="ar-DZ"/>
        </w:rPr>
        <w:t>كالقانون الفرنسي، الألماني، الأردني، المصري باستثناء المشرع الجزائري بالرغم من أنه يعِد أحدث تشريع لقانون المرافعات.</w:t>
      </w:r>
      <w:r>
        <w:rPr>
          <w:rStyle w:val="Appelnotedebasdep"/>
          <w:rFonts w:cs="Simplified Arabic"/>
          <w:sz w:val="28"/>
          <w:szCs w:val="28"/>
          <w:lang w:bidi="ar-DZ"/>
        </w:rPr>
        <w:t>)</w:t>
      </w:r>
      <w:r>
        <w:rPr>
          <w:rStyle w:val="Appelnotedebasdep"/>
          <w:rFonts w:cs="Simplified Arabic" w:hint="cs"/>
          <w:sz w:val="28"/>
          <w:szCs w:val="28"/>
          <w:rtl/>
          <w:lang w:bidi="ar-DZ"/>
        </w:rPr>
        <w:t>3</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18"/>
        <w:t>(</w:t>
      </w:r>
      <w:r>
        <w:rPr>
          <w:rFonts w:cs="Simplified Arabic" w:hint="cs"/>
          <w:sz w:val="28"/>
          <w:szCs w:val="28"/>
          <w:rtl/>
          <w:lang w:bidi="ar-DZ"/>
        </w:rPr>
        <w:t xml:space="preserve"> </w:t>
      </w:r>
    </w:p>
    <w:p w:rsidR="00304C81" w:rsidRDefault="00304C81" w:rsidP="00304C81">
      <w:pPr>
        <w:tabs>
          <w:tab w:val="right" w:pos="423"/>
        </w:tabs>
        <w:bidi/>
        <w:spacing w:after="0"/>
        <w:jc w:val="both"/>
        <w:rPr>
          <w:rFonts w:cs="Simplified Arabic"/>
          <w:sz w:val="28"/>
          <w:szCs w:val="28"/>
          <w:rtl/>
          <w:lang w:bidi="ar-DZ"/>
        </w:rPr>
      </w:pPr>
    </w:p>
    <w:p w:rsidR="00304C81" w:rsidRDefault="00304C81" w:rsidP="00304C81">
      <w:pPr>
        <w:tabs>
          <w:tab w:val="right" w:pos="423"/>
        </w:tabs>
        <w:bidi/>
        <w:spacing w:after="0"/>
        <w:jc w:val="both"/>
        <w:rPr>
          <w:rFonts w:cs="Simplified Arabic"/>
          <w:sz w:val="28"/>
          <w:szCs w:val="28"/>
          <w:rtl/>
          <w:lang w:bidi="ar-DZ"/>
        </w:rPr>
      </w:pPr>
    </w:p>
    <w:p w:rsidR="00304C81" w:rsidRDefault="00304C81" w:rsidP="00304C81">
      <w:pPr>
        <w:tabs>
          <w:tab w:val="right" w:pos="423"/>
        </w:tabs>
        <w:bidi/>
        <w:spacing w:after="0"/>
        <w:jc w:val="both"/>
        <w:rPr>
          <w:rFonts w:cs="Simplified Arabic"/>
          <w:sz w:val="28"/>
          <w:szCs w:val="28"/>
          <w:rtl/>
          <w:lang w:bidi="ar-DZ"/>
        </w:rPr>
      </w:pPr>
    </w:p>
    <w:p w:rsidR="00304C81" w:rsidRDefault="00304C81" w:rsidP="00304C81">
      <w:pPr>
        <w:tabs>
          <w:tab w:val="right" w:pos="423"/>
        </w:tabs>
        <w:bidi/>
        <w:spacing w:after="0"/>
        <w:jc w:val="both"/>
        <w:rPr>
          <w:rFonts w:cs="Simplified Arabic"/>
          <w:sz w:val="28"/>
          <w:szCs w:val="28"/>
          <w:rtl/>
          <w:lang w:bidi="ar-DZ"/>
        </w:rPr>
      </w:pPr>
    </w:p>
    <w:p w:rsidR="00304C81" w:rsidRDefault="00304C81" w:rsidP="00304C81">
      <w:pPr>
        <w:tabs>
          <w:tab w:val="right" w:pos="423"/>
        </w:tabs>
        <w:bidi/>
        <w:spacing w:after="0"/>
        <w:jc w:val="both"/>
        <w:rPr>
          <w:rFonts w:cs="Simplified Arabic"/>
          <w:sz w:val="28"/>
          <w:szCs w:val="28"/>
          <w:rtl/>
          <w:lang w:bidi="ar-DZ"/>
        </w:rPr>
      </w:pPr>
    </w:p>
    <w:p w:rsidR="00304C81" w:rsidRDefault="00304C81" w:rsidP="00304C81">
      <w:pPr>
        <w:tabs>
          <w:tab w:val="right" w:pos="423"/>
        </w:tabs>
        <w:bidi/>
        <w:spacing w:after="0"/>
        <w:jc w:val="both"/>
        <w:rPr>
          <w:rFonts w:cs="Simplified Arabic"/>
          <w:sz w:val="28"/>
          <w:szCs w:val="28"/>
          <w:rtl/>
          <w:lang w:bidi="ar-DZ"/>
        </w:rPr>
      </w:pPr>
    </w:p>
    <w:p w:rsidR="00304C81" w:rsidRDefault="00304C81" w:rsidP="00304C81">
      <w:pPr>
        <w:tabs>
          <w:tab w:val="right" w:pos="423"/>
        </w:tabs>
        <w:bidi/>
        <w:spacing w:after="0"/>
        <w:jc w:val="both"/>
        <w:rPr>
          <w:rFonts w:cs="Simplified Arabic"/>
          <w:sz w:val="28"/>
          <w:szCs w:val="28"/>
          <w:rtl/>
          <w:lang w:bidi="ar-DZ"/>
        </w:rPr>
      </w:pPr>
    </w:p>
    <w:p w:rsidR="00304C81" w:rsidRDefault="00304C81" w:rsidP="00304C81">
      <w:pPr>
        <w:tabs>
          <w:tab w:val="right" w:pos="423"/>
        </w:tabs>
        <w:bidi/>
        <w:spacing w:after="0"/>
        <w:jc w:val="both"/>
        <w:rPr>
          <w:rFonts w:cs="Simplified Arabic"/>
          <w:sz w:val="28"/>
          <w:szCs w:val="28"/>
          <w:rtl/>
          <w:lang w:bidi="ar-DZ"/>
        </w:rPr>
      </w:pPr>
    </w:p>
    <w:p w:rsidR="00304C81" w:rsidRDefault="00304C81" w:rsidP="00304C81">
      <w:pPr>
        <w:tabs>
          <w:tab w:val="right" w:pos="423"/>
        </w:tabs>
        <w:bidi/>
        <w:spacing w:after="0"/>
        <w:jc w:val="both"/>
        <w:rPr>
          <w:rFonts w:cs="Simplified Arabic"/>
          <w:sz w:val="28"/>
          <w:szCs w:val="28"/>
          <w:rtl/>
          <w:lang w:bidi="ar-DZ"/>
        </w:rPr>
      </w:pPr>
    </w:p>
    <w:p w:rsidR="00304C81" w:rsidRDefault="00304C81" w:rsidP="00304C81">
      <w:pPr>
        <w:tabs>
          <w:tab w:val="right" w:pos="423"/>
        </w:tabs>
        <w:bidi/>
        <w:spacing w:after="0"/>
        <w:jc w:val="both"/>
        <w:rPr>
          <w:rFonts w:cs="Simplified Arabic"/>
          <w:sz w:val="28"/>
          <w:szCs w:val="28"/>
          <w:rtl/>
          <w:lang w:bidi="ar-DZ"/>
        </w:rPr>
      </w:pPr>
    </w:p>
    <w:p w:rsidR="00304C81" w:rsidRDefault="00304C81" w:rsidP="00304C81">
      <w:pPr>
        <w:tabs>
          <w:tab w:val="right" w:pos="423"/>
        </w:tabs>
        <w:bidi/>
        <w:spacing w:after="0"/>
        <w:jc w:val="both"/>
        <w:rPr>
          <w:rFonts w:cs="Simplified Arabic"/>
          <w:sz w:val="28"/>
          <w:szCs w:val="28"/>
          <w:rtl/>
          <w:lang w:bidi="ar-DZ"/>
        </w:rPr>
      </w:pPr>
    </w:p>
    <w:p w:rsidR="00304C81" w:rsidRDefault="00304C81" w:rsidP="00304C81">
      <w:pPr>
        <w:tabs>
          <w:tab w:val="right" w:pos="423"/>
        </w:tabs>
        <w:bidi/>
        <w:spacing w:after="0"/>
        <w:jc w:val="both"/>
        <w:rPr>
          <w:rFonts w:cs="Simplified Arabic"/>
          <w:sz w:val="28"/>
          <w:szCs w:val="28"/>
          <w:rtl/>
          <w:lang w:bidi="ar-DZ"/>
        </w:rPr>
      </w:pPr>
    </w:p>
    <w:p w:rsidR="00304C81" w:rsidRDefault="00304C81" w:rsidP="00304C81">
      <w:pPr>
        <w:tabs>
          <w:tab w:val="right" w:pos="423"/>
        </w:tabs>
        <w:bidi/>
        <w:spacing w:after="0"/>
        <w:jc w:val="both"/>
        <w:rPr>
          <w:rFonts w:cs="Simplified Arabic"/>
          <w:sz w:val="28"/>
          <w:szCs w:val="28"/>
          <w:rtl/>
          <w:lang w:bidi="ar-DZ"/>
        </w:rPr>
      </w:pPr>
    </w:p>
    <w:p w:rsidR="00304C81" w:rsidRDefault="00304C81" w:rsidP="00304C81">
      <w:pPr>
        <w:tabs>
          <w:tab w:val="right" w:pos="423"/>
        </w:tabs>
        <w:bidi/>
        <w:spacing w:after="0"/>
        <w:jc w:val="both"/>
        <w:rPr>
          <w:rFonts w:cs="Simplified Arabic"/>
          <w:sz w:val="28"/>
          <w:szCs w:val="28"/>
          <w:rtl/>
          <w:lang w:bidi="ar-DZ"/>
        </w:rPr>
      </w:pPr>
    </w:p>
    <w:p w:rsidR="00304C81" w:rsidRDefault="00304C81" w:rsidP="00304C81">
      <w:pPr>
        <w:tabs>
          <w:tab w:val="right" w:pos="423"/>
        </w:tabs>
        <w:bidi/>
        <w:spacing w:after="0"/>
        <w:jc w:val="both"/>
        <w:rPr>
          <w:rFonts w:cs="Simplified Arabic"/>
          <w:sz w:val="28"/>
          <w:szCs w:val="28"/>
          <w:rtl/>
          <w:lang w:bidi="ar-DZ"/>
        </w:rPr>
      </w:pPr>
    </w:p>
    <w:p w:rsidR="00304C81" w:rsidRDefault="00304C81" w:rsidP="00304C81">
      <w:pPr>
        <w:tabs>
          <w:tab w:val="right" w:pos="423"/>
        </w:tabs>
        <w:bidi/>
        <w:spacing w:after="0"/>
        <w:jc w:val="both"/>
        <w:rPr>
          <w:rFonts w:cs="Simplified Arabic"/>
          <w:sz w:val="28"/>
          <w:szCs w:val="28"/>
          <w:rtl/>
          <w:lang w:bidi="ar-DZ"/>
        </w:rPr>
      </w:pPr>
    </w:p>
    <w:p w:rsidR="00304C81" w:rsidRDefault="00304C81" w:rsidP="00304C81">
      <w:pPr>
        <w:pStyle w:val="Paragraphedeliste"/>
        <w:tabs>
          <w:tab w:val="right" w:pos="423"/>
        </w:tabs>
        <w:bidi/>
        <w:spacing w:after="0"/>
        <w:ind w:left="-2"/>
        <w:jc w:val="center"/>
        <w:rPr>
          <w:rFonts w:cs="Simplified Arabic"/>
          <w:sz w:val="40"/>
          <w:szCs w:val="40"/>
          <w:rtl/>
          <w:lang w:bidi="ar-DZ"/>
        </w:rPr>
      </w:pPr>
    </w:p>
    <w:p w:rsidR="00304C81" w:rsidRDefault="00304C81" w:rsidP="00304C81">
      <w:pPr>
        <w:pStyle w:val="Paragraphedeliste"/>
        <w:tabs>
          <w:tab w:val="right" w:pos="423"/>
        </w:tabs>
        <w:bidi/>
        <w:spacing w:after="0"/>
        <w:ind w:left="-2"/>
        <w:jc w:val="center"/>
        <w:rPr>
          <w:rFonts w:cs="Simplified Arabic"/>
          <w:sz w:val="40"/>
          <w:szCs w:val="40"/>
          <w:rtl/>
          <w:lang w:bidi="ar-DZ"/>
        </w:rPr>
      </w:pPr>
      <w:r>
        <w:rPr>
          <w:rFonts w:cs="Simplified Arabic" w:hint="cs"/>
          <w:sz w:val="40"/>
          <w:szCs w:val="40"/>
          <w:rtl/>
          <w:lang w:bidi="ar-DZ"/>
        </w:rPr>
        <w:t>الفصل الثاني</w:t>
      </w:r>
    </w:p>
    <w:p w:rsidR="00304C81" w:rsidRDefault="00304C81" w:rsidP="00304C81">
      <w:pPr>
        <w:pStyle w:val="Paragraphedeliste"/>
        <w:tabs>
          <w:tab w:val="right" w:pos="423"/>
        </w:tabs>
        <w:bidi/>
        <w:spacing w:after="0"/>
        <w:ind w:left="-2"/>
        <w:jc w:val="center"/>
        <w:rPr>
          <w:rFonts w:cs="Simplified Arabic"/>
          <w:sz w:val="28"/>
          <w:szCs w:val="28"/>
          <w:rtl/>
          <w:lang w:bidi="ar-DZ"/>
        </w:rPr>
      </w:pPr>
      <w:r>
        <w:rPr>
          <w:rFonts w:cs="Simplified Arabic" w:hint="cs"/>
          <w:sz w:val="40"/>
          <w:szCs w:val="40"/>
          <w:rtl/>
          <w:lang w:bidi="ar-DZ"/>
        </w:rPr>
        <w:t>محل الإثبات</w:t>
      </w:r>
    </w:p>
    <w:p w:rsidR="00304C81" w:rsidRDefault="00304C81" w:rsidP="00304C81">
      <w:pPr>
        <w:pStyle w:val="Paragraphedeliste"/>
        <w:tabs>
          <w:tab w:val="right" w:pos="423"/>
        </w:tabs>
        <w:bidi/>
        <w:spacing w:after="0"/>
        <w:ind w:left="-2"/>
        <w:jc w:val="both"/>
        <w:rPr>
          <w:rFonts w:cs="Simplified Arabic"/>
          <w:sz w:val="16"/>
          <w:szCs w:val="16"/>
          <w:rtl/>
          <w:lang w:bidi="ar-DZ"/>
        </w:rPr>
      </w:pPr>
    </w:p>
    <w:p w:rsidR="00304C81" w:rsidRDefault="00304C81" w:rsidP="00304C81">
      <w:pPr>
        <w:pStyle w:val="Paragraphedeliste"/>
        <w:tabs>
          <w:tab w:val="right" w:pos="423"/>
        </w:tabs>
        <w:bidi/>
        <w:spacing w:after="0"/>
        <w:ind w:left="-2"/>
        <w:jc w:val="both"/>
        <w:rPr>
          <w:rFonts w:cs="Simplified Arabic"/>
          <w:sz w:val="16"/>
          <w:szCs w:val="16"/>
          <w:rtl/>
          <w:lang w:bidi="ar-DZ"/>
        </w:rPr>
      </w:pPr>
    </w:p>
    <w:p w:rsidR="00304C81" w:rsidRDefault="00304C81" w:rsidP="00304C81">
      <w:pPr>
        <w:pStyle w:val="Paragraphedeliste"/>
        <w:tabs>
          <w:tab w:val="right" w:pos="565"/>
        </w:tabs>
        <w:bidi/>
        <w:spacing w:after="0"/>
        <w:ind w:left="-2" w:firstLine="567"/>
        <w:jc w:val="both"/>
        <w:rPr>
          <w:rFonts w:cs="Simplified Arabic"/>
          <w:sz w:val="28"/>
          <w:szCs w:val="28"/>
          <w:rtl/>
          <w:lang w:bidi="ar-DZ"/>
        </w:rPr>
      </w:pPr>
      <w:r>
        <w:rPr>
          <w:rFonts w:cs="Simplified Arabic" w:hint="cs"/>
          <w:sz w:val="28"/>
          <w:szCs w:val="28"/>
          <w:rtl/>
          <w:lang w:bidi="ar-DZ"/>
        </w:rPr>
        <w:t>إن مهمة الخصم تقتصر على إقامة الدليل على وجود أو صحة الواقعة، أما الأثر القانوني المترتب عليها فلا يكون كأصل عام، محلا للإثبات، ولا شأن للخصم به، وإنما شأن المحكمة، فهي التي تطبق القانون عل تلك الواقعة، وفي دراستنا لمحل الإثبات نتناول أولا. مضمون وحدود محل الإثبات في المبحث الأول، وثانيا شروط محل الإثبات في المبحث الثاني.</w:t>
      </w:r>
    </w:p>
    <w:p w:rsidR="00304C81" w:rsidRDefault="00304C81" w:rsidP="00304C81">
      <w:pPr>
        <w:pStyle w:val="Paragraphedeliste"/>
        <w:tabs>
          <w:tab w:val="right" w:pos="565"/>
        </w:tabs>
        <w:bidi/>
        <w:spacing w:after="0"/>
        <w:ind w:left="-2" w:firstLine="567"/>
        <w:jc w:val="both"/>
        <w:rPr>
          <w:rFonts w:cs="Simplified Arabic"/>
          <w:sz w:val="16"/>
          <w:szCs w:val="16"/>
          <w:rtl/>
          <w:lang w:bidi="ar-DZ"/>
        </w:rPr>
      </w:pPr>
    </w:p>
    <w:p w:rsidR="00304C81" w:rsidRDefault="00304C81" w:rsidP="00304C81">
      <w:pPr>
        <w:tabs>
          <w:tab w:val="right" w:pos="282"/>
        </w:tabs>
        <w:bidi/>
        <w:spacing w:after="0"/>
        <w:jc w:val="both"/>
        <w:rPr>
          <w:rFonts w:cs="Simplified Arabic"/>
          <w:sz w:val="36"/>
          <w:szCs w:val="36"/>
          <w:u w:val="single"/>
          <w:lang w:bidi="ar-DZ"/>
        </w:rPr>
      </w:pPr>
    </w:p>
    <w:p w:rsidR="00304C81" w:rsidRDefault="00304C81" w:rsidP="00304C81">
      <w:pPr>
        <w:tabs>
          <w:tab w:val="right" w:pos="282"/>
        </w:tabs>
        <w:bidi/>
        <w:spacing w:after="0"/>
        <w:jc w:val="both"/>
        <w:rPr>
          <w:rFonts w:cs="Simplified Arabic"/>
          <w:sz w:val="36"/>
          <w:szCs w:val="36"/>
          <w:u w:val="single"/>
          <w:rtl/>
          <w:lang w:bidi="ar-DZ"/>
        </w:rPr>
      </w:pPr>
    </w:p>
    <w:p w:rsidR="00304C81" w:rsidRDefault="00304C81" w:rsidP="00304C81">
      <w:pPr>
        <w:tabs>
          <w:tab w:val="right" w:pos="282"/>
        </w:tabs>
        <w:bidi/>
        <w:spacing w:after="0"/>
        <w:jc w:val="both"/>
        <w:rPr>
          <w:rFonts w:cs="Simplified Arabic"/>
          <w:sz w:val="36"/>
          <w:szCs w:val="36"/>
          <w:u w:val="single"/>
          <w:rtl/>
          <w:lang w:bidi="ar-DZ"/>
        </w:rPr>
      </w:pPr>
    </w:p>
    <w:p w:rsidR="00304C81" w:rsidRDefault="00304C81" w:rsidP="00304C81">
      <w:pPr>
        <w:tabs>
          <w:tab w:val="right" w:pos="282"/>
        </w:tabs>
        <w:bidi/>
        <w:spacing w:after="0"/>
        <w:jc w:val="both"/>
        <w:rPr>
          <w:rFonts w:cs="Simplified Arabic"/>
          <w:sz w:val="36"/>
          <w:szCs w:val="36"/>
          <w:u w:val="single"/>
          <w:rtl/>
          <w:lang w:bidi="ar-DZ"/>
        </w:rPr>
      </w:pPr>
    </w:p>
    <w:p w:rsidR="00304C81" w:rsidRDefault="00304C81" w:rsidP="00304C81">
      <w:pPr>
        <w:tabs>
          <w:tab w:val="right" w:pos="282"/>
        </w:tabs>
        <w:bidi/>
        <w:spacing w:after="0"/>
        <w:jc w:val="both"/>
        <w:rPr>
          <w:rFonts w:cs="Simplified Arabic"/>
          <w:sz w:val="36"/>
          <w:szCs w:val="36"/>
          <w:u w:val="single"/>
          <w:rtl/>
          <w:lang w:bidi="ar-DZ"/>
        </w:rPr>
      </w:pPr>
    </w:p>
    <w:p w:rsidR="00304C81" w:rsidRDefault="00304C81" w:rsidP="00304C81">
      <w:pPr>
        <w:tabs>
          <w:tab w:val="right" w:pos="282"/>
        </w:tabs>
        <w:bidi/>
        <w:spacing w:after="0"/>
        <w:jc w:val="both"/>
        <w:rPr>
          <w:rFonts w:cs="Simplified Arabic"/>
          <w:sz w:val="36"/>
          <w:szCs w:val="36"/>
          <w:u w:val="single"/>
          <w:rtl/>
          <w:lang w:bidi="ar-DZ"/>
        </w:rPr>
      </w:pPr>
    </w:p>
    <w:p w:rsidR="00304C81" w:rsidRDefault="00304C81" w:rsidP="00304C81">
      <w:pPr>
        <w:tabs>
          <w:tab w:val="right" w:pos="282"/>
        </w:tabs>
        <w:bidi/>
        <w:spacing w:after="0"/>
        <w:jc w:val="both"/>
        <w:rPr>
          <w:rFonts w:cs="Simplified Arabic"/>
          <w:sz w:val="36"/>
          <w:szCs w:val="36"/>
          <w:u w:val="single"/>
          <w:rtl/>
          <w:lang w:bidi="ar-DZ"/>
        </w:rPr>
      </w:pPr>
    </w:p>
    <w:p w:rsidR="00304C81" w:rsidRDefault="00304C81" w:rsidP="00304C81">
      <w:pPr>
        <w:tabs>
          <w:tab w:val="right" w:pos="282"/>
        </w:tabs>
        <w:bidi/>
        <w:spacing w:after="0"/>
        <w:jc w:val="both"/>
        <w:rPr>
          <w:rFonts w:cs="Simplified Arabic"/>
          <w:sz w:val="36"/>
          <w:szCs w:val="36"/>
          <w:u w:val="single"/>
          <w:rtl/>
          <w:lang w:bidi="ar-DZ"/>
        </w:rPr>
      </w:pPr>
    </w:p>
    <w:p w:rsidR="00304C81" w:rsidRDefault="00304C81" w:rsidP="00304C81">
      <w:pPr>
        <w:tabs>
          <w:tab w:val="right" w:pos="282"/>
        </w:tabs>
        <w:bidi/>
        <w:spacing w:after="0"/>
        <w:jc w:val="both"/>
        <w:rPr>
          <w:rFonts w:cs="Simplified Arabic"/>
          <w:sz w:val="36"/>
          <w:szCs w:val="36"/>
          <w:u w:val="single"/>
          <w:rtl/>
          <w:lang w:bidi="ar-DZ"/>
        </w:rPr>
      </w:pPr>
    </w:p>
    <w:p w:rsidR="00304C81" w:rsidRDefault="00304C81" w:rsidP="00304C81">
      <w:pPr>
        <w:tabs>
          <w:tab w:val="right" w:pos="282"/>
        </w:tabs>
        <w:bidi/>
        <w:spacing w:after="0"/>
        <w:jc w:val="both"/>
        <w:rPr>
          <w:rFonts w:cs="Simplified Arabic"/>
          <w:sz w:val="36"/>
          <w:szCs w:val="36"/>
          <w:u w:val="single"/>
          <w:rtl/>
          <w:lang w:bidi="ar-DZ"/>
        </w:rPr>
      </w:pPr>
    </w:p>
    <w:p w:rsidR="00304C81" w:rsidRDefault="00304C81" w:rsidP="00304C81">
      <w:pPr>
        <w:tabs>
          <w:tab w:val="right" w:pos="282"/>
        </w:tabs>
        <w:bidi/>
        <w:spacing w:after="0"/>
        <w:jc w:val="both"/>
        <w:rPr>
          <w:rFonts w:cs="Simplified Arabic"/>
          <w:sz w:val="36"/>
          <w:szCs w:val="36"/>
          <w:u w:val="single"/>
          <w:rtl/>
          <w:lang w:bidi="ar-DZ"/>
        </w:rPr>
      </w:pPr>
    </w:p>
    <w:p w:rsidR="00304C81" w:rsidRDefault="00304C81" w:rsidP="00304C81">
      <w:pPr>
        <w:tabs>
          <w:tab w:val="right" w:pos="282"/>
        </w:tabs>
        <w:bidi/>
        <w:spacing w:after="0"/>
        <w:jc w:val="both"/>
        <w:rPr>
          <w:rFonts w:cs="Simplified Arabic"/>
          <w:sz w:val="36"/>
          <w:szCs w:val="36"/>
          <w:u w:val="single"/>
          <w:rtl/>
          <w:lang w:bidi="ar-DZ"/>
        </w:rPr>
      </w:pPr>
    </w:p>
    <w:p w:rsidR="00304C81" w:rsidRDefault="00304C81" w:rsidP="00304C81">
      <w:pPr>
        <w:tabs>
          <w:tab w:val="right" w:pos="282"/>
        </w:tabs>
        <w:bidi/>
        <w:spacing w:after="0"/>
        <w:jc w:val="both"/>
        <w:rPr>
          <w:rFonts w:cs="Simplified Arabic"/>
          <w:sz w:val="36"/>
          <w:szCs w:val="36"/>
          <w:u w:val="single"/>
          <w:rtl/>
          <w:lang w:bidi="ar-DZ"/>
        </w:rPr>
      </w:pPr>
    </w:p>
    <w:p w:rsidR="00304C81" w:rsidRDefault="00304C81" w:rsidP="00304C81">
      <w:pPr>
        <w:tabs>
          <w:tab w:val="right" w:pos="282"/>
        </w:tabs>
        <w:bidi/>
        <w:spacing w:after="0"/>
        <w:jc w:val="both"/>
        <w:rPr>
          <w:rFonts w:cs="Simplified Arabic"/>
          <w:sz w:val="36"/>
          <w:szCs w:val="36"/>
          <w:u w:val="single"/>
          <w:rtl/>
          <w:lang w:bidi="ar-DZ"/>
        </w:rPr>
      </w:pPr>
    </w:p>
    <w:p w:rsidR="00304C81" w:rsidRDefault="00304C81" w:rsidP="00304C81">
      <w:pPr>
        <w:tabs>
          <w:tab w:val="right" w:pos="282"/>
        </w:tabs>
        <w:bidi/>
        <w:spacing w:after="0"/>
        <w:jc w:val="both"/>
        <w:rPr>
          <w:rFonts w:cs="Simplified Arabic"/>
          <w:sz w:val="36"/>
          <w:szCs w:val="36"/>
          <w:u w:val="single"/>
          <w:rtl/>
          <w:lang w:bidi="ar-DZ"/>
        </w:rPr>
      </w:pPr>
    </w:p>
    <w:p w:rsidR="00027440" w:rsidRDefault="00027440" w:rsidP="00027440">
      <w:pPr>
        <w:tabs>
          <w:tab w:val="right" w:pos="282"/>
        </w:tabs>
        <w:bidi/>
        <w:spacing w:after="0"/>
        <w:jc w:val="both"/>
        <w:rPr>
          <w:rFonts w:cs="Simplified Arabic"/>
          <w:sz w:val="36"/>
          <w:szCs w:val="36"/>
          <w:u w:val="single"/>
          <w:rtl/>
          <w:lang w:bidi="ar-DZ"/>
        </w:rPr>
      </w:pPr>
    </w:p>
    <w:p w:rsidR="00304C81" w:rsidRDefault="00304C81" w:rsidP="00304C81">
      <w:pPr>
        <w:tabs>
          <w:tab w:val="right" w:pos="282"/>
        </w:tabs>
        <w:bidi/>
        <w:spacing w:after="0"/>
        <w:jc w:val="center"/>
        <w:rPr>
          <w:rFonts w:cs="Simplified Arabic"/>
          <w:sz w:val="36"/>
          <w:szCs w:val="36"/>
          <w:rtl/>
          <w:lang w:bidi="ar-DZ"/>
        </w:rPr>
      </w:pPr>
      <w:r>
        <w:rPr>
          <w:rFonts w:cs="Simplified Arabic" w:hint="cs"/>
          <w:sz w:val="36"/>
          <w:szCs w:val="36"/>
          <w:rtl/>
          <w:lang w:bidi="ar-DZ"/>
        </w:rPr>
        <w:lastRenderedPageBreak/>
        <w:t>المبحث الأول</w:t>
      </w:r>
    </w:p>
    <w:p w:rsidR="00304C81" w:rsidRDefault="00304C81" w:rsidP="00304C81">
      <w:pPr>
        <w:tabs>
          <w:tab w:val="right" w:pos="282"/>
        </w:tabs>
        <w:bidi/>
        <w:spacing w:after="0"/>
        <w:jc w:val="center"/>
        <w:rPr>
          <w:rFonts w:cs="Simplified Arabic"/>
          <w:sz w:val="36"/>
          <w:szCs w:val="36"/>
          <w:rtl/>
          <w:lang w:bidi="ar-DZ"/>
        </w:rPr>
      </w:pPr>
      <w:r>
        <w:rPr>
          <w:rFonts w:cs="Simplified Arabic" w:hint="cs"/>
          <w:sz w:val="36"/>
          <w:szCs w:val="36"/>
          <w:rtl/>
          <w:lang w:bidi="ar-DZ"/>
        </w:rPr>
        <w:t>مضمون وحدود محل الإثبات</w:t>
      </w:r>
    </w:p>
    <w:p w:rsidR="00304C81" w:rsidRDefault="00304C81" w:rsidP="00304C81">
      <w:pPr>
        <w:tabs>
          <w:tab w:val="right" w:pos="282"/>
        </w:tabs>
        <w:bidi/>
        <w:spacing w:after="0"/>
        <w:ind w:firstLine="707"/>
        <w:jc w:val="both"/>
        <w:rPr>
          <w:rFonts w:cs="Simplified Arabic"/>
          <w:sz w:val="16"/>
          <w:szCs w:val="16"/>
          <w:rtl/>
          <w:lang w:bidi="ar-DZ"/>
        </w:rPr>
      </w:pPr>
    </w:p>
    <w:p w:rsidR="00304C81" w:rsidRDefault="00304C81" w:rsidP="00304C81">
      <w:pPr>
        <w:tabs>
          <w:tab w:val="right" w:pos="282"/>
        </w:tabs>
        <w:bidi/>
        <w:spacing w:after="0"/>
        <w:ind w:firstLine="707"/>
        <w:jc w:val="both"/>
        <w:rPr>
          <w:rFonts w:cs="Simplified Arabic"/>
          <w:sz w:val="16"/>
          <w:szCs w:val="16"/>
          <w:rtl/>
          <w:lang w:bidi="ar-DZ"/>
        </w:rPr>
      </w:pPr>
    </w:p>
    <w:p w:rsidR="00304C81" w:rsidRDefault="00304C81" w:rsidP="00304C81">
      <w:pPr>
        <w:tabs>
          <w:tab w:val="right" w:pos="282"/>
        </w:tabs>
        <w:bidi/>
        <w:spacing w:after="0"/>
        <w:ind w:firstLine="707"/>
        <w:jc w:val="both"/>
        <w:rPr>
          <w:rFonts w:cs="Simplified Arabic"/>
          <w:sz w:val="28"/>
          <w:szCs w:val="28"/>
          <w:rtl/>
          <w:lang w:bidi="ar-DZ"/>
        </w:rPr>
      </w:pPr>
      <w:r>
        <w:rPr>
          <w:rFonts w:cs="Simplified Arabic" w:hint="cs"/>
          <w:sz w:val="28"/>
          <w:szCs w:val="28"/>
          <w:rtl/>
          <w:lang w:bidi="ar-DZ"/>
        </w:rPr>
        <w:t>تنقسم الدراسة في هذا المبحث إلى مطلبين أساسين أولا محل الإثبات هو الواقعة القانونية، وثانيا محل الإثبات هو الواقع لا القانون.</w:t>
      </w:r>
    </w:p>
    <w:p w:rsidR="00304C81" w:rsidRDefault="00304C81" w:rsidP="00304C81">
      <w:pPr>
        <w:tabs>
          <w:tab w:val="right" w:pos="282"/>
        </w:tabs>
        <w:bidi/>
        <w:spacing w:after="0"/>
        <w:ind w:hanging="2"/>
        <w:jc w:val="both"/>
        <w:rPr>
          <w:rFonts w:cs="Simplified Arabic"/>
          <w:bCs/>
          <w:sz w:val="16"/>
          <w:szCs w:val="16"/>
          <w:u w:val="single"/>
          <w:rtl/>
          <w:lang w:bidi="ar-DZ"/>
        </w:rPr>
      </w:pPr>
    </w:p>
    <w:p w:rsidR="00304C81" w:rsidRDefault="00304C81" w:rsidP="00304C81">
      <w:pPr>
        <w:tabs>
          <w:tab w:val="right" w:pos="282"/>
        </w:tabs>
        <w:bidi/>
        <w:spacing w:after="0"/>
        <w:ind w:hanging="2"/>
        <w:jc w:val="both"/>
        <w:rPr>
          <w:rFonts w:cs="Simplified Arabic"/>
          <w:sz w:val="32"/>
          <w:szCs w:val="32"/>
          <w:rtl/>
          <w:lang w:bidi="ar-DZ"/>
        </w:rPr>
      </w:pPr>
      <w:r>
        <w:rPr>
          <w:rFonts w:cs="Simplified Arabic" w:hint="cs"/>
          <w:bCs/>
          <w:sz w:val="32"/>
          <w:szCs w:val="32"/>
          <w:u w:val="single"/>
          <w:rtl/>
          <w:lang w:bidi="ar-DZ"/>
        </w:rPr>
        <w:t>المطلب الأول</w:t>
      </w:r>
      <w:r>
        <w:rPr>
          <w:rFonts w:cs="Simplified Arabic" w:hint="cs"/>
          <w:bCs/>
          <w:sz w:val="32"/>
          <w:szCs w:val="32"/>
          <w:rtl/>
          <w:lang w:bidi="ar-DZ"/>
        </w:rPr>
        <w:t>: محل الإثبات هو الواقعة القانونية:</w:t>
      </w:r>
    </w:p>
    <w:p w:rsidR="00304C81" w:rsidRDefault="00304C81" w:rsidP="00304C81">
      <w:pPr>
        <w:tabs>
          <w:tab w:val="right" w:pos="282"/>
        </w:tabs>
        <w:bidi/>
        <w:spacing w:after="0"/>
        <w:ind w:hanging="2"/>
        <w:jc w:val="both"/>
        <w:rPr>
          <w:rFonts w:cs="Simplified Arabic"/>
          <w:sz w:val="10"/>
          <w:szCs w:val="10"/>
          <w:rtl/>
          <w:lang w:bidi="ar-DZ"/>
        </w:rPr>
      </w:pPr>
    </w:p>
    <w:p w:rsidR="00304C81" w:rsidRDefault="00304C81" w:rsidP="00304C81">
      <w:pPr>
        <w:tabs>
          <w:tab w:val="right" w:pos="282"/>
        </w:tabs>
        <w:bidi/>
        <w:spacing w:after="0"/>
        <w:ind w:firstLine="565"/>
        <w:jc w:val="both"/>
        <w:rPr>
          <w:rFonts w:cs="Simplified Arabic"/>
          <w:sz w:val="28"/>
          <w:szCs w:val="28"/>
          <w:rtl/>
          <w:lang w:bidi="ar-DZ"/>
        </w:rPr>
      </w:pPr>
      <w:r>
        <w:rPr>
          <w:rFonts w:cs="Simplified Arabic" w:hint="cs"/>
          <w:sz w:val="28"/>
          <w:szCs w:val="28"/>
          <w:rtl/>
          <w:lang w:bidi="ar-DZ"/>
        </w:rPr>
        <w:t>سبق وأن عرفنا الإثبات القضائي بأنه إقامة الدليل أمام القضاء بالطرق التي حددها القانون على حدوث واقعة قانونية معينة يرتب على حدوثها ثبوت الحق المتنازع عليه.</w:t>
      </w:r>
    </w:p>
    <w:p w:rsidR="00304C81" w:rsidRDefault="00304C81" w:rsidP="00304C81">
      <w:pPr>
        <w:tabs>
          <w:tab w:val="right" w:pos="282"/>
        </w:tabs>
        <w:bidi/>
        <w:spacing w:after="0"/>
        <w:ind w:firstLine="565"/>
        <w:jc w:val="both"/>
        <w:rPr>
          <w:rFonts w:cs="Simplified Arabic"/>
          <w:sz w:val="28"/>
          <w:szCs w:val="28"/>
          <w:rtl/>
          <w:lang w:bidi="ar-DZ"/>
        </w:rPr>
      </w:pPr>
      <w:r>
        <w:rPr>
          <w:rFonts w:cs="Simplified Arabic" w:hint="cs"/>
          <w:sz w:val="28"/>
          <w:szCs w:val="28"/>
          <w:rtl/>
          <w:lang w:bidi="ar-DZ"/>
        </w:rPr>
        <w:t>من هذا التعريف يتضح أن محل الإثبات ليس هو الحق المدعى به ذاته شخصيا كان هذا الحق أو عينيا، وإنما الواقعة القانونية التي أنشأت هذا الحق أو هذا الأثر، والواقعة القانونية التي هي محل للإثبات يقصد بها كل واقعة أو تصرف قانوني يرتب عليه القانون أثرا معينا.</w:t>
      </w:r>
      <w:r>
        <w:rPr>
          <w:rStyle w:val="Appelnotedebasdep"/>
          <w:rFonts w:cs="Simplified Arabic"/>
          <w:sz w:val="28"/>
          <w:szCs w:val="28"/>
          <w:lang w:bidi="ar-DZ"/>
        </w:rPr>
        <w:t>)</w:t>
      </w:r>
      <w:r>
        <w:rPr>
          <w:rStyle w:val="Appelnotedebasdep"/>
          <w:rFonts w:cs="Simplified Arabic" w:hint="cs"/>
          <w:sz w:val="28"/>
          <w:szCs w:val="28"/>
          <w:rtl/>
          <w:lang w:bidi="ar-DZ"/>
        </w:rPr>
        <w:t>1</w:t>
      </w:r>
      <w:r>
        <w:rPr>
          <w:rStyle w:val="Appelnotedebasdep"/>
          <w:rFonts w:cs="Simplified Arabic"/>
          <w:sz w:val="28"/>
          <w:szCs w:val="28"/>
          <w:lang w:bidi="ar-DZ"/>
        </w:rPr>
        <w:footnoteReference w:customMarkFollows="1" w:id="19"/>
        <w:t>(</w:t>
      </w:r>
      <w:r>
        <w:rPr>
          <w:rFonts w:cs="Simplified Arabic" w:hint="cs"/>
          <w:sz w:val="28"/>
          <w:szCs w:val="28"/>
          <w:rtl/>
          <w:lang w:bidi="ar-DZ"/>
        </w:rPr>
        <w:t xml:space="preserve"> </w:t>
      </w:r>
    </w:p>
    <w:p w:rsidR="00304C81" w:rsidRDefault="00304C81" w:rsidP="00304C81">
      <w:pPr>
        <w:tabs>
          <w:tab w:val="right" w:pos="282"/>
        </w:tabs>
        <w:bidi/>
        <w:spacing w:after="0"/>
        <w:ind w:firstLine="565"/>
        <w:jc w:val="both"/>
        <w:rPr>
          <w:rFonts w:cs="Simplified Arabic"/>
          <w:sz w:val="28"/>
          <w:szCs w:val="28"/>
          <w:rtl/>
          <w:lang w:bidi="ar-DZ"/>
        </w:rPr>
      </w:pPr>
      <w:r>
        <w:rPr>
          <w:rFonts w:cs="Simplified Arabic" w:hint="cs"/>
          <w:sz w:val="28"/>
          <w:szCs w:val="28"/>
          <w:rtl/>
          <w:lang w:bidi="ar-DZ"/>
        </w:rPr>
        <w:t>فمن  يدعي أن له دينا في ذمة الآخر عليه أن يثبت مصدر هذا الدين أي عليه أن يثبت الواقعة القانونية التي أنشأت الدين سواء كان ذلك تصرفا قانونيا، كالعقد، أم واقعة مادية ترتب عليها قيام هذا الدين في ذمتهُ كالعمل غير المشروع، هذا هو ما ينبغي إثباته.</w:t>
      </w:r>
    </w:p>
    <w:p w:rsidR="00304C81" w:rsidRDefault="00304C81" w:rsidP="00304C81">
      <w:pPr>
        <w:tabs>
          <w:tab w:val="right" w:pos="282"/>
        </w:tabs>
        <w:bidi/>
        <w:spacing w:after="0"/>
        <w:ind w:firstLine="707"/>
        <w:jc w:val="both"/>
        <w:rPr>
          <w:rFonts w:cs="Simplified Arabic"/>
          <w:sz w:val="28"/>
          <w:szCs w:val="28"/>
          <w:rtl/>
          <w:lang w:bidi="ar-DZ"/>
        </w:rPr>
      </w:pPr>
      <w:r>
        <w:rPr>
          <w:rFonts w:cs="Simplified Arabic" w:hint="cs"/>
          <w:sz w:val="28"/>
          <w:szCs w:val="28"/>
          <w:rtl/>
          <w:lang w:bidi="ar-DZ"/>
        </w:rPr>
        <w:t>بل والأكثر من ذلك فإن مصدر الحق ذاته قد يكون فكرة مجردة تستعصي عقلا على الإثبات كما لو كان مصدر الحق عمل غير المشروع، فإن فكرة الخطأ هي فكرة مجردة لا يمكن إثباتها في ذاتها، لذلك لابد من نقل محل الإثبات مرة أخرى من هذه الفكرة إلى وقائع والأعمال التي يمكن أن يستدل منها على وقوع فكرة الخطأ .</w:t>
      </w:r>
      <w:r>
        <w:rPr>
          <w:rStyle w:val="Appelnotedebasdep"/>
          <w:rFonts w:cs="Simplified Arabic"/>
          <w:sz w:val="28"/>
          <w:szCs w:val="28"/>
          <w:lang w:bidi="ar-DZ"/>
        </w:rPr>
        <w:t>)</w:t>
      </w:r>
      <w:r>
        <w:rPr>
          <w:rStyle w:val="Appelnotedebasdep"/>
          <w:rFonts w:cs="Simplified Arabic" w:hint="cs"/>
          <w:sz w:val="28"/>
          <w:szCs w:val="28"/>
          <w:rtl/>
          <w:lang w:bidi="ar-DZ"/>
        </w:rPr>
        <w:t>2</w:t>
      </w:r>
      <w:r>
        <w:rPr>
          <w:rStyle w:val="Appelnotedebasdep"/>
          <w:rFonts w:cs="Simplified Arabic"/>
          <w:sz w:val="28"/>
          <w:szCs w:val="28"/>
          <w:lang w:bidi="ar-DZ"/>
        </w:rPr>
        <w:footnoteReference w:customMarkFollows="1" w:id="20"/>
        <w:t>(</w:t>
      </w:r>
      <w:r>
        <w:rPr>
          <w:rFonts w:cs="Simplified Arabic" w:hint="cs"/>
          <w:sz w:val="28"/>
          <w:szCs w:val="28"/>
          <w:rtl/>
          <w:lang w:bidi="ar-DZ"/>
        </w:rPr>
        <w:t xml:space="preserve"> </w:t>
      </w:r>
    </w:p>
    <w:p w:rsidR="00304C81" w:rsidRDefault="00304C81" w:rsidP="00304C81">
      <w:pPr>
        <w:tabs>
          <w:tab w:val="right" w:pos="282"/>
        </w:tabs>
        <w:bidi/>
        <w:spacing w:after="0"/>
        <w:ind w:firstLine="565"/>
        <w:jc w:val="both"/>
        <w:rPr>
          <w:rFonts w:cs="Simplified Arabic"/>
          <w:b/>
          <w:sz w:val="28"/>
          <w:szCs w:val="28"/>
          <w:rtl/>
          <w:lang w:bidi="ar-DZ"/>
        </w:rPr>
      </w:pPr>
      <w:r>
        <w:rPr>
          <w:rFonts w:cs="Simplified Arabic" w:hint="cs"/>
          <w:sz w:val="28"/>
          <w:szCs w:val="28"/>
          <w:rtl/>
          <w:lang w:bidi="ar-DZ"/>
        </w:rPr>
        <w:t>وتصنف الوقائع القانونية التي هي مصدر للحقوق إلى وقائع طبيعية من عمل الطبيعة لا دخل للإنسان في حدوثها.</w:t>
      </w:r>
      <w:r>
        <w:rPr>
          <w:rStyle w:val="Appelnotedebasdep"/>
          <w:rFonts w:cs="Simplified Arabic"/>
          <w:sz w:val="28"/>
          <w:szCs w:val="28"/>
          <w:lang w:bidi="ar-DZ"/>
        </w:rPr>
        <w:t>)</w:t>
      </w:r>
      <w:r>
        <w:rPr>
          <w:rStyle w:val="Appelnotedebasdep"/>
          <w:rFonts w:cs="Simplified Arabic" w:hint="cs"/>
          <w:sz w:val="28"/>
          <w:szCs w:val="28"/>
          <w:rtl/>
          <w:lang w:bidi="ar-DZ"/>
        </w:rPr>
        <w:t>3</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21"/>
        <w:t>(</w:t>
      </w:r>
      <w:r>
        <w:rPr>
          <w:rFonts w:cs="Simplified Arabic" w:hint="cs"/>
          <w:sz w:val="28"/>
          <w:szCs w:val="28"/>
          <w:rtl/>
          <w:lang w:bidi="ar-DZ"/>
        </w:rPr>
        <w:t>وأخرى بشرية يكون للإنسان دخل في حدوثها، وهذه قد تكون أعمالا مادية</w:t>
      </w:r>
      <w:r>
        <w:rPr>
          <w:rStyle w:val="Appelnotedebasdep"/>
          <w:rFonts w:cs="Simplified Arabic"/>
          <w:sz w:val="28"/>
          <w:szCs w:val="28"/>
          <w:lang w:bidi="ar-DZ"/>
        </w:rPr>
        <w:t>)</w:t>
      </w:r>
      <w:r>
        <w:rPr>
          <w:rStyle w:val="Appelnotedebasdep"/>
          <w:rFonts w:cs="Simplified Arabic" w:hint="cs"/>
          <w:sz w:val="28"/>
          <w:szCs w:val="28"/>
          <w:rtl/>
          <w:lang w:bidi="ar-DZ"/>
        </w:rPr>
        <w:t>4</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22"/>
        <w:t>(</w:t>
      </w:r>
      <w:r>
        <w:rPr>
          <w:rFonts w:cs="Simplified Arabic" w:hint="cs"/>
          <w:b/>
          <w:sz w:val="28"/>
          <w:szCs w:val="28"/>
          <w:rtl/>
          <w:lang w:bidi="ar-DZ"/>
        </w:rPr>
        <w:t xml:space="preserve"> يرتب القانون على مجرد حدوثها أثرا قانونيا معينا بصرف النظر عن إرادة صاحبها، قَصدت ترتيب هذا الأثر أم لم تَقّصده</w:t>
      </w:r>
      <w:r>
        <w:rPr>
          <w:rFonts w:cs="Simplified Arabic" w:hint="cs"/>
          <w:sz w:val="28"/>
          <w:szCs w:val="28"/>
          <w:rtl/>
          <w:lang w:bidi="ar-DZ"/>
        </w:rPr>
        <w:t xml:space="preserve">، وقد تكون تصرفات قانونية تتجه فيها إرادة الإنسان إلى ترتيب أثر قانوني معين. وهذه قد تكون صادرة من شخص واحد فتسمى تصرفا </w:t>
      </w:r>
      <w:r>
        <w:rPr>
          <w:rFonts w:cs="Simplified Arabic" w:hint="cs"/>
          <w:b/>
          <w:sz w:val="28"/>
          <w:szCs w:val="28"/>
          <w:rtl/>
          <w:lang w:bidi="ar-DZ"/>
        </w:rPr>
        <w:t>انفراديا، وقد تكون صادرة من شخصين فتسمى عقدا.</w:t>
      </w:r>
    </w:p>
    <w:p w:rsidR="00304C81" w:rsidRDefault="00304C81" w:rsidP="00304C81">
      <w:pPr>
        <w:tabs>
          <w:tab w:val="right" w:pos="282"/>
        </w:tabs>
        <w:bidi/>
        <w:spacing w:after="0"/>
        <w:ind w:firstLine="565"/>
        <w:jc w:val="both"/>
        <w:rPr>
          <w:rFonts w:cs="Simplified Arabic"/>
          <w:b/>
          <w:sz w:val="28"/>
          <w:szCs w:val="28"/>
          <w:rtl/>
          <w:lang w:bidi="ar-DZ"/>
        </w:rPr>
      </w:pPr>
      <w:r>
        <w:rPr>
          <w:rFonts w:cs="Simplified Arabic" w:hint="cs"/>
          <w:b/>
          <w:sz w:val="28"/>
          <w:szCs w:val="28"/>
          <w:rtl/>
          <w:lang w:bidi="ar-DZ"/>
        </w:rPr>
        <w:lastRenderedPageBreak/>
        <w:t>ومن هنا يتضح الفارق بين التصرفات القانونية وما عداها من الوقائع القانونية الأخرى. فالأولى تتحكم فيها إرادة الإنسان، أما الثانية فالقانون هو الذي يرتب عليها أثارا قانونية وتسمى بالوقائع المادية، مقابلة للتصرفات القانونية.</w:t>
      </w:r>
    </w:p>
    <w:p w:rsidR="00304C81" w:rsidRDefault="00304C81" w:rsidP="00304C81">
      <w:pPr>
        <w:tabs>
          <w:tab w:val="right" w:pos="282"/>
        </w:tabs>
        <w:bidi/>
        <w:spacing w:after="0"/>
        <w:ind w:firstLine="565"/>
        <w:jc w:val="both"/>
        <w:rPr>
          <w:rFonts w:cs="Simplified Arabic"/>
          <w:sz w:val="28"/>
          <w:szCs w:val="28"/>
          <w:rtl/>
          <w:lang w:bidi="ar-DZ"/>
        </w:rPr>
      </w:pPr>
      <w:r>
        <w:rPr>
          <w:rFonts w:cs="Simplified Arabic" w:hint="cs"/>
          <w:b/>
          <w:sz w:val="28"/>
          <w:szCs w:val="28"/>
          <w:rtl/>
          <w:lang w:bidi="ar-DZ"/>
        </w:rPr>
        <w:t>وهذا الاختلاف في طبيعة التصرفات القانونية والأعمال المادية يترك أثرا هاما على نظام الإثبات في كل منهما، فالوقائع المادية هي لا تسمح بطبيعتها بإعداد دليل لإثباتها، فيجيز المشرع إثباتها بكل الطرق، أما التصرفات القانونية، فهي تعتمد في وجودها على إرادة الإنسان، فتسمح بتهيئة الدليل عليها عند إبرامها، الأمر الذي قد يتطلب القانون إثباتها بالكتابة، باستثناء التصرفات قليلة القيمة التي لا تتجاوز مبلغا معينا، أو كان الذي يطالب بالحق ليس طرفا في التصرف أي من الغير.</w:t>
      </w:r>
      <w:r>
        <w:rPr>
          <w:rStyle w:val="Appelnotedebasdep"/>
          <w:rFonts w:cs="Simplified Arabic"/>
          <w:sz w:val="28"/>
          <w:szCs w:val="28"/>
          <w:lang w:bidi="ar-DZ"/>
        </w:rPr>
        <w:t>)</w:t>
      </w:r>
      <w:r>
        <w:rPr>
          <w:rStyle w:val="Appelnotedebasdep"/>
          <w:rFonts w:cs="Simplified Arabic" w:hint="cs"/>
          <w:sz w:val="28"/>
          <w:szCs w:val="28"/>
          <w:rtl/>
          <w:lang w:bidi="ar-DZ"/>
        </w:rPr>
        <w:t>1</w:t>
      </w:r>
      <w:r>
        <w:rPr>
          <w:rStyle w:val="Appelnotedebasdep"/>
          <w:rFonts w:cs="Simplified Arabic"/>
          <w:sz w:val="28"/>
          <w:szCs w:val="28"/>
          <w:lang w:bidi="ar-DZ"/>
        </w:rPr>
        <w:footnoteReference w:customMarkFollows="1" w:id="23"/>
        <w:t>(</w:t>
      </w:r>
    </w:p>
    <w:p w:rsidR="00304C81" w:rsidRPr="00027440" w:rsidRDefault="00304C81" w:rsidP="00304C81">
      <w:pPr>
        <w:tabs>
          <w:tab w:val="right" w:pos="282"/>
        </w:tabs>
        <w:bidi/>
        <w:spacing w:after="0"/>
        <w:ind w:firstLine="565"/>
        <w:jc w:val="both"/>
        <w:rPr>
          <w:rFonts w:cs="Simplified Arabic"/>
          <w:sz w:val="10"/>
          <w:szCs w:val="10"/>
          <w:rtl/>
          <w:lang w:bidi="ar-DZ"/>
        </w:rPr>
      </w:pPr>
    </w:p>
    <w:p w:rsidR="00304C81" w:rsidRDefault="00304C81" w:rsidP="00304C81">
      <w:pPr>
        <w:bidi/>
        <w:spacing w:line="276" w:lineRule="auto"/>
        <w:jc w:val="left"/>
        <w:rPr>
          <w:rFonts w:cs="Simplified Arabic"/>
          <w:bCs/>
          <w:sz w:val="32"/>
          <w:szCs w:val="32"/>
          <w:lang w:bidi="ar-DZ"/>
        </w:rPr>
      </w:pPr>
      <w:r>
        <w:rPr>
          <w:rFonts w:cs="Simplified Arabic" w:hint="cs"/>
          <w:bCs/>
          <w:sz w:val="32"/>
          <w:szCs w:val="32"/>
          <w:u w:val="single"/>
          <w:rtl/>
          <w:lang w:bidi="ar-DZ"/>
        </w:rPr>
        <w:t>المطلب الثاني</w:t>
      </w:r>
      <w:r>
        <w:rPr>
          <w:rFonts w:cs="Simplified Arabic" w:hint="cs"/>
          <w:bCs/>
          <w:sz w:val="32"/>
          <w:szCs w:val="32"/>
          <w:rtl/>
          <w:lang w:bidi="ar-DZ"/>
        </w:rPr>
        <w:t>: محل الإثبات هو الواقع لا القانون:</w:t>
      </w:r>
    </w:p>
    <w:p w:rsidR="00304C81" w:rsidRDefault="00304C81" w:rsidP="00304C81">
      <w:pPr>
        <w:tabs>
          <w:tab w:val="right" w:pos="565"/>
        </w:tabs>
        <w:bidi/>
        <w:spacing w:after="0"/>
        <w:ind w:left="-2" w:firstLine="567"/>
        <w:jc w:val="both"/>
        <w:rPr>
          <w:rFonts w:cs="Simplified Arabic"/>
          <w:sz w:val="28"/>
          <w:szCs w:val="28"/>
          <w:rtl/>
          <w:lang w:bidi="ar-DZ"/>
        </w:rPr>
      </w:pPr>
      <w:r>
        <w:rPr>
          <w:rFonts w:cs="Simplified Arabic" w:hint="cs"/>
          <w:sz w:val="28"/>
          <w:szCs w:val="28"/>
          <w:rtl/>
          <w:lang w:bidi="ar-DZ"/>
        </w:rPr>
        <w:t>لاشك أن البداهة تقتضي أن يكون محل الإثبات هو عنصر الواقع وليس عنصر القانون، ووجه ذلك أن الغاية من الإثبات هي أن يؤكد كل خصم مزاعمه للقاضي الذي يفصل بينهم وذلك حتى يحظى بإقناعه فيصدر الحكم لصالحه وذلك أن مزاعم كل منهم هي واقع مجهول بالنسبة للقاضي، ومن هنا كان عنصر الواقع هو المحل الذي يطالب الخصوم بإثباته لقاضي الموضوع.</w:t>
      </w:r>
      <w:r>
        <w:rPr>
          <w:rStyle w:val="Appelnotedebasdep"/>
          <w:rFonts w:cs="Simplified Arabic" w:hint="cs"/>
          <w:sz w:val="28"/>
          <w:szCs w:val="28"/>
          <w:lang w:bidi="ar-DZ"/>
        </w:rPr>
        <w:t xml:space="preserve"> </w:t>
      </w:r>
      <w:r>
        <w:rPr>
          <w:rStyle w:val="Appelnotedebasdep"/>
          <w:rFonts w:cs="Simplified Arabic"/>
          <w:sz w:val="28"/>
          <w:szCs w:val="28"/>
          <w:lang w:bidi="ar-DZ"/>
        </w:rPr>
        <w:t>)</w:t>
      </w:r>
      <w:r>
        <w:rPr>
          <w:rStyle w:val="Appelnotedebasdep"/>
          <w:rFonts w:cs="Simplified Arabic" w:hint="cs"/>
          <w:sz w:val="28"/>
          <w:szCs w:val="28"/>
          <w:rtl/>
          <w:lang w:bidi="ar-DZ"/>
        </w:rPr>
        <w:t>2</w:t>
      </w:r>
      <w:r>
        <w:rPr>
          <w:rStyle w:val="Appelnotedebasdep"/>
          <w:rFonts w:cs="Simplified Arabic"/>
          <w:sz w:val="28"/>
          <w:szCs w:val="28"/>
          <w:lang w:bidi="ar-DZ"/>
        </w:rPr>
        <w:footnoteReference w:customMarkFollows="1" w:id="24"/>
        <w:t>(</w:t>
      </w:r>
      <w:r>
        <w:rPr>
          <w:rFonts w:cs="Simplified Arabic" w:hint="cs"/>
          <w:sz w:val="28"/>
          <w:szCs w:val="28"/>
          <w:rtl/>
          <w:lang w:bidi="ar-DZ"/>
        </w:rPr>
        <w:t xml:space="preserve"> </w:t>
      </w:r>
    </w:p>
    <w:p w:rsidR="00304C81" w:rsidRDefault="00304C81" w:rsidP="00304C81">
      <w:pPr>
        <w:tabs>
          <w:tab w:val="right" w:pos="565"/>
        </w:tabs>
        <w:bidi/>
        <w:spacing w:after="0"/>
        <w:ind w:left="-2" w:firstLine="567"/>
        <w:jc w:val="both"/>
        <w:rPr>
          <w:rFonts w:cs="Simplified Arabic"/>
          <w:sz w:val="28"/>
          <w:szCs w:val="28"/>
          <w:rtl/>
          <w:lang w:bidi="ar-DZ"/>
        </w:rPr>
      </w:pPr>
      <w:r>
        <w:rPr>
          <w:rFonts w:cs="Simplified Arabic" w:hint="cs"/>
          <w:sz w:val="28"/>
          <w:szCs w:val="28"/>
          <w:rtl/>
          <w:lang w:bidi="ar-DZ"/>
        </w:rPr>
        <w:t>أما عنصر القانون أو بعبارة أخرى النص القانوني الذي يرتب على ثبوت الواقعة(عنصر الواقع) كأثارًا معينة فهذا يفترض علم القاضي بها افتراضا لا يقبل إثبات العكس.</w:t>
      </w:r>
      <w:r>
        <w:rPr>
          <w:rStyle w:val="Appelnotedebasdep"/>
          <w:rFonts w:cs="Simplified Arabic" w:hint="cs"/>
          <w:sz w:val="28"/>
          <w:szCs w:val="28"/>
          <w:lang w:bidi="ar-DZ"/>
        </w:rPr>
        <w:t xml:space="preserve"> </w:t>
      </w:r>
      <w:r>
        <w:rPr>
          <w:rStyle w:val="Appelnotedebasdep"/>
          <w:rFonts w:cs="Simplified Arabic"/>
          <w:sz w:val="28"/>
          <w:szCs w:val="28"/>
          <w:lang w:bidi="ar-DZ"/>
        </w:rPr>
        <w:t>)</w:t>
      </w:r>
      <w:r>
        <w:rPr>
          <w:rStyle w:val="Appelnotedebasdep"/>
          <w:rFonts w:cs="Simplified Arabic" w:hint="cs"/>
          <w:sz w:val="28"/>
          <w:szCs w:val="28"/>
          <w:rtl/>
          <w:lang w:bidi="ar-DZ"/>
        </w:rPr>
        <w:t>3</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25"/>
        <w:t>(</w:t>
      </w:r>
    </w:p>
    <w:p w:rsidR="00304C81" w:rsidRDefault="00304C81" w:rsidP="00304C81">
      <w:pPr>
        <w:tabs>
          <w:tab w:val="right" w:pos="565"/>
        </w:tabs>
        <w:bidi/>
        <w:spacing w:after="0"/>
        <w:ind w:left="-2" w:firstLine="567"/>
        <w:jc w:val="both"/>
        <w:rPr>
          <w:rFonts w:cs="Simplified Arabic"/>
          <w:sz w:val="28"/>
          <w:szCs w:val="28"/>
          <w:rtl/>
          <w:lang w:bidi="ar-DZ"/>
        </w:rPr>
      </w:pPr>
      <w:r>
        <w:rPr>
          <w:rFonts w:cs="Simplified Arabic" w:hint="cs"/>
          <w:sz w:val="28"/>
          <w:szCs w:val="28"/>
          <w:rtl/>
          <w:lang w:bidi="ar-DZ"/>
        </w:rPr>
        <w:t>وعلى ذلك وما دام العلم بالقانون مفترض في جانب القاضي فلا يكلف الخصوم بإثبات أو البحث عن القاعدة القانونية الواجبة التطبيق على خصومتهم وإنما ذلك من شأن القاضي الذي عليه أن يبحث في المصادر القانونية المختلفة.</w:t>
      </w:r>
    </w:p>
    <w:p w:rsidR="00304C81" w:rsidRDefault="00304C81" w:rsidP="00304C81">
      <w:pPr>
        <w:tabs>
          <w:tab w:val="right" w:pos="282"/>
        </w:tabs>
        <w:bidi/>
        <w:spacing w:after="0"/>
        <w:jc w:val="both"/>
        <w:rPr>
          <w:rFonts w:cs="Simplified Arabic"/>
          <w:b/>
          <w:bCs/>
          <w:sz w:val="10"/>
          <w:szCs w:val="10"/>
          <w:rtl/>
          <w:lang w:bidi="ar-DZ"/>
        </w:rPr>
      </w:pPr>
    </w:p>
    <w:p w:rsidR="00304C81" w:rsidRDefault="00304C81" w:rsidP="00304C81">
      <w:pPr>
        <w:tabs>
          <w:tab w:val="right" w:pos="282"/>
        </w:tabs>
        <w:bidi/>
        <w:spacing w:after="0"/>
        <w:jc w:val="both"/>
        <w:rPr>
          <w:rFonts w:cs="Simplified Arabic"/>
          <w:sz w:val="28"/>
          <w:szCs w:val="28"/>
          <w:rtl/>
          <w:lang w:bidi="ar-DZ"/>
        </w:rPr>
      </w:pPr>
      <w:r>
        <w:rPr>
          <w:rFonts w:cs="Simplified Arabic" w:hint="cs"/>
          <w:b/>
          <w:bCs/>
          <w:sz w:val="28"/>
          <w:szCs w:val="28"/>
          <w:rtl/>
          <w:lang w:bidi="ar-DZ"/>
        </w:rPr>
        <w:t>ـ</w:t>
      </w:r>
      <w:r>
        <w:rPr>
          <w:rFonts w:cs="Simplified Arabic" w:hint="cs"/>
          <w:b/>
          <w:bCs/>
          <w:sz w:val="28"/>
          <w:szCs w:val="28"/>
          <w:u w:val="single"/>
          <w:rtl/>
          <w:lang w:bidi="ar-DZ"/>
        </w:rPr>
        <w:t xml:space="preserve"> استثناءات</w:t>
      </w:r>
      <w:r>
        <w:rPr>
          <w:rFonts w:cs="Simplified Arabic" w:hint="cs"/>
          <w:sz w:val="28"/>
          <w:szCs w:val="28"/>
          <w:rtl/>
          <w:lang w:bidi="ar-DZ"/>
        </w:rPr>
        <w:t xml:space="preserve">: </w:t>
      </w:r>
    </w:p>
    <w:p w:rsidR="00304C81" w:rsidRDefault="00304C81" w:rsidP="00304C81">
      <w:pPr>
        <w:tabs>
          <w:tab w:val="right" w:pos="282"/>
        </w:tabs>
        <w:bidi/>
        <w:spacing w:after="0"/>
        <w:ind w:firstLine="423"/>
        <w:jc w:val="both"/>
        <w:rPr>
          <w:rFonts w:cs="Simplified Arabic"/>
          <w:sz w:val="28"/>
          <w:szCs w:val="28"/>
          <w:rtl/>
          <w:lang w:bidi="ar-DZ"/>
        </w:rPr>
      </w:pPr>
      <w:r>
        <w:rPr>
          <w:rFonts w:cs="Simplified Arabic" w:hint="cs"/>
          <w:sz w:val="28"/>
          <w:szCs w:val="28"/>
          <w:rtl/>
          <w:lang w:bidi="ar-DZ"/>
        </w:rPr>
        <w:t>القاعدة أن إثبات القواعد القانونية مهمة القاضي لكن ثمة حالات استثنائية يتعين على الخصم فيها أن يثبت القاعدة القانونية التي تطبق على النزاع وهذه الحالات هي:</w:t>
      </w:r>
    </w:p>
    <w:p w:rsidR="00304C81" w:rsidRDefault="00304C81" w:rsidP="00304C81">
      <w:pPr>
        <w:tabs>
          <w:tab w:val="right" w:pos="282"/>
        </w:tabs>
        <w:bidi/>
        <w:spacing w:after="0"/>
        <w:ind w:firstLine="423"/>
        <w:jc w:val="both"/>
        <w:rPr>
          <w:rFonts w:cs="Simplified Arabic"/>
          <w:sz w:val="6"/>
          <w:szCs w:val="6"/>
          <w:rtl/>
          <w:lang w:bidi="ar-DZ"/>
        </w:rPr>
      </w:pPr>
    </w:p>
    <w:p w:rsidR="00304C81" w:rsidRDefault="00304C81" w:rsidP="00304C81">
      <w:pPr>
        <w:pStyle w:val="Paragraphedeliste"/>
        <w:tabs>
          <w:tab w:val="right" w:pos="423"/>
        </w:tabs>
        <w:bidi/>
        <w:spacing w:after="0"/>
        <w:ind w:left="-2"/>
        <w:jc w:val="both"/>
        <w:rPr>
          <w:rFonts w:cs="Simplified Arabic"/>
          <w:sz w:val="28"/>
          <w:szCs w:val="28"/>
          <w:rtl/>
          <w:lang w:bidi="ar-DZ"/>
        </w:rPr>
      </w:pPr>
      <w:r>
        <w:rPr>
          <w:rFonts w:cs="Simplified Arabic" w:hint="cs"/>
          <w:b/>
          <w:bCs/>
          <w:sz w:val="28"/>
          <w:szCs w:val="28"/>
          <w:rtl/>
          <w:lang w:bidi="ar-DZ"/>
        </w:rPr>
        <w:t>1 ـ</w:t>
      </w:r>
      <w:r>
        <w:rPr>
          <w:rFonts w:cs="Simplified Arabic" w:hint="cs"/>
          <w:b/>
          <w:bCs/>
          <w:sz w:val="28"/>
          <w:szCs w:val="28"/>
          <w:u w:val="single"/>
          <w:rtl/>
          <w:lang w:bidi="ar-DZ"/>
        </w:rPr>
        <w:t xml:space="preserve"> إثبات العرف والعادة</w:t>
      </w:r>
      <w:r>
        <w:rPr>
          <w:rFonts w:cs="Simplified Arabic" w:hint="cs"/>
          <w:b/>
          <w:bCs/>
          <w:sz w:val="28"/>
          <w:szCs w:val="28"/>
          <w:rtl/>
          <w:lang w:bidi="ar-DZ"/>
        </w:rPr>
        <w:t xml:space="preserve">: </w:t>
      </w:r>
    </w:p>
    <w:p w:rsidR="00304C81" w:rsidRDefault="00304C81" w:rsidP="00304C81">
      <w:pPr>
        <w:pStyle w:val="Paragraphedeliste"/>
        <w:tabs>
          <w:tab w:val="right" w:pos="423"/>
        </w:tabs>
        <w:bidi/>
        <w:spacing w:after="0"/>
        <w:ind w:left="-2" w:firstLine="567"/>
        <w:jc w:val="both"/>
        <w:rPr>
          <w:rFonts w:cs="Simplified Arabic"/>
          <w:sz w:val="28"/>
          <w:szCs w:val="28"/>
          <w:lang w:bidi="ar-DZ"/>
        </w:rPr>
      </w:pPr>
      <w:r>
        <w:rPr>
          <w:rFonts w:cs="Simplified Arabic" w:hint="cs"/>
          <w:sz w:val="28"/>
          <w:szCs w:val="28"/>
          <w:rtl/>
          <w:lang w:bidi="ar-DZ"/>
        </w:rPr>
        <w:t xml:space="preserve">تختلف العادة الاتفاقية عن العرف في أن هذا الأخير عادة استقرت في ضمير الجماعة وارتقى إلى مستوى الإلزام، أما العادة الاتفاقية فهي مجرد عادة ليس لها صفة الإلزام إلا إذا اتجهت نية الأشخاص إلى الأخذ بحكمها صراحة أو ضمنًا. وعلى ذلك فإن العرف قاعدة قانونية ملزمة للأفراد بذاتها يطبقها القاضي عليهم دون النظر إلى رضاهم، فإن العادة الاتفاقية لا يلتزم بها الأفراد إلا بناء على اتفاقهم، فهي ليست  إذا بقاعدة قانونية لأن خصائص القاعدة القانونية تكون ملزمة بذاتها، ما يجعل العادة الاتفاقية تدخل في عنصر </w:t>
      </w:r>
      <w:r>
        <w:rPr>
          <w:rFonts w:cs="Simplified Arabic" w:hint="cs"/>
          <w:sz w:val="28"/>
          <w:szCs w:val="28"/>
          <w:rtl/>
          <w:lang w:bidi="ar-DZ"/>
        </w:rPr>
        <w:lastRenderedPageBreak/>
        <w:t>الواقع ومتى كان الأمر كذلك وجب على من يستند في دعواه إلى عادة اتفاقية إثبات قيام هذه العادة إذا كان قاضي الموضوع يجهلها وإلا خسر دعواه .</w:t>
      </w:r>
      <w:r>
        <w:rPr>
          <w:rStyle w:val="Appelnotedebasdep"/>
          <w:rFonts w:cs="Simplified Arabic"/>
          <w:sz w:val="28"/>
          <w:szCs w:val="28"/>
          <w:lang w:bidi="ar-DZ"/>
        </w:rPr>
        <w:t>)</w:t>
      </w:r>
      <w:r>
        <w:rPr>
          <w:rStyle w:val="Appelnotedebasdep"/>
          <w:rFonts w:cs="Simplified Arabic" w:hint="cs"/>
          <w:sz w:val="28"/>
          <w:szCs w:val="28"/>
          <w:rtl/>
          <w:lang w:bidi="ar-DZ"/>
        </w:rPr>
        <w:t>1</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26"/>
        <w:t>(</w:t>
      </w:r>
    </w:p>
    <w:p w:rsidR="00304C81" w:rsidRDefault="00304C81" w:rsidP="00304C81">
      <w:pPr>
        <w:pStyle w:val="Paragraphedeliste"/>
        <w:tabs>
          <w:tab w:val="right" w:pos="423"/>
        </w:tabs>
        <w:bidi/>
        <w:spacing w:after="0"/>
        <w:ind w:left="-2" w:firstLine="567"/>
        <w:jc w:val="both"/>
        <w:rPr>
          <w:rFonts w:cs="Simplified Arabic"/>
          <w:sz w:val="10"/>
          <w:szCs w:val="10"/>
          <w:rtl/>
          <w:lang w:bidi="ar-DZ"/>
        </w:rPr>
      </w:pPr>
    </w:p>
    <w:p w:rsidR="00304C81" w:rsidRDefault="00304C81" w:rsidP="00304C81">
      <w:pPr>
        <w:pStyle w:val="Paragraphedeliste"/>
        <w:tabs>
          <w:tab w:val="right" w:pos="423"/>
        </w:tabs>
        <w:bidi/>
        <w:spacing w:after="0"/>
        <w:ind w:left="-2"/>
        <w:jc w:val="both"/>
        <w:rPr>
          <w:rFonts w:cs="Simplified Arabic"/>
          <w:sz w:val="28"/>
          <w:szCs w:val="28"/>
          <w:rtl/>
          <w:lang w:bidi="ar-DZ"/>
        </w:rPr>
      </w:pPr>
      <w:r>
        <w:rPr>
          <w:rFonts w:cs="Simplified Arabic" w:hint="cs"/>
          <w:b/>
          <w:bCs/>
          <w:sz w:val="28"/>
          <w:szCs w:val="28"/>
          <w:rtl/>
          <w:lang w:bidi="ar-DZ"/>
        </w:rPr>
        <w:t>2 ـ</w:t>
      </w:r>
      <w:r>
        <w:rPr>
          <w:rFonts w:cs="Simplified Arabic" w:hint="cs"/>
          <w:sz w:val="28"/>
          <w:szCs w:val="28"/>
          <w:rtl/>
          <w:lang w:bidi="ar-DZ"/>
        </w:rPr>
        <w:t xml:space="preserve"> </w:t>
      </w:r>
      <w:r>
        <w:rPr>
          <w:rFonts w:cs="Simplified Arabic" w:hint="cs"/>
          <w:b/>
          <w:bCs/>
          <w:sz w:val="28"/>
          <w:szCs w:val="28"/>
          <w:u w:val="single"/>
          <w:rtl/>
          <w:lang w:bidi="ar-DZ"/>
        </w:rPr>
        <w:t>إثبات القانون الأجنبي</w:t>
      </w:r>
      <w:r>
        <w:rPr>
          <w:rFonts w:cs="Simplified Arabic" w:hint="cs"/>
          <w:b/>
          <w:bCs/>
          <w:sz w:val="28"/>
          <w:szCs w:val="28"/>
          <w:rtl/>
          <w:lang w:bidi="ar-DZ"/>
        </w:rPr>
        <w:t xml:space="preserve">: </w:t>
      </w:r>
    </w:p>
    <w:p w:rsidR="00304C81" w:rsidRDefault="00304C81" w:rsidP="00304C81">
      <w:pPr>
        <w:pStyle w:val="Paragraphedeliste"/>
        <w:tabs>
          <w:tab w:val="right" w:pos="849"/>
        </w:tabs>
        <w:bidi/>
        <w:spacing w:after="0"/>
        <w:ind w:left="-2" w:firstLine="567"/>
        <w:jc w:val="both"/>
        <w:rPr>
          <w:rFonts w:cs="Simplified Arabic"/>
          <w:sz w:val="28"/>
          <w:szCs w:val="28"/>
          <w:lang w:bidi="ar-DZ"/>
        </w:rPr>
      </w:pPr>
      <w:r>
        <w:rPr>
          <w:rFonts w:cs="Simplified Arabic" w:hint="cs"/>
          <w:sz w:val="28"/>
          <w:szCs w:val="28"/>
          <w:rtl/>
          <w:lang w:bidi="ar-DZ"/>
        </w:rPr>
        <w:t>قد تكون القاعدة القانونية الواجبة التطبيق على النزاع هي قاعدة قانون أجنبي، فإذا كانت القاعدة مصدرها العرف وكان هذا العرف عامًا فإنها تعتبر قانونا ويفرض علم  القاضي بها، ولكن إذا كان العرف محليا أو مهنيا، ما يجعله لا يبلغ حد الشهرة الذي لا يسمح بافتراض علم القاضي به، فيأخذ علم العادة الاتفاقية، ولكن بعد ثبوته يأخذ حكم العام</w:t>
      </w:r>
      <w:r>
        <w:rPr>
          <w:rFonts w:cs="Simplified Arabic" w:hint="cs"/>
          <w:b/>
          <w:sz w:val="28"/>
          <w:szCs w:val="28"/>
          <w:rtl/>
          <w:lang w:bidi="ar-DZ"/>
        </w:rPr>
        <w:t>.</w:t>
      </w:r>
      <w:r>
        <w:rPr>
          <w:rStyle w:val="Appelnotedebasdep"/>
          <w:rFonts w:cs="Simplified Arabic"/>
          <w:sz w:val="28"/>
          <w:szCs w:val="28"/>
          <w:lang w:bidi="ar-DZ"/>
        </w:rPr>
        <w:t>)</w:t>
      </w:r>
      <w:r>
        <w:rPr>
          <w:rStyle w:val="Appelnotedebasdep"/>
          <w:rFonts w:cs="Simplified Arabic" w:hint="cs"/>
          <w:sz w:val="28"/>
          <w:szCs w:val="28"/>
          <w:rtl/>
          <w:lang w:bidi="ar-DZ"/>
        </w:rPr>
        <w:t>2</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27"/>
        <w:t>(</w:t>
      </w:r>
      <w:r>
        <w:rPr>
          <w:rFonts w:cs="Simplified Arabic" w:hint="cs"/>
          <w:sz w:val="28"/>
          <w:szCs w:val="28"/>
          <w:rtl/>
          <w:lang w:bidi="ar-DZ"/>
        </w:rPr>
        <w:t xml:space="preserve"> </w:t>
      </w:r>
    </w:p>
    <w:p w:rsidR="00304C81" w:rsidRDefault="00304C81" w:rsidP="00304C81">
      <w:pPr>
        <w:tabs>
          <w:tab w:val="right" w:pos="282"/>
        </w:tabs>
        <w:bidi/>
        <w:spacing w:after="0"/>
        <w:ind w:firstLine="423"/>
        <w:jc w:val="both"/>
        <w:rPr>
          <w:rFonts w:cs="Simplified Arabic"/>
          <w:sz w:val="28"/>
          <w:szCs w:val="28"/>
          <w:vertAlign w:val="superscript"/>
          <w:rtl/>
          <w:lang w:bidi="ar-DZ"/>
        </w:rPr>
      </w:pPr>
      <w:r>
        <w:rPr>
          <w:rFonts w:cs="Simplified Arabic" w:hint="cs"/>
          <w:sz w:val="28"/>
          <w:szCs w:val="28"/>
          <w:rtl/>
          <w:lang w:bidi="ar-DZ"/>
        </w:rPr>
        <w:t>بمقتضى قواعد الإسناد وعادة ما يكون هذا القانون غير معروف لدى القاضي. الذي جرى عليه العمل لدى القضاء الفرنسي أن القانون الأجنبي يأخذ عنصر حكم الواقع، ويقع على الخصم الذي يتمسك به عبء إثباته.</w:t>
      </w:r>
      <w:r>
        <w:rPr>
          <w:rStyle w:val="Appelnotedebasdep"/>
          <w:rFonts w:cs="Simplified Arabic"/>
          <w:sz w:val="28"/>
          <w:szCs w:val="28"/>
          <w:lang w:bidi="ar-DZ"/>
        </w:rPr>
        <w:t>)</w:t>
      </w:r>
      <w:r>
        <w:rPr>
          <w:rStyle w:val="Appelnotedebasdep"/>
          <w:rFonts w:cs="Simplified Arabic" w:hint="cs"/>
          <w:sz w:val="28"/>
          <w:szCs w:val="28"/>
          <w:rtl/>
          <w:lang w:bidi="ar-DZ"/>
        </w:rPr>
        <w:t>3</w:t>
      </w:r>
      <w:r>
        <w:rPr>
          <w:rStyle w:val="Appelnotedebasdep"/>
          <w:rFonts w:cs="Simplified Arabic"/>
          <w:sz w:val="28"/>
          <w:szCs w:val="28"/>
          <w:lang w:bidi="ar-DZ"/>
        </w:rPr>
        <w:footnoteReference w:customMarkFollows="1" w:id="28"/>
        <w:t>(</w:t>
      </w:r>
    </w:p>
    <w:p w:rsidR="00304C81" w:rsidRDefault="00304C81" w:rsidP="00304C81">
      <w:pPr>
        <w:tabs>
          <w:tab w:val="right" w:pos="282"/>
        </w:tabs>
        <w:bidi/>
        <w:spacing w:after="0"/>
        <w:ind w:firstLine="423"/>
        <w:jc w:val="both"/>
        <w:rPr>
          <w:rFonts w:cs="Simplified Arabic"/>
          <w:sz w:val="28"/>
          <w:szCs w:val="28"/>
          <w:rtl/>
          <w:lang w:bidi="ar-DZ"/>
        </w:rPr>
      </w:pPr>
      <w:r>
        <w:rPr>
          <w:rFonts w:cs="Simplified Arabic" w:hint="cs"/>
          <w:sz w:val="28"/>
          <w:szCs w:val="28"/>
          <w:rtl/>
          <w:lang w:bidi="ar-DZ"/>
        </w:rPr>
        <w:t>والرأي الغالب في الفقه</w:t>
      </w:r>
      <w:r>
        <w:rPr>
          <w:rStyle w:val="Appelnotedebasdep"/>
          <w:rFonts w:cs="Simplified Arabic"/>
          <w:sz w:val="28"/>
          <w:szCs w:val="28"/>
          <w:lang w:bidi="ar-DZ"/>
        </w:rPr>
        <w:t xml:space="preserve">) </w:t>
      </w:r>
      <w:r>
        <w:rPr>
          <w:rStyle w:val="Appelnotedebasdep"/>
          <w:rFonts w:cs="Simplified Arabic" w:hint="cs"/>
          <w:sz w:val="28"/>
          <w:szCs w:val="28"/>
          <w:rtl/>
          <w:lang w:bidi="ar-DZ"/>
        </w:rPr>
        <w:t>4</w:t>
      </w:r>
      <w:r>
        <w:rPr>
          <w:rStyle w:val="Appelnotedebasdep"/>
          <w:rFonts w:cs="Simplified Arabic"/>
          <w:sz w:val="28"/>
          <w:szCs w:val="28"/>
          <w:lang w:bidi="ar-DZ"/>
        </w:rPr>
        <w:footnoteReference w:customMarkFollows="1" w:id="29"/>
        <w:t>(</w:t>
      </w:r>
      <w:r>
        <w:rPr>
          <w:rFonts w:cs="Simplified Arabic" w:hint="cs"/>
          <w:sz w:val="28"/>
          <w:szCs w:val="28"/>
          <w:rtl/>
          <w:lang w:bidi="ar-DZ"/>
        </w:rPr>
        <w:t>. يذهب إلى أن قواعد القانون الأجنبي لا يمكن أن تفقد طابعها وتتحول إلى مجرد وقائع، بمجرد أن الذي يطبقها هو قاضي أجنبي، ولهذا فإن إثبات القانون الأجنبي وتطبيقه يعد مسألة قانون ولا شأن للخصوم بها، على القاضي أن يطبقه من تلقاء نفسه .</w:t>
      </w:r>
      <w:r>
        <w:rPr>
          <w:rStyle w:val="Appelnotedebasdep"/>
          <w:rFonts w:cs="Simplified Arabic"/>
          <w:sz w:val="28"/>
          <w:szCs w:val="28"/>
          <w:lang w:bidi="ar-DZ"/>
        </w:rPr>
        <w:t>)</w:t>
      </w:r>
      <w:r>
        <w:rPr>
          <w:rStyle w:val="Appelnotedebasdep"/>
          <w:rFonts w:cs="Simplified Arabic" w:hint="cs"/>
          <w:sz w:val="28"/>
          <w:szCs w:val="28"/>
          <w:rtl/>
          <w:lang w:bidi="ar-DZ"/>
        </w:rPr>
        <w:t>5</w:t>
      </w:r>
      <w:r>
        <w:rPr>
          <w:rStyle w:val="Appelnotedebasdep"/>
          <w:rFonts w:cs="Simplified Arabic"/>
          <w:sz w:val="28"/>
          <w:szCs w:val="28"/>
          <w:lang w:bidi="ar-DZ"/>
        </w:rPr>
        <w:footnoteReference w:customMarkFollows="1" w:id="30"/>
        <w:t>(</w:t>
      </w:r>
      <w:r>
        <w:rPr>
          <w:rFonts w:cs="Simplified Arabic" w:hint="cs"/>
          <w:sz w:val="28"/>
          <w:szCs w:val="28"/>
          <w:rtl/>
          <w:lang w:bidi="ar-DZ"/>
        </w:rPr>
        <w:t xml:space="preserve"> </w:t>
      </w:r>
    </w:p>
    <w:p w:rsidR="00304C81" w:rsidRDefault="00304C81" w:rsidP="00304C81">
      <w:pPr>
        <w:tabs>
          <w:tab w:val="right" w:pos="282"/>
        </w:tabs>
        <w:bidi/>
        <w:spacing w:after="0"/>
        <w:ind w:hanging="2"/>
        <w:jc w:val="both"/>
        <w:rPr>
          <w:rFonts w:cs="Simplified Arabic"/>
          <w:sz w:val="36"/>
          <w:szCs w:val="36"/>
          <w:u w:val="single"/>
          <w:rtl/>
          <w:lang w:bidi="ar-DZ"/>
        </w:rPr>
      </w:pPr>
    </w:p>
    <w:p w:rsidR="00304C81" w:rsidRDefault="00304C81" w:rsidP="00304C81">
      <w:pPr>
        <w:tabs>
          <w:tab w:val="right" w:pos="282"/>
        </w:tabs>
        <w:bidi/>
        <w:spacing w:after="0"/>
        <w:ind w:hanging="2"/>
        <w:jc w:val="both"/>
        <w:rPr>
          <w:rFonts w:cs="Simplified Arabic"/>
          <w:sz w:val="36"/>
          <w:szCs w:val="36"/>
          <w:u w:val="single"/>
          <w:rtl/>
          <w:lang w:bidi="ar-DZ"/>
        </w:rPr>
      </w:pPr>
    </w:p>
    <w:p w:rsidR="00304C81" w:rsidRDefault="00304C81" w:rsidP="00304C81">
      <w:pPr>
        <w:tabs>
          <w:tab w:val="right" w:pos="282"/>
        </w:tabs>
        <w:bidi/>
        <w:spacing w:after="0"/>
        <w:ind w:hanging="2"/>
        <w:jc w:val="both"/>
        <w:rPr>
          <w:rFonts w:cs="Simplified Arabic"/>
          <w:sz w:val="36"/>
          <w:szCs w:val="36"/>
          <w:u w:val="single"/>
          <w:rtl/>
          <w:lang w:bidi="ar-DZ"/>
        </w:rPr>
      </w:pPr>
    </w:p>
    <w:p w:rsidR="00304C81" w:rsidRDefault="00304C81" w:rsidP="00304C81">
      <w:pPr>
        <w:tabs>
          <w:tab w:val="right" w:pos="282"/>
        </w:tabs>
        <w:bidi/>
        <w:spacing w:after="0"/>
        <w:ind w:hanging="2"/>
        <w:jc w:val="both"/>
        <w:rPr>
          <w:rFonts w:cs="Simplified Arabic"/>
          <w:sz w:val="36"/>
          <w:szCs w:val="36"/>
          <w:u w:val="single"/>
          <w:rtl/>
          <w:lang w:bidi="ar-DZ"/>
        </w:rPr>
      </w:pPr>
    </w:p>
    <w:p w:rsidR="00304C81" w:rsidRDefault="00304C81" w:rsidP="00304C81">
      <w:pPr>
        <w:tabs>
          <w:tab w:val="right" w:pos="282"/>
        </w:tabs>
        <w:bidi/>
        <w:spacing w:after="0"/>
        <w:ind w:hanging="2"/>
        <w:jc w:val="both"/>
        <w:rPr>
          <w:rFonts w:cs="Simplified Arabic"/>
          <w:sz w:val="36"/>
          <w:szCs w:val="36"/>
          <w:u w:val="single"/>
          <w:rtl/>
          <w:lang w:bidi="ar-DZ"/>
        </w:rPr>
      </w:pPr>
    </w:p>
    <w:p w:rsidR="00304C81" w:rsidRDefault="00304C81" w:rsidP="00304C81">
      <w:pPr>
        <w:tabs>
          <w:tab w:val="right" w:pos="282"/>
        </w:tabs>
        <w:bidi/>
        <w:spacing w:after="0"/>
        <w:ind w:hanging="2"/>
        <w:jc w:val="both"/>
        <w:rPr>
          <w:rFonts w:cs="Simplified Arabic"/>
          <w:sz w:val="36"/>
          <w:szCs w:val="36"/>
          <w:u w:val="single"/>
          <w:rtl/>
          <w:lang w:bidi="ar-DZ"/>
        </w:rPr>
      </w:pPr>
    </w:p>
    <w:p w:rsidR="00304C81" w:rsidRDefault="00304C81" w:rsidP="00304C81">
      <w:pPr>
        <w:tabs>
          <w:tab w:val="right" w:pos="282"/>
        </w:tabs>
        <w:bidi/>
        <w:spacing w:after="0"/>
        <w:ind w:hanging="2"/>
        <w:jc w:val="both"/>
        <w:rPr>
          <w:rFonts w:cs="Simplified Arabic"/>
          <w:sz w:val="36"/>
          <w:szCs w:val="36"/>
          <w:u w:val="single"/>
          <w:rtl/>
          <w:lang w:bidi="ar-DZ"/>
        </w:rPr>
      </w:pPr>
    </w:p>
    <w:p w:rsidR="00304C81" w:rsidRDefault="00304C81" w:rsidP="00304C81">
      <w:pPr>
        <w:tabs>
          <w:tab w:val="right" w:pos="282"/>
        </w:tabs>
        <w:bidi/>
        <w:spacing w:after="0"/>
        <w:ind w:hanging="2"/>
        <w:jc w:val="both"/>
        <w:rPr>
          <w:rFonts w:cs="Simplified Arabic"/>
          <w:sz w:val="36"/>
          <w:szCs w:val="36"/>
          <w:u w:val="single"/>
          <w:rtl/>
          <w:lang w:bidi="ar-DZ"/>
        </w:rPr>
      </w:pPr>
    </w:p>
    <w:p w:rsidR="00304C81" w:rsidRDefault="00304C81" w:rsidP="00304C81">
      <w:pPr>
        <w:tabs>
          <w:tab w:val="right" w:pos="282"/>
        </w:tabs>
        <w:bidi/>
        <w:spacing w:after="0"/>
        <w:ind w:hanging="2"/>
        <w:jc w:val="both"/>
        <w:rPr>
          <w:rFonts w:cs="Simplified Arabic"/>
          <w:sz w:val="36"/>
          <w:szCs w:val="36"/>
          <w:u w:val="single"/>
          <w:rtl/>
          <w:lang w:bidi="ar-DZ"/>
        </w:rPr>
      </w:pPr>
    </w:p>
    <w:p w:rsidR="00027440" w:rsidRDefault="00027440" w:rsidP="00027440">
      <w:pPr>
        <w:tabs>
          <w:tab w:val="right" w:pos="282"/>
        </w:tabs>
        <w:bidi/>
        <w:spacing w:after="0"/>
        <w:ind w:hanging="2"/>
        <w:jc w:val="both"/>
        <w:rPr>
          <w:rFonts w:cs="Simplified Arabic"/>
          <w:sz w:val="36"/>
          <w:szCs w:val="36"/>
          <w:u w:val="single"/>
          <w:rtl/>
          <w:lang w:bidi="ar-DZ"/>
        </w:rPr>
      </w:pPr>
    </w:p>
    <w:p w:rsidR="00027440" w:rsidRDefault="00027440" w:rsidP="00027440">
      <w:pPr>
        <w:tabs>
          <w:tab w:val="right" w:pos="282"/>
        </w:tabs>
        <w:bidi/>
        <w:spacing w:after="0"/>
        <w:ind w:hanging="2"/>
        <w:jc w:val="both"/>
        <w:rPr>
          <w:rFonts w:cs="Simplified Arabic"/>
          <w:sz w:val="36"/>
          <w:szCs w:val="36"/>
          <w:u w:val="single"/>
          <w:rtl/>
          <w:lang w:bidi="ar-DZ"/>
        </w:rPr>
      </w:pPr>
    </w:p>
    <w:p w:rsidR="00304C81" w:rsidRDefault="00304C81" w:rsidP="00304C81">
      <w:pPr>
        <w:tabs>
          <w:tab w:val="right" w:pos="282"/>
        </w:tabs>
        <w:bidi/>
        <w:spacing w:after="0"/>
        <w:ind w:hanging="2"/>
        <w:jc w:val="center"/>
        <w:rPr>
          <w:rFonts w:cs="Simplified Arabic"/>
          <w:sz w:val="36"/>
          <w:szCs w:val="36"/>
          <w:rtl/>
          <w:lang w:bidi="ar-DZ"/>
        </w:rPr>
      </w:pPr>
      <w:r>
        <w:rPr>
          <w:rFonts w:cs="Simplified Arabic" w:hint="cs"/>
          <w:sz w:val="36"/>
          <w:szCs w:val="36"/>
          <w:rtl/>
          <w:lang w:bidi="ar-DZ"/>
        </w:rPr>
        <w:lastRenderedPageBreak/>
        <w:t>المبحث الثاني</w:t>
      </w:r>
    </w:p>
    <w:p w:rsidR="00304C81" w:rsidRDefault="00304C81" w:rsidP="00304C81">
      <w:pPr>
        <w:tabs>
          <w:tab w:val="right" w:pos="282"/>
        </w:tabs>
        <w:bidi/>
        <w:spacing w:after="0"/>
        <w:ind w:hanging="2"/>
        <w:jc w:val="center"/>
        <w:rPr>
          <w:rFonts w:cs="Simplified Arabic"/>
          <w:sz w:val="28"/>
          <w:szCs w:val="28"/>
          <w:rtl/>
          <w:lang w:bidi="ar-DZ"/>
        </w:rPr>
      </w:pPr>
      <w:r>
        <w:rPr>
          <w:rFonts w:cs="Simplified Arabic" w:hint="cs"/>
          <w:sz w:val="36"/>
          <w:szCs w:val="36"/>
          <w:rtl/>
          <w:lang w:bidi="ar-DZ"/>
        </w:rPr>
        <w:t>شروط الواقعة محل الإثبات</w:t>
      </w:r>
    </w:p>
    <w:p w:rsidR="00304C81" w:rsidRDefault="00304C81" w:rsidP="00304C81">
      <w:pPr>
        <w:tabs>
          <w:tab w:val="right" w:pos="282"/>
        </w:tabs>
        <w:bidi/>
        <w:spacing w:after="0"/>
        <w:ind w:hanging="2"/>
        <w:jc w:val="center"/>
        <w:rPr>
          <w:rFonts w:cs="Simplified Arabic"/>
          <w:sz w:val="16"/>
          <w:szCs w:val="16"/>
          <w:rtl/>
          <w:lang w:bidi="ar-DZ"/>
        </w:rPr>
      </w:pPr>
    </w:p>
    <w:p w:rsidR="00304C81" w:rsidRDefault="00304C81" w:rsidP="00304C81">
      <w:pPr>
        <w:tabs>
          <w:tab w:val="right" w:pos="282"/>
        </w:tabs>
        <w:bidi/>
        <w:spacing w:after="0"/>
        <w:ind w:firstLine="565"/>
        <w:jc w:val="both"/>
        <w:rPr>
          <w:rFonts w:cs="Simplified Arabic"/>
          <w:sz w:val="16"/>
          <w:szCs w:val="16"/>
          <w:rtl/>
          <w:lang w:bidi="ar-DZ"/>
        </w:rPr>
      </w:pPr>
    </w:p>
    <w:p w:rsidR="00304C81" w:rsidRDefault="00304C81" w:rsidP="00304C81">
      <w:pPr>
        <w:tabs>
          <w:tab w:val="right" w:pos="282"/>
        </w:tabs>
        <w:bidi/>
        <w:spacing w:after="0"/>
        <w:ind w:firstLine="565"/>
        <w:jc w:val="both"/>
        <w:rPr>
          <w:rFonts w:cs="Simplified Arabic"/>
          <w:sz w:val="28"/>
          <w:szCs w:val="28"/>
          <w:rtl/>
          <w:lang w:bidi="ar-DZ"/>
        </w:rPr>
      </w:pPr>
      <w:r>
        <w:rPr>
          <w:rFonts w:cs="Simplified Arabic" w:hint="cs"/>
          <w:sz w:val="28"/>
          <w:szCs w:val="28"/>
          <w:rtl/>
          <w:lang w:bidi="ar-DZ"/>
        </w:rPr>
        <w:t xml:space="preserve">  الأصل أن كل خصم يملك اختيار الوقائع القانونية التي يستند إليها في تبرير دعواه غير أن هذه الحرية تَرد عليها قيود بعضها مستمد من طبيعة الأشياء والبعض الآخر يفرضه المشرع حرصًا على حسن  سير العدالة، ولم ينص المشرع الجزائري على تحديد الشروط الواجب توافرها في الواقعة محل الإثبات.</w:t>
      </w:r>
    </w:p>
    <w:p w:rsidR="00304C81" w:rsidRDefault="00304C81" w:rsidP="00304C81">
      <w:pPr>
        <w:tabs>
          <w:tab w:val="right" w:pos="282"/>
        </w:tabs>
        <w:bidi/>
        <w:spacing w:after="0"/>
        <w:ind w:firstLine="565"/>
        <w:jc w:val="both"/>
        <w:rPr>
          <w:rFonts w:cs="Simplified Arabic"/>
          <w:sz w:val="28"/>
          <w:szCs w:val="28"/>
          <w:rtl/>
          <w:lang w:bidi="ar-DZ"/>
        </w:rPr>
      </w:pPr>
      <w:r>
        <w:rPr>
          <w:rFonts w:cs="Simplified Arabic" w:hint="cs"/>
          <w:sz w:val="28"/>
          <w:szCs w:val="28"/>
          <w:rtl/>
          <w:lang w:bidi="ar-DZ"/>
        </w:rPr>
        <w:t>وفي دراستنا لشروط الواقعة محل الإثبات سنتناول أولا شروط محل الإثبات في المطلب الأول، وثانيا مدى تعلق قواعد الإثبات بالنظام العام في المطلب الثاني.</w:t>
      </w:r>
    </w:p>
    <w:p w:rsidR="00304C81" w:rsidRDefault="00304C81" w:rsidP="00304C81">
      <w:pPr>
        <w:pStyle w:val="Paragraphedeliste"/>
        <w:tabs>
          <w:tab w:val="right" w:pos="282"/>
        </w:tabs>
        <w:bidi/>
        <w:spacing w:after="0"/>
        <w:ind w:left="-2"/>
        <w:jc w:val="both"/>
        <w:rPr>
          <w:rFonts w:cs="Simplified Arabic"/>
          <w:bCs/>
          <w:sz w:val="16"/>
          <w:szCs w:val="16"/>
          <w:u w:val="single"/>
          <w:rtl/>
          <w:lang w:bidi="ar-DZ"/>
        </w:rPr>
      </w:pPr>
    </w:p>
    <w:p w:rsidR="00304C81" w:rsidRDefault="00304C81" w:rsidP="00304C81">
      <w:pPr>
        <w:pStyle w:val="Paragraphedeliste"/>
        <w:tabs>
          <w:tab w:val="right" w:pos="282"/>
        </w:tabs>
        <w:bidi/>
        <w:spacing w:after="0"/>
        <w:ind w:left="-2"/>
        <w:jc w:val="both"/>
        <w:rPr>
          <w:rFonts w:cs="Simplified Arabic"/>
          <w:sz w:val="32"/>
          <w:szCs w:val="32"/>
          <w:rtl/>
          <w:lang w:bidi="ar-DZ"/>
        </w:rPr>
      </w:pPr>
      <w:r>
        <w:rPr>
          <w:rFonts w:cs="Simplified Arabic" w:hint="cs"/>
          <w:bCs/>
          <w:sz w:val="32"/>
          <w:szCs w:val="32"/>
          <w:u w:val="single"/>
          <w:rtl/>
          <w:lang w:bidi="ar-DZ"/>
        </w:rPr>
        <w:t>المطلب الأول</w:t>
      </w:r>
      <w:r>
        <w:rPr>
          <w:rFonts w:cs="Simplified Arabic" w:hint="cs"/>
          <w:bCs/>
          <w:sz w:val="32"/>
          <w:szCs w:val="32"/>
          <w:rtl/>
          <w:lang w:bidi="ar-DZ"/>
        </w:rPr>
        <w:t>: شروط محل الإثبات:</w:t>
      </w:r>
    </w:p>
    <w:p w:rsidR="00304C81" w:rsidRDefault="00304C81" w:rsidP="00304C81">
      <w:pPr>
        <w:pStyle w:val="Paragraphedeliste"/>
        <w:tabs>
          <w:tab w:val="right" w:pos="282"/>
        </w:tabs>
        <w:bidi/>
        <w:spacing w:after="0"/>
        <w:ind w:left="-2"/>
        <w:jc w:val="both"/>
        <w:rPr>
          <w:rFonts w:cs="Simplified Arabic"/>
          <w:sz w:val="16"/>
          <w:szCs w:val="16"/>
          <w:rtl/>
          <w:lang w:bidi="ar-DZ"/>
        </w:rPr>
      </w:pPr>
    </w:p>
    <w:p w:rsidR="00304C81" w:rsidRDefault="00304C81" w:rsidP="00304C81">
      <w:pPr>
        <w:pStyle w:val="Paragraphedeliste"/>
        <w:tabs>
          <w:tab w:val="right" w:pos="282"/>
        </w:tabs>
        <w:bidi/>
        <w:spacing w:after="0"/>
        <w:ind w:left="-2" w:firstLine="567"/>
        <w:jc w:val="both"/>
        <w:rPr>
          <w:rFonts w:cs="Simplified Arabic"/>
          <w:sz w:val="28"/>
          <w:szCs w:val="28"/>
          <w:rtl/>
          <w:lang w:bidi="ar-DZ"/>
        </w:rPr>
      </w:pPr>
      <w:r>
        <w:rPr>
          <w:rFonts w:cs="Simplified Arabic" w:hint="cs"/>
          <w:sz w:val="28"/>
          <w:szCs w:val="28"/>
          <w:rtl/>
          <w:lang w:bidi="ar-DZ"/>
        </w:rPr>
        <w:t xml:space="preserve">لابد أن تتوافر في محل الإثبات عدة شروط متفق عليها فقها وقضاءا، قد نصت عليها مختلف التشريعات المقارنة، غير أن المشرع الجزائري لم يتناولها في قانون الإجراءات المدنية والإدارية.  </w:t>
      </w:r>
    </w:p>
    <w:p w:rsidR="00304C81" w:rsidRDefault="00304C81" w:rsidP="00304C81">
      <w:pPr>
        <w:pStyle w:val="Paragraphedeliste"/>
        <w:tabs>
          <w:tab w:val="right" w:pos="282"/>
        </w:tabs>
        <w:bidi/>
        <w:spacing w:after="0"/>
        <w:ind w:left="-2" w:firstLine="567"/>
        <w:jc w:val="both"/>
        <w:rPr>
          <w:rFonts w:cs="Simplified Arabic"/>
          <w:sz w:val="10"/>
          <w:szCs w:val="10"/>
          <w:rtl/>
          <w:lang w:bidi="ar-DZ"/>
        </w:rPr>
      </w:pPr>
    </w:p>
    <w:p w:rsidR="00304C81" w:rsidRDefault="00304C81" w:rsidP="00304C81">
      <w:pPr>
        <w:pStyle w:val="Paragraphedeliste"/>
        <w:tabs>
          <w:tab w:val="right" w:pos="282"/>
        </w:tabs>
        <w:bidi/>
        <w:spacing w:after="0"/>
        <w:ind w:left="-2"/>
        <w:jc w:val="both"/>
        <w:rPr>
          <w:rFonts w:cs="Simplified Arabic"/>
          <w:sz w:val="28"/>
          <w:szCs w:val="28"/>
          <w:lang w:bidi="ar-DZ"/>
        </w:rPr>
      </w:pPr>
      <w:r>
        <w:rPr>
          <w:rFonts w:cs="Simplified Arabic" w:hint="cs"/>
          <w:b/>
          <w:bCs/>
          <w:sz w:val="28"/>
          <w:szCs w:val="28"/>
          <w:u w:val="single"/>
          <w:rtl/>
          <w:lang w:bidi="ar-DZ"/>
        </w:rPr>
        <w:t>أولا:</w:t>
      </w:r>
      <w:r>
        <w:rPr>
          <w:rFonts w:cs="Simplified Arabic" w:hint="cs"/>
          <w:b/>
          <w:bCs/>
          <w:sz w:val="28"/>
          <w:szCs w:val="28"/>
          <w:rtl/>
          <w:lang w:bidi="ar-DZ"/>
        </w:rPr>
        <w:t xml:space="preserve"> الواقعة محددة</w:t>
      </w:r>
      <w:r>
        <w:rPr>
          <w:rFonts w:cs="Simplified Arabic" w:hint="cs"/>
          <w:sz w:val="28"/>
          <w:szCs w:val="28"/>
          <w:rtl/>
          <w:lang w:bidi="ar-DZ"/>
        </w:rPr>
        <w:t>: يشترط في الواقعة المراد إثباتها أن تكون محددة، وهذا الشرط بديهي لأن الواقعة غير المحددة تبقى بطبيعة الحال مجهولة، وتجهيلها يجعلها غير قابلة للإثبات، لأن الإثبات اقتناع، والاقتناع لا يرد على أمر مبهم أو ليس له حدود، وإلا كان في ذلك إضاعة للجهد والوقت والمال.</w:t>
      </w:r>
    </w:p>
    <w:p w:rsidR="00304C81" w:rsidRDefault="00304C81" w:rsidP="00304C81">
      <w:pPr>
        <w:tabs>
          <w:tab w:val="right" w:pos="282"/>
        </w:tabs>
        <w:bidi/>
        <w:spacing w:after="0"/>
        <w:ind w:firstLine="565"/>
        <w:jc w:val="both"/>
        <w:rPr>
          <w:rFonts w:cs="Simplified Arabic"/>
          <w:sz w:val="28"/>
          <w:szCs w:val="28"/>
          <w:rtl/>
          <w:lang w:bidi="ar-DZ"/>
        </w:rPr>
      </w:pPr>
      <w:r>
        <w:rPr>
          <w:rFonts w:cs="Simplified Arabic" w:hint="cs"/>
          <w:sz w:val="28"/>
          <w:szCs w:val="28"/>
          <w:rtl/>
          <w:lang w:bidi="ar-DZ"/>
        </w:rPr>
        <w:t>ويستلزم أن يتم تحديد الواقعة عند عرضها أمام المحاكم لإثباتها في لائحة الدعوى، ومحكمة الموضوع هي التي تقدر، ما إذا كانت الواقعة المراد أثباتها معينة تعيينا كافيا ليسمح إثباتها، فهي لا تخضع لرقابة محكمة النقض.</w:t>
      </w:r>
      <w:r>
        <w:rPr>
          <w:rFonts w:cs="Simplified Arabic" w:hint="cs"/>
          <w:sz w:val="28"/>
          <w:szCs w:val="28"/>
          <w:vertAlign w:val="superscript"/>
          <w:rtl/>
          <w:lang w:bidi="ar-DZ"/>
        </w:rPr>
        <w:t xml:space="preserve"> </w:t>
      </w:r>
      <w:r>
        <w:rPr>
          <w:rStyle w:val="Appelnotedebasdep"/>
          <w:rFonts w:cs="Simplified Arabic"/>
          <w:sz w:val="28"/>
          <w:szCs w:val="28"/>
          <w:lang w:bidi="ar-DZ"/>
        </w:rPr>
        <w:t>)</w:t>
      </w:r>
      <w:r>
        <w:rPr>
          <w:rStyle w:val="Appelnotedebasdep"/>
          <w:rFonts w:cs="Simplified Arabic" w:hint="cs"/>
          <w:sz w:val="28"/>
          <w:szCs w:val="28"/>
          <w:rtl/>
          <w:lang w:bidi="ar-DZ"/>
        </w:rPr>
        <w:t>1</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31"/>
        <w:t>(</w:t>
      </w:r>
    </w:p>
    <w:p w:rsidR="00304C81" w:rsidRDefault="00304C81" w:rsidP="00304C81">
      <w:pPr>
        <w:tabs>
          <w:tab w:val="right" w:pos="282"/>
        </w:tabs>
        <w:bidi/>
        <w:spacing w:after="0"/>
        <w:ind w:firstLine="565"/>
        <w:jc w:val="both"/>
        <w:rPr>
          <w:rFonts w:cs="Simplified Arabic"/>
          <w:sz w:val="28"/>
          <w:szCs w:val="28"/>
          <w:rtl/>
          <w:lang w:bidi="ar-DZ"/>
        </w:rPr>
      </w:pPr>
      <w:r>
        <w:rPr>
          <w:rFonts w:cs="Simplified Arabic" w:hint="cs"/>
          <w:sz w:val="28"/>
          <w:szCs w:val="28"/>
          <w:rtl/>
          <w:lang w:bidi="ar-DZ"/>
        </w:rPr>
        <w:t>والواقعة المراد إثباتها إما أن تكون إيجابية في أمر وجودي كإثبات حصول التعاقد، وإما أن تكون سلبية أي نفي لأمر وجودي كنفي التَقصير في عدم بذل العناية الواجبة.</w:t>
      </w:r>
    </w:p>
    <w:p w:rsidR="00304C81" w:rsidRDefault="00304C81" w:rsidP="00304C81">
      <w:pPr>
        <w:tabs>
          <w:tab w:val="right" w:pos="282"/>
        </w:tabs>
        <w:bidi/>
        <w:spacing w:after="0"/>
        <w:ind w:firstLine="565"/>
        <w:jc w:val="both"/>
        <w:rPr>
          <w:rFonts w:cs="Simplified Arabic"/>
          <w:sz w:val="10"/>
          <w:szCs w:val="10"/>
          <w:rtl/>
          <w:lang w:bidi="ar-DZ"/>
        </w:rPr>
      </w:pPr>
    </w:p>
    <w:p w:rsidR="00304C81" w:rsidRDefault="00304C81" w:rsidP="00304C81">
      <w:pPr>
        <w:tabs>
          <w:tab w:val="right" w:pos="282"/>
        </w:tabs>
        <w:bidi/>
        <w:spacing w:after="0"/>
        <w:ind w:hanging="2"/>
        <w:jc w:val="both"/>
        <w:rPr>
          <w:rFonts w:cs="Simplified Arabic"/>
          <w:sz w:val="28"/>
          <w:szCs w:val="28"/>
          <w:rtl/>
          <w:lang w:bidi="ar-DZ"/>
        </w:rPr>
      </w:pPr>
      <w:r>
        <w:rPr>
          <w:rFonts w:cs="Simplified Arabic" w:hint="cs"/>
          <w:b/>
          <w:bCs/>
          <w:sz w:val="28"/>
          <w:szCs w:val="28"/>
          <w:u w:val="single"/>
          <w:rtl/>
          <w:lang w:bidi="ar-DZ"/>
        </w:rPr>
        <w:t>ثانيًا</w:t>
      </w:r>
      <w:r>
        <w:rPr>
          <w:rFonts w:cs="Simplified Arabic" w:hint="cs"/>
          <w:b/>
          <w:bCs/>
          <w:sz w:val="28"/>
          <w:szCs w:val="28"/>
          <w:rtl/>
          <w:lang w:bidi="ar-DZ"/>
        </w:rPr>
        <w:t>: الواقعة ممكنة</w:t>
      </w:r>
      <w:r>
        <w:rPr>
          <w:rFonts w:cs="Simplified Arabic" w:hint="cs"/>
          <w:sz w:val="28"/>
          <w:szCs w:val="28"/>
          <w:rtl/>
          <w:lang w:bidi="ar-DZ"/>
        </w:rPr>
        <w:t>:</w:t>
      </w:r>
    </w:p>
    <w:p w:rsidR="00304C81" w:rsidRDefault="00304C81" w:rsidP="00304C81">
      <w:pPr>
        <w:tabs>
          <w:tab w:val="right" w:pos="282"/>
        </w:tabs>
        <w:bidi/>
        <w:spacing w:after="0"/>
        <w:ind w:firstLine="565"/>
        <w:jc w:val="both"/>
        <w:rPr>
          <w:rFonts w:cs="Simplified Arabic"/>
          <w:sz w:val="28"/>
          <w:szCs w:val="28"/>
          <w:rtl/>
          <w:lang w:bidi="ar-DZ"/>
        </w:rPr>
      </w:pPr>
      <w:r>
        <w:rPr>
          <w:rFonts w:cs="Simplified Arabic" w:hint="cs"/>
          <w:sz w:val="28"/>
          <w:szCs w:val="28"/>
          <w:rtl/>
          <w:lang w:bidi="ar-DZ"/>
        </w:rPr>
        <w:t>يجب أن تكون الواقعة المراد إثباتها متصورة الوقوع عقلا ولو في حالات نادرة، وإلا فلا يجوز أن تكون محلا للإثبات، وذلك أن محاولة إثبات المستحيل عبث، لا يجوز أمام القضاء.</w:t>
      </w:r>
    </w:p>
    <w:p w:rsidR="00304C81" w:rsidRDefault="00304C81" w:rsidP="00304C81">
      <w:pPr>
        <w:tabs>
          <w:tab w:val="right" w:pos="282"/>
        </w:tabs>
        <w:bidi/>
        <w:spacing w:after="0"/>
        <w:ind w:firstLine="423"/>
        <w:jc w:val="both"/>
        <w:rPr>
          <w:rFonts w:cs="Simplified Arabic"/>
          <w:sz w:val="28"/>
          <w:szCs w:val="28"/>
          <w:rtl/>
          <w:lang w:bidi="ar-DZ"/>
        </w:rPr>
      </w:pPr>
      <w:r>
        <w:rPr>
          <w:rFonts w:cs="Simplified Arabic" w:hint="cs"/>
          <w:sz w:val="28"/>
          <w:szCs w:val="28"/>
          <w:rtl/>
          <w:lang w:bidi="ar-DZ"/>
        </w:rPr>
        <w:t>والاستحالة ترجع إما إلى أن الواقعة لا يمكن تصديقها عقلا، كادعاء شخص النسب من شخص آخر يكبره سنًا، وإما ترجع إلى أن الواقعة وإن جاز تصديقها عقلا إلا أنها بسبب إطلاقها لا يمكن إثباتها.</w:t>
      </w:r>
      <w:r>
        <w:rPr>
          <w:rStyle w:val="Appelnotedebasdep"/>
          <w:rFonts w:cs="Simplified Arabic"/>
          <w:sz w:val="28"/>
          <w:szCs w:val="28"/>
          <w:lang w:bidi="ar-DZ"/>
        </w:rPr>
        <w:t>)</w:t>
      </w:r>
      <w:r>
        <w:rPr>
          <w:rStyle w:val="Appelnotedebasdep"/>
          <w:rFonts w:cs="Simplified Arabic" w:hint="cs"/>
          <w:sz w:val="28"/>
          <w:szCs w:val="28"/>
          <w:rtl/>
          <w:lang w:bidi="ar-DZ"/>
        </w:rPr>
        <w:t>2</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32"/>
        <w:t>(</w:t>
      </w:r>
      <w:r>
        <w:rPr>
          <w:rFonts w:cs="Simplified Arabic" w:hint="cs"/>
          <w:sz w:val="28"/>
          <w:szCs w:val="28"/>
          <w:rtl/>
          <w:lang w:bidi="ar-DZ"/>
        </w:rPr>
        <w:t xml:space="preserve"> </w:t>
      </w:r>
    </w:p>
    <w:p w:rsidR="00FA4B5E" w:rsidRDefault="00FA4B5E" w:rsidP="00304C81">
      <w:pPr>
        <w:tabs>
          <w:tab w:val="right" w:pos="282"/>
        </w:tabs>
        <w:bidi/>
        <w:spacing w:after="0"/>
        <w:ind w:firstLine="565"/>
        <w:jc w:val="both"/>
        <w:rPr>
          <w:rFonts w:cs="Simplified Arabic"/>
          <w:sz w:val="28"/>
          <w:szCs w:val="28"/>
          <w:rtl/>
          <w:lang w:bidi="ar-DZ"/>
        </w:rPr>
      </w:pPr>
    </w:p>
    <w:p w:rsidR="00FA4B5E" w:rsidRPr="00FA4B5E" w:rsidRDefault="00FA4B5E" w:rsidP="00FA4B5E">
      <w:pPr>
        <w:tabs>
          <w:tab w:val="right" w:pos="282"/>
        </w:tabs>
        <w:bidi/>
        <w:spacing w:after="0"/>
        <w:ind w:firstLine="565"/>
        <w:jc w:val="both"/>
        <w:rPr>
          <w:rFonts w:cs="Simplified Arabic"/>
          <w:sz w:val="16"/>
          <w:szCs w:val="16"/>
          <w:rtl/>
          <w:lang w:bidi="ar-DZ"/>
        </w:rPr>
      </w:pPr>
    </w:p>
    <w:p w:rsidR="00304C81" w:rsidRDefault="00304C81" w:rsidP="00FA4B5E">
      <w:pPr>
        <w:tabs>
          <w:tab w:val="right" w:pos="282"/>
        </w:tabs>
        <w:bidi/>
        <w:spacing w:after="0"/>
        <w:ind w:firstLine="565"/>
        <w:jc w:val="both"/>
        <w:rPr>
          <w:rFonts w:cs="Simplified Arabic"/>
          <w:sz w:val="28"/>
          <w:szCs w:val="28"/>
          <w:rtl/>
          <w:lang w:bidi="ar-DZ"/>
        </w:rPr>
      </w:pPr>
      <w:r>
        <w:rPr>
          <w:rFonts w:cs="Simplified Arabic" w:hint="cs"/>
          <w:sz w:val="28"/>
          <w:szCs w:val="28"/>
          <w:rtl/>
          <w:lang w:bidi="ar-DZ"/>
        </w:rPr>
        <w:lastRenderedPageBreak/>
        <w:t>والواقعة المطلقة هي في الأصل واقعة غير محددة، واستحالة إثباتها يرجع إلى عدم تحديدها كمن يدعي أنه لم يرتكب أي خطأ في حياته.</w:t>
      </w:r>
    </w:p>
    <w:p w:rsidR="00304C81" w:rsidRDefault="00304C81" w:rsidP="00304C81">
      <w:pPr>
        <w:tabs>
          <w:tab w:val="right" w:pos="282"/>
        </w:tabs>
        <w:bidi/>
        <w:spacing w:after="0"/>
        <w:ind w:firstLine="565"/>
        <w:jc w:val="both"/>
        <w:rPr>
          <w:rFonts w:cs="Simplified Arabic"/>
          <w:sz w:val="10"/>
          <w:szCs w:val="10"/>
          <w:rtl/>
          <w:lang w:bidi="ar-DZ"/>
        </w:rPr>
      </w:pPr>
    </w:p>
    <w:p w:rsidR="00304C81" w:rsidRDefault="00304C81" w:rsidP="00304C81">
      <w:pPr>
        <w:tabs>
          <w:tab w:val="right" w:pos="282"/>
        </w:tabs>
        <w:bidi/>
        <w:spacing w:after="0"/>
        <w:ind w:hanging="2"/>
        <w:jc w:val="both"/>
        <w:rPr>
          <w:rFonts w:cs="Simplified Arabic"/>
          <w:sz w:val="28"/>
          <w:szCs w:val="28"/>
          <w:rtl/>
          <w:lang w:bidi="ar-DZ"/>
        </w:rPr>
      </w:pPr>
      <w:r>
        <w:rPr>
          <w:rFonts w:cs="Simplified Arabic" w:hint="cs"/>
          <w:b/>
          <w:bCs/>
          <w:sz w:val="28"/>
          <w:szCs w:val="28"/>
          <w:u w:val="single"/>
          <w:rtl/>
          <w:lang w:bidi="ar-DZ"/>
        </w:rPr>
        <w:t>ثالثًا</w:t>
      </w:r>
      <w:r>
        <w:rPr>
          <w:rFonts w:cs="Simplified Arabic" w:hint="cs"/>
          <w:b/>
          <w:bCs/>
          <w:sz w:val="28"/>
          <w:szCs w:val="28"/>
          <w:rtl/>
          <w:lang w:bidi="ar-DZ"/>
        </w:rPr>
        <w:t>: الواقعة متنازع فيها</w:t>
      </w:r>
      <w:r>
        <w:rPr>
          <w:rFonts w:cs="Simplified Arabic" w:hint="cs"/>
          <w:sz w:val="28"/>
          <w:szCs w:val="28"/>
          <w:rtl/>
          <w:lang w:bidi="ar-DZ"/>
        </w:rPr>
        <w:t>:إن فكرة الإثبات القضائي تستلزم بالضرورة فكرة النزاع، أي غير معترف بها إذ لا محل لإثبات واقعة معترف بها، فلن يكون هناك مبرر لأن تضيع المحكمة وقتها في تحقيق هذه الواقعة.</w:t>
      </w:r>
      <w:r>
        <w:rPr>
          <w:rStyle w:val="Appelnotedebasdep"/>
          <w:rFonts w:cs="Simplified Arabic"/>
          <w:sz w:val="28"/>
          <w:szCs w:val="28"/>
          <w:lang w:bidi="ar-DZ"/>
        </w:rPr>
        <w:t xml:space="preserve">) </w:t>
      </w:r>
      <w:r>
        <w:rPr>
          <w:rStyle w:val="Appelnotedebasdep"/>
          <w:rFonts w:cs="Simplified Arabic" w:hint="cs"/>
          <w:sz w:val="28"/>
          <w:szCs w:val="28"/>
          <w:rtl/>
          <w:lang w:bidi="ar-DZ"/>
        </w:rPr>
        <w:t>1</w:t>
      </w:r>
      <w:r>
        <w:rPr>
          <w:rStyle w:val="Appelnotedebasdep"/>
          <w:rFonts w:cs="Simplified Arabic" w:hint="cs"/>
          <w:sz w:val="28"/>
          <w:szCs w:val="28"/>
          <w:lang w:bidi="ar-DZ"/>
        </w:rPr>
        <w:t xml:space="preserve"> </w:t>
      </w:r>
      <w:r>
        <w:rPr>
          <w:rStyle w:val="Appelnotedebasdep"/>
          <w:rFonts w:cs="Simplified Arabic"/>
          <w:sz w:val="28"/>
          <w:szCs w:val="28"/>
          <w:lang w:bidi="ar-DZ"/>
        </w:rPr>
        <w:footnoteReference w:customMarkFollows="1" w:id="33"/>
        <w:t>(</w:t>
      </w:r>
      <w:r>
        <w:rPr>
          <w:rFonts w:cs="Simplified Arabic" w:hint="cs"/>
          <w:sz w:val="28"/>
          <w:szCs w:val="28"/>
          <w:rtl/>
          <w:lang w:bidi="ar-DZ"/>
        </w:rPr>
        <w:t>لأن الاعترَاف إقرار والإقرار إعفاء من الإثبات، ويجب أن يكون النزاع وليد إنكار جدي، وتتعين المنازعة بادعاء المدعي وجواب المدعى عليه، فإذا خالفه في كل موضوعه كان النزاع شاملا، وإذا وافق على جزء منه، استبعد هذا الجزء من المنازعة لتقتصر على الجزء المتبقي لِيرد عليه الإثبات.</w:t>
      </w:r>
      <w:r>
        <w:rPr>
          <w:rStyle w:val="Appelnotedebasdep"/>
          <w:rFonts w:cs="Simplified Arabic"/>
          <w:sz w:val="28"/>
          <w:szCs w:val="28"/>
          <w:lang w:bidi="ar-DZ"/>
        </w:rPr>
        <w:t>)</w:t>
      </w:r>
      <w:r>
        <w:rPr>
          <w:rStyle w:val="Appelnotedebasdep"/>
          <w:rFonts w:cs="Simplified Arabic" w:hint="cs"/>
          <w:sz w:val="28"/>
          <w:szCs w:val="28"/>
          <w:rtl/>
          <w:lang w:bidi="ar-DZ"/>
        </w:rPr>
        <w:t>2</w:t>
      </w:r>
      <w:r>
        <w:rPr>
          <w:rStyle w:val="Appelnotedebasdep"/>
          <w:rFonts w:cs="Simplified Arabic"/>
          <w:sz w:val="28"/>
          <w:szCs w:val="28"/>
          <w:lang w:bidi="ar-DZ"/>
        </w:rPr>
        <w:footnoteReference w:customMarkFollows="1" w:id="34"/>
        <w:t>(</w:t>
      </w:r>
      <w:r>
        <w:rPr>
          <w:rFonts w:cs="Simplified Arabic" w:hint="cs"/>
          <w:sz w:val="28"/>
          <w:szCs w:val="28"/>
          <w:rtl/>
          <w:lang w:bidi="ar-DZ"/>
        </w:rPr>
        <w:t xml:space="preserve"> </w:t>
      </w:r>
    </w:p>
    <w:p w:rsidR="00304C81" w:rsidRDefault="00304C81" w:rsidP="00304C81">
      <w:pPr>
        <w:tabs>
          <w:tab w:val="right" w:pos="282"/>
        </w:tabs>
        <w:bidi/>
        <w:spacing w:after="0"/>
        <w:ind w:hanging="2"/>
        <w:jc w:val="both"/>
        <w:rPr>
          <w:rFonts w:cs="Simplified Arabic"/>
          <w:sz w:val="10"/>
          <w:szCs w:val="10"/>
          <w:rtl/>
          <w:lang w:bidi="ar-DZ"/>
        </w:rPr>
      </w:pPr>
    </w:p>
    <w:p w:rsidR="00304C81" w:rsidRDefault="00304C81" w:rsidP="00304C81">
      <w:pPr>
        <w:tabs>
          <w:tab w:val="right" w:pos="282"/>
        </w:tabs>
        <w:bidi/>
        <w:spacing w:after="0"/>
        <w:ind w:hanging="2"/>
        <w:jc w:val="both"/>
        <w:rPr>
          <w:rFonts w:cs="Simplified Arabic"/>
          <w:b/>
          <w:bCs/>
          <w:sz w:val="28"/>
          <w:szCs w:val="28"/>
          <w:rtl/>
          <w:lang w:bidi="ar-DZ"/>
        </w:rPr>
      </w:pPr>
      <w:r>
        <w:rPr>
          <w:rFonts w:cs="Simplified Arabic" w:hint="cs"/>
          <w:b/>
          <w:bCs/>
          <w:sz w:val="28"/>
          <w:szCs w:val="28"/>
          <w:u w:val="single"/>
          <w:rtl/>
          <w:lang w:bidi="ar-DZ"/>
        </w:rPr>
        <w:t>رابعًا</w:t>
      </w:r>
      <w:r>
        <w:rPr>
          <w:rFonts w:cs="Simplified Arabic" w:hint="cs"/>
          <w:b/>
          <w:bCs/>
          <w:sz w:val="28"/>
          <w:szCs w:val="28"/>
          <w:rtl/>
          <w:lang w:bidi="ar-DZ"/>
        </w:rPr>
        <w:t>: الواقعة متعلقة بالدعوى</w:t>
      </w:r>
      <w:r>
        <w:rPr>
          <w:rFonts w:cs="Simplified Arabic" w:hint="cs"/>
          <w:sz w:val="28"/>
          <w:szCs w:val="28"/>
          <w:rtl/>
          <w:lang w:bidi="ar-DZ"/>
        </w:rPr>
        <w:t>:</w:t>
      </w:r>
    </w:p>
    <w:p w:rsidR="00304C81" w:rsidRDefault="00304C81" w:rsidP="00304C81">
      <w:pPr>
        <w:tabs>
          <w:tab w:val="right" w:pos="282"/>
        </w:tabs>
        <w:bidi/>
        <w:spacing w:after="0"/>
        <w:ind w:firstLine="565"/>
        <w:jc w:val="both"/>
        <w:rPr>
          <w:rFonts w:cs="Simplified Arabic"/>
          <w:sz w:val="28"/>
          <w:szCs w:val="28"/>
          <w:rtl/>
          <w:lang w:bidi="ar-DZ"/>
        </w:rPr>
      </w:pPr>
      <w:r>
        <w:rPr>
          <w:rFonts w:cs="Simplified Arabic" w:hint="cs"/>
          <w:sz w:val="28"/>
          <w:szCs w:val="28"/>
          <w:rtl/>
          <w:lang w:bidi="ar-DZ"/>
        </w:rPr>
        <w:t>والمقصود بذلك أن تكون الواقعة محل الإثبات متعلقة بالدعوى أي متعلقة بالحق المدعي به، فإذا كانت هي مصدر الحق المدعى به، كانت لا شك من تعلقها بالدعوى إذ لا يوجد علاقة أقوى من الحق ومصدره.</w:t>
      </w:r>
      <w:r>
        <w:rPr>
          <w:rStyle w:val="Appelnotedebasdep"/>
          <w:rFonts w:cs="Simplified Arabic"/>
          <w:sz w:val="28"/>
          <w:szCs w:val="28"/>
          <w:lang w:bidi="ar-DZ"/>
        </w:rPr>
        <w:t>)</w:t>
      </w:r>
      <w:r>
        <w:rPr>
          <w:rStyle w:val="Appelnotedebasdep"/>
          <w:rFonts w:cs="Simplified Arabic" w:hint="cs"/>
          <w:sz w:val="28"/>
          <w:szCs w:val="28"/>
          <w:rtl/>
          <w:lang w:bidi="ar-DZ"/>
        </w:rPr>
        <w:t>3</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35"/>
        <w:t>(</w:t>
      </w:r>
    </w:p>
    <w:p w:rsidR="00304C81" w:rsidRDefault="00304C81" w:rsidP="00304C81">
      <w:pPr>
        <w:tabs>
          <w:tab w:val="right" w:pos="282"/>
        </w:tabs>
        <w:bidi/>
        <w:spacing w:after="0"/>
        <w:ind w:firstLine="565"/>
        <w:jc w:val="both"/>
        <w:rPr>
          <w:rFonts w:cs="Simplified Arabic"/>
          <w:sz w:val="28"/>
          <w:szCs w:val="28"/>
          <w:rtl/>
          <w:lang w:bidi="ar-DZ"/>
        </w:rPr>
      </w:pPr>
      <w:r>
        <w:rPr>
          <w:rFonts w:cs="Simplified Arabic" w:hint="cs"/>
          <w:sz w:val="28"/>
          <w:szCs w:val="28"/>
          <w:rtl/>
          <w:lang w:bidi="ar-DZ"/>
        </w:rPr>
        <w:t>ولكن نظرا لأن الإثبات لا يرِد دائما على مصدر الحق بل ينتقل إلى واقعة أخرى قريبة ومتصلة بالمحل الأصلي للإثبات وهذا الاتصال الوثيق هو الذي يجعل الواقعة المراد إثباتها متعلقة بالحق المطالب به، فيصبح إثبات الواقعة  البديلة من شأنه أن يجعل إثبات الواقعة الأصلية قريب الاحتمال .</w:t>
      </w:r>
      <w:r>
        <w:rPr>
          <w:rStyle w:val="Appelnotedebasdep"/>
          <w:rFonts w:cs="Simplified Arabic"/>
          <w:sz w:val="28"/>
          <w:szCs w:val="28"/>
          <w:lang w:bidi="ar-DZ"/>
        </w:rPr>
        <w:t xml:space="preserve">) </w:t>
      </w:r>
      <w:r>
        <w:rPr>
          <w:rStyle w:val="Appelnotedebasdep"/>
          <w:rFonts w:cs="Simplified Arabic" w:hint="cs"/>
          <w:sz w:val="28"/>
          <w:szCs w:val="28"/>
          <w:rtl/>
          <w:lang w:bidi="ar-DZ"/>
        </w:rPr>
        <w:t>4</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36"/>
        <w:t>(</w:t>
      </w:r>
      <w:r>
        <w:rPr>
          <w:rFonts w:cs="Simplified Arabic" w:hint="cs"/>
          <w:sz w:val="28"/>
          <w:szCs w:val="28"/>
          <w:rtl/>
          <w:lang w:bidi="ar-DZ"/>
        </w:rPr>
        <w:t xml:space="preserve"> </w:t>
      </w:r>
    </w:p>
    <w:p w:rsidR="00304C81" w:rsidRDefault="00304C81" w:rsidP="00304C81">
      <w:pPr>
        <w:pStyle w:val="Paragraphedeliste"/>
        <w:tabs>
          <w:tab w:val="right" w:pos="282"/>
        </w:tabs>
        <w:bidi/>
        <w:spacing w:after="0"/>
        <w:ind w:left="-2" w:firstLine="567"/>
        <w:jc w:val="both"/>
        <w:rPr>
          <w:rFonts w:cs="Simplified Arabic"/>
          <w:sz w:val="28"/>
          <w:szCs w:val="28"/>
          <w:rtl/>
          <w:lang w:bidi="ar-DZ"/>
        </w:rPr>
      </w:pPr>
      <w:r>
        <w:rPr>
          <w:rFonts w:cs="Simplified Arabic" w:hint="cs"/>
          <w:sz w:val="28"/>
          <w:szCs w:val="28"/>
          <w:rtl/>
          <w:lang w:bidi="ar-DZ"/>
        </w:rPr>
        <w:t xml:space="preserve">ومن الجلي أِن اتصال الواقعتين لا يشترط فيه أن يكون إتصالا ماديًا، إنما العبرة بالإتصال العقلي الذي يقوم في ذهن القاضي بشأنها، أي اقتناعه بأن ثبوت  أحدهما يؤدي إلى ثبوت الأخرى </w:t>
      </w:r>
      <w:r>
        <w:rPr>
          <w:rFonts w:cs="Simplified Arabic" w:hint="cs"/>
          <w:b/>
          <w:sz w:val="28"/>
          <w:szCs w:val="28"/>
          <w:rtl/>
          <w:lang w:bidi="ar-DZ"/>
        </w:rPr>
        <w:t>.</w:t>
      </w:r>
      <w:r>
        <w:rPr>
          <w:rStyle w:val="Appelnotedebasdep"/>
          <w:rFonts w:cs="Simplified Arabic"/>
          <w:sz w:val="28"/>
          <w:szCs w:val="28"/>
          <w:lang w:bidi="ar-DZ"/>
        </w:rPr>
        <w:t>)</w:t>
      </w:r>
      <w:r>
        <w:rPr>
          <w:rFonts w:cs="Simplified Arabic" w:hint="cs"/>
          <w:sz w:val="28"/>
          <w:szCs w:val="28"/>
          <w:vertAlign w:val="superscript"/>
          <w:rtl/>
          <w:lang w:bidi="ar-DZ"/>
        </w:rPr>
        <w:t>5</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37"/>
        <w:t>(</w:t>
      </w:r>
    </w:p>
    <w:p w:rsidR="00304C81" w:rsidRDefault="00304C81" w:rsidP="00304C81">
      <w:pPr>
        <w:tabs>
          <w:tab w:val="right" w:pos="282"/>
        </w:tabs>
        <w:bidi/>
        <w:spacing w:after="0"/>
        <w:ind w:hanging="2"/>
        <w:jc w:val="both"/>
        <w:rPr>
          <w:rFonts w:cs="Simplified Arabic"/>
          <w:b/>
          <w:bCs/>
          <w:sz w:val="10"/>
          <w:szCs w:val="10"/>
          <w:u w:val="single"/>
          <w:lang w:bidi="ar-DZ"/>
        </w:rPr>
      </w:pPr>
    </w:p>
    <w:p w:rsidR="00304C81" w:rsidRDefault="00304C81" w:rsidP="00304C81">
      <w:pPr>
        <w:tabs>
          <w:tab w:val="right" w:pos="282"/>
        </w:tabs>
        <w:bidi/>
        <w:spacing w:after="0"/>
        <w:ind w:hanging="2"/>
        <w:jc w:val="both"/>
        <w:rPr>
          <w:rFonts w:cs="Simplified Arabic"/>
          <w:sz w:val="28"/>
          <w:szCs w:val="28"/>
          <w:rtl/>
          <w:lang w:bidi="ar-DZ"/>
        </w:rPr>
      </w:pPr>
      <w:r>
        <w:rPr>
          <w:rFonts w:cs="Simplified Arabic" w:hint="cs"/>
          <w:b/>
          <w:bCs/>
          <w:sz w:val="28"/>
          <w:szCs w:val="28"/>
          <w:u w:val="single"/>
          <w:rtl/>
          <w:lang w:bidi="ar-DZ"/>
        </w:rPr>
        <w:t>خامسًا</w:t>
      </w:r>
      <w:r>
        <w:rPr>
          <w:rFonts w:cs="Simplified Arabic" w:hint="cs"/>
          <w:b/>
          <w:bCs/>
          <w:sz w:val="28"/>
          <w:szCs w:val="28"/>
          <w:rtl/>
          <w:lang w:bidi="ar-DZ"/>
        </w:rPr>
        <w:t>: الواقعة منتجة في الدعوى</w:t>
      </w:r>
      <w:r>
        <w:rPr>
          <w:rFonts w:cs="Simplified Arabic" w:hint="cs"/>
          <w:sz w:val="28"/>
          <w:szCs w:val="28"/>
          <w:rtl/>
          <w:lang w:bidi="ar-DZ"/>
        </w:rPr>
        <w:t>:</w:t>
      </w:r>
    </w:p>
    <w:p w:rsidR="00304C81" w:rsidRDefault="00304C81" w:rsidP="00304C81">
      <w:pPr>
        <w:tabs>
          <w:tab w:val="right" w:pos="282"/>
        </w:tabs>
        <w:bidi/>
        <w:spacing w:after="0"/>
        <w:ind w:firstLine="565"/>
        <w:jc w:val="both"/>
        <w:rPr>
          <w:rFonts w:cs="Simplified Arabic"/>
          <w:b/>
          <w:sz w:val="28"/>
          <w:szCs w:val="28"/>
          <w:rtl/>
          <w:lang w:bidi="ar-DZ"/>
        </w:rPr>
      </w:pPr>
      <w:r>
        <w:rPr>
          <w:rFonts w:cs="Simplified Arabic" w:hint="cs"/>
          <w:sz w:val="28"/>
          <w:szCs w:val="28"/>
          <w:rtl/>
          <w:lang w:bidi="ar-DZ"/>
        </w:rPr>
        <w:t>يقصد بذلك أن تكون الواقعة محل الإثبات مؤثرة ومجدية وحاسمة في إقناع القاضي بصحة وثبوت الحق المدعى به، وتَعد الواقعة منتجة في الدعوى وإثباتها مجديا في النزاع إذا كان من شأن إثباتها أن يؤثر في الفصل في الدعوى، أو أن يؤدي إثباتها إلى قيام الأثر القانوني المدعى به، ولا يشترط في الواقعة لكي تكون منتجة في الإثبات أن تكون حاسمة للفصل في الدعوى بل يكفي أن يساهم إثباتها في تكوين اقتناع القاضي.</w:t>
      </w:r>
      <w:r>
        <w:rPr>
          <w:rStyle w:val="Appelnotedebasdep"/>
          <w:rFonts w:cs="Simplified Arabic" w:hint="cs"/>
          <w:sz w:val="28"/>
          <w:szCs w:val="28"/>
          <w:lang w:bidi="ar-DZ"/>
        </w:rPr>
        <w:t xml:space="preserve"> </w:t>
      </w:r>
      <w:r>
        <w:rPr>
          <w:rStyle w:val="Appelnotedebasdep"/>
          <w:rFonts w:cs="Simplified Arabic"/>
          <w:sz w:val="28"/>
          <w:szCs w:val="28"/>
          <w:lang w:bidi="ar-DZ"/>
        </w:rPr>
        <w:footnoteReference w:customMarkFollows="1" w:id="38"/>
        <w:t>(6)</w:t>
      </w:r>
      <w:r>
        <w:rPr>
          <w:rFonts w:cs="Simplified Arabic" w:hint="cs"/>
          <w:b/>
          <w:sz w:val="28"/>
          <w:szCs w:val="28"/>
          <w:rtl/>
          <w:lang w:bidi="ar-DZ"/>
        </w:rPr>
        <w:t xml:space="preserve">  </w:t>
      </w:r>
    </w:p>
    <w:p w:rsidR="00304C81" w:rsidRDefault="00304C81" w:rsidP="00304C81">
      <w:pPr>
        <w:tabs>
          <w:tab w:val="right" w:pos="282"/>
        </w:tabs>
        <w:bidi/>
        <w:spacing w:after="0"/>
        <w:ind w:firstLine="565"/>
        <w:jc w:val="both"/>
        <w:rPr>
          <w:rFonts w:cs="Simplified Arabic"/>
          <w:sz w:val="28"/>
          <w:szCs w:val="28"/>
          <w:rtl/>
          <w:lang w:bidi="ar-DZ"/>
        </w:rPr>
      </w:pPr>
      <w:r>
        <w:rPr>
          <w:rFonts w:cs="Simplified Arabic" w:hint="cs"/>
          <w:b/>
          <w:sz w:val="28"/>
          <w:szCs w:val="28"/>
          <w:rtl/>
          <w:lang w:bidi="ar-DZ"/>
        </w:rPr>
        <w:t>فيكون على القاضي أن يأخذ بعين الاعتبار كل الوقائع المقدمة في الدعوى بصفة مجتمعة وليس كل واقعة على إنفراد .</w:t>
      </w:r>
      <w:r>
        <w:rPr>
          <w:rStyle w:val="Appelnotedebasdep"/>
          <w:rFonts w:cs="Simplified Arabic"/>
          <w:sz w:val="28"/>
          <w:szCs w:val="28"/>
          <w:lang w:bidi="ar-DZ"/>
        </w:rPr>
        <w:t>)</w:t>
      </w:r>
      <w:r>
        <w:rPr>
          <w:rStyle w:val="Appelnotedebasdep"/>
          <w:rFonts w:cs="Simplified Arabic" w:hint="cs"/>
          <w:sz w:val="28"/>
          <w:szCs w:val="28"/>
          <w:rtl/>
          <w:lang w:bidi="ar-DZ"/>
        </w:rPr>
        <w:t>1</w:t>
      </w:r>
      <w:r>
        <w:rPr>
          <w:rStyle w:val="Appelnotedebasdep"/>
          <w:rFonts w:cs="Simplified Arabic"/>
          <w:sz w:val="28"/>
          <w:szCs w:val="28"/>
          <w:lang w:bidi="ar-DZ"/>
        </w:rPr>
        <w:footnoteReference w:customMarkFollows="1" w:id="39"/>
        <w:t>(</w:t>
      </w:r>
    </w:p>
    <w:p w:rsidR="00304C81" w:rsidRDefault="00304C81" w:rsidP="00304C81">
      <w:pPr>
        <w:tabs>
          <w:tab w:val="right" w:pos="282"/>
        </w:tabs>
        <w:bidi/>
        <w:spacing w:after="0"/>
        <w:ind w:firstLine="565"/>
        <w:jc w:val="both"/>
        <w:rPr>
          <w:rFonts w:cs="Simplified Arabic"/>
          <w:sz w:val="16"/>
          <w:szCs w:val="16"/>
          <w:rtl/>
          <w:lang w:bidi="ar-DZ"/>
        </w:rPr>
      </w:pPr>
    </w:p>
    <w:p w:rsidR="00304C81" w:rsidRDefault="00304C81" w:rsidP="00304C81">
      <w:pPr>
        <w:tabs>
          <w:tab w:val="right" w:pos="282"/>
        </w:tabs>
        <w:bidi/>
        <w:spacing w:after="0"/>
        <w:ind w:firstLine="282"/>
        <w:jc w:val="both"/>
        <w:rPr>
          <w:rFonts w:cs="Simplified Arabic"/>
          <w:sz w:val="28"/>
          <w:szCs w:val="28"/>
          <w:rtl/>
          <w:lang w:bidi="ar-DZ"/>
        </w:rPr>
      </w:pPr>
      <w:r>
        <w:rPr>
          <w:rFonts w:cs="Simplified Arabic" w:hint="cs"/>
          <w:b/>
          <w:bCs/>
          <w:sz w:val="28"/>
          <w:szCs w:val="28"/>
          <w:u w:val="single"/>
          <w:rtl/>
          <w:lang w:bidi="ar-DZ"/>
        </w:rPr>
        <w:lastRenderedPageBreak/>
        <w:t>سادسًا</w:t>
      </w:r>
      <w:r>
        <w:rPr>
          <w:rFonts w:cs="Simplified Arabic" w:hint="cs"/>
          <w:b/>
          <w:bCs/>
          <w:sz w:val="28"/>
          <w:szCs w:val="28"/>
          <w:rtl/>
          <w:lang w:bidi="ar-DZ"/>
        </w:rPr>
        <w:t>: أن تكون الواقعة جائزة الإثبات</w:t>
      </w:r>
      <w:r>
        <w:rPr>
          <w:rFonts w:cs="Simplified Arabic" w:hint="cs"/>
          <w:sz w:val="28"/>
          <w:szCs w:val="28"/>
          <w:rtl/>
          <w:lang w:bidi="ar-DZ"/>
        </w:rPr>
        <w:t xml:space="preserve">:    </w:t>
      </w:r>
    </w:p>
    <w:p w:rsidR="00304C81" w:rsidRDefault="00304C81" w:rsidP="00304C81">
      <w:pPr>
        <w:pStyle w:val="Paragraphedeliste"/>
        <w:tabs>
          <w:tab w:val="right" w:pos="282"/>
        </w:tabs>
        <w:bidi/>
        <w:spacing w:after="0"/>
        <w:ind w:left="-2" w:firstLine="567"/>
        <w:jc w:val="both"/>
        <w:rPr>
          <w:rFonts w:cs="Simplified Arabic"/>
          <w:sz w:val="28"/>
          <w:szCs w:val="28"/>
          <w:rtl/>
          <w:lang w:bidi="ar-DZ"/>
        </w:rPr>
      </w:pPr>
      <w:r>
        <w:rPr>
          <w:rFonts w:cs="Simplified Arabic" w:hint="cs"/>
          <w:b/>
          <w:sz w:val="28"/>
          <w:szCs w:val="28"/>
          <w:rtl/>
          <w:lang w:bidi="ar-DZ"/>
        </w:rPr>
        <w:t>لا يكفي أن تكون الواقعة القانونية منتجة في الإثبات بل يجب أن تكون أيضا جائزة الإثبات أي أن القانون لا يمنع إثباتها، وقد يكون هذا المنع لاعتبارات تتعلق بالنظام العام والآداب العامة كمنع إثبات دين القمار وصحة القذف، ومنع توجيه اليمين الحاسمة على فعل معاقب عليه، وإما أن يكون لسبب تَفرضه ضرورة الصياغة الفنية، كما هو الحال في القرائن القانونية القاطعة والقواعد الموضوعية المبنية على الغالب المألوف من الأحوال، يمنع القانون من جواز إثبات عكسها.</w:t>
      </w:r>
      <w:r>
        <w:rPr>
          <w:rStyle w:val="Appelnotedebasdep"/>
          <w:rFonts w:cs="Simplified Arabic"/>
          <w:sz w:val="28"/>
          <w:szCs w:val="28"/>
          <w:lang w:bidi="ar-DZ"/>
        </w:rPr>
        <w:t>)</w:t>
      </w:r>
      <w:r>
        <w:rPr>
          <w:rStyle w:val="Appelnotedebasdep"/>
          <w:rFonts w:cs="Simplified Arabic" w:hint="cs"/>
          <w:sz w:val="28"/>
          <w:szCs w:val="28"/>
          <w:rtl/>
          <w:lang w:bidi="ar-DZ"/>
        </w:rPr>
        <w:t>2</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40"/>
        <w:t>(</w:t>
      </w:r>
    </w:p>
    <w:p w:rsidR="00304C81" w:rsidRDefault="00304C81" w:rsidP="00304C81">
      <w:pPr>
        <w:pStyle w:val="Paragraphedeliste"/>
        <w:tabs>
          <w:tab w:val="right" w:pos="282"/>
        </w:tabs>
        <w:bidi/>
        <w:spacing w:after="0"/>
        <w:ind w:left="-2" w:firstLine="567"/>
        <w:jc w:val="both"/>
        <w:rPr>
          <w:rFonts w:cs="Simplified Arabic"/>
          <w:sz w:val="16"/>
          <w:szCs w:val="16"/>
          <w:rtl/>
          <w:lang w:bidi="ar-DZ"/>
        </w:rPr>
      </w:pPr>
    </w:p>
    <w:p w:rsidR="00304C81" w:rsidRDefault="00304C81" w:rsidP="00304C81">
      <w:pPr>
        <w:tabs>
          <w:tab w:val="right" w:pos="1132"/>
        </w:tabs>
        <w:bidi/>
        <w:spacing w:after="0"/>
        <w:jc w:val="both"/>
        <w:rPr>
          <w:rFonts w:cs="Simplified Arabic"/>
          <w:sz w:val="28"/>
          <w:szCs w:val="28"/>
          <w:rtl/>
          <w:lang w:bidi="ar-DZ"/>
        </w:rPr>
      </w:pPr>
      <w:r>
        <w:rPr>
          <w:rFonts w:cs="Simplified Arabic" w:hint="cs"/>
          <w:b/>
          <w:sz w:val="28"/>
          <w:szCs w:val="28"/>
          <w:rtl/>
          <w:lang w:bidi="ar-DZ"/>
        </w:rPr>
        <w:t xml:space="preserve"> </w:t>
      </w:r>
      <w:r>
        <w:rPr>
          <w:rFonts w:cs="Simplified Arabic" w:hint="cs"/>
          <w:bCs/>
          <w:sz w:val="28"/>
          <w:szCs w:val="28"/>
          <w:u w:val="single"/>
          <w:rtl/>
          <w:lang w:bidi="ar-DZ"/>
        </w:rPr>
        <w:t>المطلب الثاني</w:t>
      </w:r>
      <w:r>
        <w:rPr>
          <w:rFonts w:cs="Simplified Arabic" w:hint="cs"/>
          <w:bCs/>
          <w:sz w:val="28"/>
          <w:szCs w:val="28"/>
          <w:rtl/>
          <w:lang w:bidi="ar-DZ"/>
        </w:rPr>
        <w:t>: مدى تَعلق قواعد الإثبات بالنظام العام:</w:t>
      </w:r>
    </w:p>
    <w:p w:rsidR="00304C81" w:rsidRDefault="00304C81" w:rsidP="00304C81">
      <w:pPr>
        <w:pStyle w:val="Paragraphedeliste"/>
        <w:tabs>
          <w:tab w:val="right" w:pos="282"/>
        </w:tabs>
        <w:bidi/>
        <w:spacing w:after="0"/>
        <w:ind w:left="-2" w:firstLine="709"/>
        <w:jc w:val="both"/>
        <w:rPr>
          <w:rFonts w:cs="Simplified Arabic"/>
          <w:b/>
          <w:sz w:val="16"/>
          <w:szCs w:val="16"/>
          <w:lang w:bidi="ar-DZ"/>
        </w:rPr>
      </w:pPr>
    </w:p>
    <w:p w:rsidR="00304C81" w:rsidRDefault="00304C81" w:rsidP="00304C81">
      <w:pPr>
        <w:pStyle w:val="Paragraphedeliste"/>
        <w:tabs>
          <w:tab w:val="right" w:pos="282"/>
        </w:tabs>
        <w:bidi/>
        <w:spacing w:after="0"/>
        <w:ind w:left="-2" w:firstLine="709"/>
        <w:jc w:val="both"/>
        <w:rPr>
          <w:rFonts w:cs="Simplified Arabic"/>
          <w:sz w:val="28"/>
          <w:szCs w:val="28"/>
          <w:rtl/>
          <w:lang w:bidi="ar-DZ"/>
        </w:rPr>
      </w:pPr>
      <w:r>
        <w:rPr>
          <w:rFonts w:cs="Simplified Arabic" w:hint="cs"/>
          <w:b/>
          <w:sz w:val="28"/>
          <w:szCs w:val="28"/>
          <w:rtl/>
          <w:lang w:bidi="ar-DZ"/>
        </w:rPr>
        <w:t>ذكرنا من قبل أن قَواعد الإثبات تختلف فيما بينها من حيث طبيعتها إلى قواعد إجرائية وأخرى موضوعية، والأولى كما أشرنا هي التي تبين الإجراءات التي يجب إتَباعها في إقامة الدليل الذي حددته القواعد الموضوعية، فلا جدال في أنها تعتبر من النظام العام وذلك لتعلقِها بنظام التقاضي وإجراءاته.</w:t>
      </w:r>
      <w:r>
        <w:rPr>
          <w:rStyle w:val="Appelnotedebasdep"/>
          <w:rFonts w:cs="Simplified Arabic"/>
          <w:sz w:val="28"/>
          <w:szCs w:val="28"/>
          <w:lang w:bidi="ar-DZ"/>
        </w:rPr>
        <w:t>)</w:t>
      </w:r>
      <w:r>
        <w:rPr>
          <w:rStyle w:val="Appelnotedebasdep"/>
          <w:rFonts w:cs="Simplified Arabic" w:hint="cs"/>
          <w:sz w:val="28"/>
          <w:szCs w:val="28"/>
          <w:rtl/>
          <w:lang w:bidi="ar-DZ"/>
        </w:rPr>
        <w:t>3</w:t>
      </w:r>
      <w:r>
        <w:rPr>
          <w:rStyle w:val="Appelnotedebasdep"/>
          <w:rFonts w:cs="Simplified Arabic"/>
          <w:sz w:val="28"/>
          <w:szCs w:val="28"/>
          <w:lang w:bidi="ar-DZ"/>
        </w:rPr>
        <w:footnoteReference w:customMarkFollows="1" w:id="41"/>
        <w:t>(</w:t>
      </w:r>
      <w:r>
        <w:rPr>
          <w:rFonts w:cs="Simplified Arabic" w:hint="cs"/>
          <w:sz w:val="28"/>
          <w:szCs w:val="28"/>
          <w:rtl/>
          <w:lang w:bidi="ar-DZ"/>
        </w:rPr>
        <w:t xml:space="preserve"> </w:t>
      </w:r>
    </w:p>
    <w:p w:rsidR="00304C81" w:rsidRDefault="00304C81" w:rsidP="00304C81">
      <w:pPr>
        <w:pStyle w:val="Paragraphedeliste"/>
        <w:tabs>
          <w:tab w:val="right" w:pos="282"/>
        </w:tabs>
        <w:bidi/>
        <w:spacing w:after="0"/>
        <w:ind w:left="-2" w:firstLine="567"/>
        <w:jc w:val="both"/>
        <w:rPr>
          <w:rFonts w:cs="Simplified Arabic"/>
          <w:sz w:val="28"/>
          <w:szCs w:val="28"/>
          <w:rtl/>
          <w:lang w:bidi="ar-DZ"/>
        </w:rPr>
      </w:pPr>
      <w:r>
        <w:rPr>
          <w:rFonts w:cs="Simplified Arabic" w:hint="cs"/>
          <w:sz w:val="28"/>
          <w:szCs w:val="28"/>
          <w:rtl/>
          <w:lang w:bidi="ar-DZ"/>
        </w:rPr>
        <w:t xml:space="preserve">أما بالنسبة لقواعد الإثبات الموضوعية وهي القواعد التي تتعلق بمحل الإثبات وطرقه فإن الخلاف حول معرفة فيما إذا كانت تتعلق بالنظام العام أم لا. </w:t>
      </w:r>
    </w:p>
    <w:p w:rsidR="00304C81" w:rsidRDefault="00304C81" w:rsidP="00304C81">
      <w:pPr>
        <w:pStyle w:val="Paragraphedeliste"/>
        <w:tabs>
          <w:tab w:val="right" w:pos="282"/>
        </w:tabs>
        <w:bidi/>
        <w:spacing w:after="0"/>
        <w:ind w:left="-2" w:firstLine="567"/>
        <w:jc w:val="both"/>
        <w:rPr>
          <w:rFonts w:cs="Simplified Arabic"/>
          <w:sz w:val="28"/>
          <w:szCs w:val="28"/>
          <w:rtl/>
          <w:lang w:bidi="ar-DZ"/>
        </w:rPr>
      </w:pPr>
      <w:r>
        <w:rPr>
          <w:rFonts w:cs="Simplified Arabic" w:hint="cs"/>
          <w:sz w:val="28"/>
          <w:szCs w:val="28"/>
          <w:rtl/>
          <w:lang w:bidi="ar-DZ"/>
        </w:rPr>
        <w:t>فإذا اعتبرت القواعد الموضوعية من النظام العام ترتب على ذلك جواز التمسك بالقاعدة في أي حالة كانت عليها الدعوى ولو لأول مرة أمام محكمة النقض، كما لا يجوز الاتفاق على مخالفتها، أما إذا لم تعتبر هذه القواعد من النظام العام فإنه يترتب على ذلك نتائج عكسية.</w:t>
      </w:r>
    </w:p>
    <w:p w:rsidR="00304C81" w:rsidRDefault="00304C81" w:rsidP="00304C81">
      <w:pPr>
        <w:pStyle w:val="Paragraphedeliste"/>
        <w:tabs>
          <w:tab w:val="right" w:pos="282"/>
        </w:tabs>
        <w:bidi/>
        <w:spacing w:after="0"/>
        <w:ind w:left="-2" w:firstLine="567"/>
        <w:jc w:val="both"/>
        <w:rPr>
          <w:rFonts w:cs="Simplified Arabic"/>
          <w:sz w:val="28"/>
          <w:szCs w:val="28"/>
          <w:rtl/>
          <w:lang w:bidi="ar-DZ"/>
        </w:rPr>
      </w:pPr>
      <w:r>
        <w:rPr>
          <w:rFonts w:cs="Simplified Arabic" w:hint="cs"/>
          <w:sz w:val="28"/>
          <w:szCs w:val="28"/>
          <w:rtl/>
          <w:lang w:bidi="ar-DZ"/>
        </w:rPr>
        <w:t>بالنسبة لمن يتحمل عبء الإثبات لا تتصل بالنظام العام ولذا يجوز الاتفاق على مخالفتها، دلك متى طلب الشخص الإحالة إلى التحقيق وسكت خصمه عنه يعد بمثابة اتفاق بينهما على نقل عبء الإثبات إليه، وإذا ما قبل أحد الطرفين أن يتحمل عبء الإثبات ثم عجز عن الإثبات أو تقاس عنه صح رفض طلباته.</w:t>
      </w:r>
    </w:p>
    <w:p w:rsidR="00304C81" w:rsidRDefault="00304C81" w:rsidP="00304C81">
      <w:pPr>
        <w:pStyle w:val="Paragraphedeliste"/>
        <w:tabs>
          <w:tab w:val="right" w:pos="282"/>
        </w:tabs>
        <w:bidi/>
        <w:spacing w:after="0"/>
        <w:ind w:left="-2" w:firstLine="567"/>
        <w:jc w:val="both"/>
        <w:rPr>
          <w:rFonts w:cs="Simplified Arabic"/>
          <w:sz w:val="28"/>
          <w:szCs w:val="28"/>
          <w:rtl/>
          <w:lang w:bidi="ar-DZ"/>
        </w:rPr>
      </w:pPr>
      <w:r>
        <w:rPr>
          <w:rFonts w:cs="Simplified Arabic" w:hint="cs"/>
          <w:sz w:val="28"/>
          <w:szCs w:val="28"/>
          <w:rtl/>
          <w:lang w:bidi="ar-DZ"/>
        </w:rPr>
        <w:t>وعلى ذلك فطالما أن قواعد الإثبات في هذا الشأن لا تتعلق بالنظام العام فليس ما يمنع أن  يأخذ أحد الطرفين عبء الإثبات على عاتقه حتى ولو لم يكن في الأصل يتحمل هذا العبء.</w:t>
      </w:r>
    </w:p>
    <w:p w:rsidR="00304C81" w:rsidRDefault="00304C81" w:rsidP="00304C81">
      <w:pPr>
        <w:pStyle w:val="Paragraphedeliste"/>
        <w:tabs>
          <w:tab w:val="right" w:pos="282"/>
        </w:tabs>
        <w:bidi/>
        <w:spacing w:after="0"/>
        <w:ind w:left="-2" w:firstLine="567"/>
        <w:jc w:val="both"/>
        <w:rPr>
          <w:rFonts w:cs="Simplified Arabic"/>
          <w:b/>
          <w:sz w:val="28"/>
          <w:szCs w:val="28"/>
          <w:rtl/>
          <w:lang w:bidi="ar-DZ"/>
        </w:rPr>
      </w:pPr>
      <w:r>
        <w:rPr>
          <w:rFonts w:cs="Simplified Arabic" w:hint="cs"/>
          <w:sz w:val="28"/>
          <w:szCs w:val="28"/>
          <w:rtl/>
          <w:lang w:bidi="ar-DZ"/>
        </w:rPr>
        <w:t>أما بالنسب</w:t>
      </w:r>
      <w:r>
        <w:rPr>
          <w:rFonts w:cs="Simplified Arabic" w:hint="cs"/>
          <w:b/>
          <w:sz w:val="28"/>
          <w:szCs w:val="28"/>
          <w:rtl/>
          <w:lang w:bidi="ar-DZ"/>
        </w:rPr>
        <w:t>ة للمسائل الأخرى، وهي مسألة الإثبات بالشهادة حيث تجب الكتابة كما لو يتفق على أن يكون الإثبات بشهادة الشهود في تَصرف تزيد قيمته على حد الإثبات بها، أو الإثبات بالكتابة حتى ولو قلت قيمة التصرف عن هذا الحد، إن هذه القاعدة لا تتعلق بالنظام العام ذلك أنها إذا كانت موضوعة في الأصل لضمان حسن سير العدالة والتقاضي، فهي موضوعة لصيانة حقوق الأفراد مما تتعرض للضياع بسبب كذب الشهود، مادام المدعى عليه يملِك أن يقِر على نفسه بالحق المدعى به فمن باب أولى يملك أن يسلم بقبول ذلك الحق في ذمته عن طريق الكتابة ما لم يحد المشرع بحرية الشخص بنص آمر.</w:t>
      </w:r>
    </w:p>
    <w:p w:rsidR="00304C81" w:rsidRDefault="00304C81" w:rsidP="00304C81">
      <w:pPr>
        <w:tabs>
          <w:tab w:val="right" w:pos="282"/>
        </w:tabs>
        <w:bidi/>
        <w:spacing w:after="0"/>
        <w:ind w:firstLine="565"/>
        <w:jc w:val="both"/>
        <w:rPr>
          <w:rFonts w:cs="Simplified Arabic"/>
          <w:b/>
          <w:sz w:val="28"/>
          <w:szCs w:val="28"/>
          <w:rtl/>
          <w:lang w:bidi="ar-DZ"/>
        </w:rPr>
      </w:pPr>
      <w:r>
        <w:rPr>
          <w:rFonts w:cs="Simplified Arabic" w:hint="cs"/>
          <w:b/>
          <w:sz w:val="28"/>
          <w:szCs w:val="28"/>
          <w:rtl/>
          <w:lang w:bidi="ar-DZ"/>
        </w:rPr>
        <w:lastRenderedPageBreak/>
        <w:t xml:space="preserve">ويمكن القول بصفة عامة أن القواعد الموضوعية للإثبات لا تعتبر من النظام العام، وهناك من القواعد ما توحي بطبيعتها أنها من النظام العام كحجية الورقة الرسمية على الكافة إلى أن يطعن فيها بالتزوير، إلا أن أكثر قواعد الإثبات لا تعتبر من النظام العام فيصح الاتفاق على عكسها. </w:t>
      </w:r>
    </w:p>
    <w:p w:rsidR="00304C81" w:rsidRDefault="00304C81" w:rsidP="00304C81">
      <w:pPr>
        <w:spacing w:line="276" w:lineRule="auto"/>
        <w:jc w:val="left"/>
        <w:rPr>
          <w:rFonts w:cs="Simplified Arabic"/>
          <w:b/>
          <w:sz w:val="28"/>
          <w:szCs w:val="28"/>
          <w:rtl/>
          <w:lang w:bidi="ar-DZ"/>
        </w:rPr>
      </w:pPr>
      <w:r>
        <w:rPr>
          <w:rFonts w:cs="Simplified Arabic" w:hint="cs"/>
          <w:b/>
          <w:sz w:val="28"/>
          <w:szCs w:val="28"/>
          <w:rtl/>
          <w:lang w:bidi="ar-DZ"/>
        </w:rPr>
        <w:br w:type="page"/>
      </w:r>
    </w:p>
    <w:p w:rsidR="00304C81" w:rsidRDefault="00304C81" w:rsidP="00304C81">
      <w:pPr>
        <w:tabs>
          <w:tab w:val="right" w:pos="282"/>
        </w:tabs>
        <w:bidi/>
        <w:spacing w:after="0"/>
        <w:ind w:firstLine="282"/>
        <w:jc w:val="center"/>
        <w:rPr>
          <w:rFonts w:cs="Simplified Arabic"/>
          <w:sz w:val="16"/>
          <w:szCs w:val="16"/>
          <w:rtl/>
          <w:lang w:bidi="ar-DZ"/>
        </w:rPr>
      </w:pPr>
    </w:p>
    <w:p w:rsidR="00304C81" w:rsidRDefault="00304C81" w:rsidP="00304C81">
      <w:pPr>
        <w:tabs>
          <w:tab w:val="right" w:pos="282"/>
        </w:tabs>
        <w:bidi/>
        <w:spacing w:after="0"/>
        <w:ind w:firstLine="282"/>
        <w:jc w:val="center"/>
        <w:rPr>
          <w:rFonts w:cs="Simplified Arabic"/>
          <w:sz w:val="40"/>
          <w:szCs w:val="40"/>
          <w:rtl/>
          <w:lang w:bidi="ar-DZ"/>
        </w:rPr>
      </w:pPr>
      <w:r>
        <w:rPr>
          <w:rFonts w:cs="Simplified Arabic" w:hint="cs"/>
          <w:sz w:val="40"/>
          <w:szCs w:val="40"/>
          <w:rtl/>
          <w:lang w:bidi="ar-DZ"/>
        </w:rPr>
        <w:t>الفصل الثالث</w:t>
      </w:r>
    </w:p>
    <w:p w:rsidR="00304C81" w:rsidRDefault="00304C81" w:rsidP="00304C81">
      <w:pPr>
        <w:tabs>
          <w:tab w:val="right" w:pos="282"/>
        </w:tabs>
        <w:bidi/>
        <w:spacing w:after="0"/>
        <w:ind w:firstLine="282"/>
        <w:jc w:val="center"/>
        <w:rPr>
          <w:rFonts w:cs="Simplified Arabic"/>
          <w:sz w:val="40"/>
          <w:szCs w:val="40"/>
          <w:rtl/>
          <w:lang w:bidi="ar-DZ"/>
        </w:rPr>
      </w:pPr>
      <w:r>
        <w:rPr>
          <w:rFonts w:cs="Simplified Arabic" w:hint="cs"/>
          <w:sz w:val="40"/>
          <w:szCs w:val="40"/>
          <w:rtl/>
          <w:lang w:bidi="ar-DZ"/>
        </w:rPr>
        <w:t>عبء الإثبات</w:t>
      </w:r>
    </w:p>
    <w:p w:rsidR="00304C81" w:rsidRDefault="00304C81" w:rsidP="00304C81">
      <w:pPr>
        <w:tabs>
          <w:tab w:val="right" w:pos="282"/>
          <w:tab w:val="right" w:pos="849"/>
        </w:tabs>
        <w:bidi/>
        <w:spacing w:after="0"/>
        <w:ind w:hanging="2"/>
        <w:jc w:val="both"/>
        <w:rPr>
          <w:rFonts w:cs="Simplified Arabic"/>
          <w:bCs/>
          <w:sz w:val="28"/>
          <w:szCs w:val="28"/>
          <w:rtl/>
          <w:lang w:bidi="ar-DZ"/>
        </w:rPr>
      </w:pPr>
      <w:r>
        <w:rPr>
          <w:rFonts w:cs="Simplified Arabic" w:hint="cs"/>
          <w:bCs/>
          <w:sz w:val="28"/>
          <w:szCs w:val="28"/>
          <w:rtl/>
          <w:lang w:bidi="ar-DZ"/>
        </w:rPr>
        <w:t xml:space="preserve">            </w:t>
      </w:r>
    </w:p>
    <w:p w:rsidR="00304C81" w:rsidRDefault="00304C81" w:rsidP="00304C81">
      <w:pPr>
        <w:tabs>
          <w:tab w:val="right" w:pos="282"/>
          <w:tab w:val="right" w:pos="849"/>
        </w:tabs>
        <w:bidi/>
        <w:spacing w:after="0"/>
        <w:ind w:hanging="2"/>
        <w:jc w:val="both"/>
        <w:rPr>
          <w:rFonts w:cs="Simplified Arabic"/>
          <w:bCs/>
          <w:sz w:val="10"/>
          <w:szCs w:val="10"/>
          <w:rtl/>
          <w:lang w:bidi="ar-DZ"/>
        </w:rPr>
      </w:pPr>
    </w:p>
    <w:p w:rsidR="00304C81" w:rsidRDefault="00304C81" w:rsidP="00304C81">
      <w:pPr>
        <w:tabs>
          <w:tab w:val="right" w:pos="282"/>
          <w:tab w:val="right" w:pos="849"/>
        </w:tabs>
        <w:bidi/>
        <w:spacing w:after="0"/>
        <w:ind w:hanging="2"/>
        <w:jc w:val="both"/>
        <w:rPr>
          <w:rFonts w:cs="Simplified Arabic"/>
          <w:sz w:val="32"/>
          <w:szCs w:val="32"/>
          <w:rtl/>
          <w:lang w:bidi="ar-DZ"/>
        </w:rPr>
      </w:pPr>
      <w:r>
        <w:rPr>
          <w:rFonts w:cs="Simplified Arabic" w:hint="cs"/>
          <w:bCs/>
          <w:sz w:val="32"/>
          <w:szCs w:val="32"/>
          <w:rtl/>
          <w:lang w:bidi="ar-DZ"/>
        </w:rPr>
        <w:t>ـ تعريف</w:t>
      </w:r>
      <w:r>
        <w:rPr>
          <w:rFonts w:cs="Simplified Arabic" w:hint="cs"/>
          <w:b/>
          <w:sz w:val="32"/>
          <w:szCs w:val="32"/>
          <w:rtl/>
          <w:lang w:bidi="ar-DZ"/>
        </w:rPr>
        <w:t xml:space="preserve"> </w:t>
      </w:r>
      <w:r>
        <w:rPr>
          <w:rFonts w:cs="Simplified Arabic" w:hint="cs"/>
          <w:bCs/>
          <w:sz w:val="32"/>
          <w:szCs w:val="32"/>
          <w:rtl/>
          <w:lang w:bidi="ar-DZ"/>
        </w:rPr>
        <w:t>عبء الإثبات</w:t>
      </w:r>
      <w:r>
        <w:rPr>
          <w:rFonts w:cs="Simplified Arabic" w:hint="cs"/>
          <w:b/>
          <w:sz w:val="32"/>
          <w:szCs w:val="32"/>
          <w:rtl/>
          <w:lang w:bidi="ar-DZ"/>
        </w:rPr>
        <w:t>:</w:t>
      </w:r>
    </w:p>
    <w:p w:rsidR="00304C81" w:rsidRDefault="00304C81" w:rsidP="00304C81">
      <w:pPr>
        <w:pStyle w:val="Paragraphedeliste"/>
        <w:tabs>
          <w:tab w:val="right" w:pos="849"/>
        </w:tabs>
        <w:bidi/>
        <w:spacing w:after="0"/>
        <w:ind w:left="-2" w:firstLine="567"/>
        <w:jc w:val="both"/>
        <w:rPr>
          <w:rFonts w:cs="Simplified Arabic"/>
          <w:sz w:val="28"/>
          <w:szCs w:val="28"/>
          <w:lang w:bidi="ar-DZ"/>
        </w:rPr>
      </w:pPr>
      <w:r>
        <w:rPr>
          <w:rFonts w:cs="Simplified Arabic" w:hint="cs"/>
          <w:b/>
          <w:sz w:val="28"/>
          <w:szCs w:val="28"/>
          <w:rtl/>
          <w:lang w:bidi="ar-DZ"/>
        </w:rPr>
        <w:t>يقصد بعبء الإثبات، على الخصم في الدعوى واجبا في إقناع القاضي، بالوسائل القانونية بصحة الوقائع المنشئة للحق الذي يطالب به، والذي ينازع فيه خصمه، وهذه الوقائع المنشئة هي التي يستخلص منها الحق، ولذلك لا يقع على الخصم الآخر، إثبات الواقعة الجديدة التي ترتب عليها انقضاء الحق.</w:t>
      </w:r>
      <w:r>
        <w:rPr>
          <w:rStyle w:val="Appelnotedebasdep"/>
          <w:rFonts w:cs="Simplified Arabic"/>
          <w:sz w:val="28"/>
          <w:szCs w:val="28"/>
          <w:lang w:bidi="ar-DZ"/>
        </w:rPr>
        <w:t>)</w:t>
      </w:r>
      <w:r>
        <w:rPr>
          <w:rStyle w:val="Appelnotedebasdep"/>
          <w:rFonts w:cs="Simplified Arabic" w:hint="cs"/>
          <w:sz w:val="28"/>
          <w:szCs w:val="28"/>
          <w:rtl/>
          <w:lang w:bidi="ar-DZ"/>
        </w:rPr>
        <w:t>1</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42"/>
        <w:t>(</w:t>
      </w:r>
    </w:p>
    <w:p w:rsidR="00304C81" w:rsidRDefault="00304C81" w:rsidP="00304C81">
      <w:pPr>
        <w:pStyle w:val="Paragraphedeliste"/>
        <w:tabs>
          <w:tab w:val="right" w:pos="849"/>
        </w:tabs>
        <w:bidi/>
        <w:spacing w:after="0"/>
        <w:ind w:left="-2"/>
        <w:jc w:val="both"/>
        <w:rPr>
          <w:rFonts w:cs="Simplified Arabic"/>
          <w:bCs/>
          <w:sz w:val="16"/>
          <w:szCs w:val="16"/>
          <w:rtl/>
          <w:lang w:bidi="ar-DZ"/>
        </w:rPr>
      </w:pPr>
    </w:p>
    <w:p w:rsidR="00304C81" w:rsidRDefault="00304C81" w:rsidP="00304C81">
      <w:pPr>
        <w:pStyle w:val="Paragraphedeliste"/>
        <w:tabs>
          <w:tab w:val="right" w:pos="849"/>
        </w:tabs>
        <w:bidi/>
        <w:spacing w:after="0"/>
        <w:ind w:left="-2"/>
        <w:jc w:val="both"/>
        <w:rPr>
          <w:rFonts w:cs="Simplified Arabic"/>
          <w:b/>
          <w:sz w:val="28"/>
          <w:szCs w:val="28"/>
          <w:rtl/>
          <w:lang w:bidi="ar-DZ"/>
        </w:rPr>
      </w:pPr>
      <w:r>
        <w:rPr>
          <w:rFonts w:cs="Simplified Arabic" w:hint="cs"/>
          <w:bCs/>
          <w:sz w:val="28"/>
          <w:szCs w:val="28"/>
          <w:rtl/>
          <w:lang w:bidi="ar-DZ"/>
        </w:rPr>
        <w:t>ـ أهمية تحديد الخصم</w:t>
      </w:r>
      <w:r>
        <w:rPr>
          <w:rFonts w:cs="Simplified Arabic" w:hint="cs"/>
          <w:b/>
          <w:sz w:val="28"/>
          <w:szCs w:val="28"/>
          <w:rtl/>
          <w:lang w:bidi="ar-DZ"/>
        </w:rPr>
        <w:t xml:space="preserve"> </w:t>
      </w:r>
      <w:r>
        <w:rPr>
          <w:rFonts w:cs="Simplified Arabic" w:hint="cs"/>
          <w:bCs/>
          <w:sz w:val="28"/>
          <w:szCs w:val="28"/>
          <w:rtl/>
          <w:lang w:bidi="ar-DZ"/>
        </w:rPr>
        <w:t>المكلف بالإثبات</w:t>
      </w:r>
      <w:r>
        <w:rPr>
          <w:rFonts w:cs="Simplified Arabic" w:hint="cs"/>
          <w:b/>
          <w:sz w:val="28"/>
          <w:szCs w:val="28"/>
          <w:rtl/>
          <w:lang w:bidi="ar-DZ"/>
        </w:rPr>
        <w:t>:</w:t>
      </w:r>
    </w:p>
    <w:p w:rsidR="00304C81" w:rsidRDefault="00304C81" w:rsidP="00304C81">
      <w:pPr>
        <w:pStyle w:val="Paragraphedeliste"/>
        <w:tabs>
          <w:tab w:val="right" w:pos="849"/>
        </w:tabs>
        <w:bidi/>
        <w:spacing w:after="0"/>
        <w:ind w:left="-2" w:firstLine="567"/>
        <w:jc w:val="both"/>
        <w:rPr>
          <w:rFonts w:cs="Simplified Arabic"/>
          <w:b/>
          <w:sz w:val="28"/>
          <w:szCs w:val="28"/>
          <w:rtl/>
          <w:lang w:bidi="ar-DZ"/>
        </w:rPr>
      </w:pPr>
      <w:r>
        <w:rPr>
          <w:rFonts w:cs="Simplified Arabic" w:hint="cs"/>
          <w:sz w:val="28"/>
          <w:szCs w:val="28"/>
          <w:rtl/>
          <w:lang w:bidi="ar-DZ"/>
        </w:rPr>
        <w:t xml:space="preserve">ولتحديد الخصم </w:t>
      </w:r>
      <w:r>
        <w:rPr>
          <w:rFonts w:cs="Simplified Arabic" w:hint="cs"/>
          <w:b/>
          <w:sz w:val="28"/>
          <w:szCs w:val="28"/>
          <w:rtl/>
          <w:lang w:bidi="ar-DZ"/>
        </w:rPr>
        <w:t>الذي يقع عليه عبء الإثبات، أهمية بالغة تطرا لحِيدة القاضي، الذي لا يجوز له أن يبحث في أدلة الإثبات من تلقاء نفسه لمصلحة هذا الخصم أو ذاك، ويترتب على عجز المكلف بالإثبات خسارة دعواه حتى لو كانت الشكوك تحيط بسلامة مركز خصمه الذي يكون له سوى الانتظار محتفظا به إلى أن يقام الدليل على عدم سلامته</w:t>
      </w:r>
      <w:r>
        <w:rPr>
          <w:rStyle w:val="Appelnotedebasdep"/>
          <w:rFonts w:cs="Simplified Arabic"/>
          <w:sz w:val="28"/>
          <w:szCs w:val="28"/>
          <w:lang w:bidi="ar-DZ"/>
        </w:rPr>
        <w:t>)</w:t>
      </w:r>
      <w:r>
        <w:rPr>
          <w:rStyle w:val="Appelnotedebasdep"/>
          <w:rFonts w:cs="Simplified Arabic" w:hint="cs"/>
          <w:sz w:val="28"/>
          <w:szCs w:val="28"/>
          <w:rtl/>
          <w:lang w:bidi="ar-DZ"/>
        </w:rPr>
        <w:t>2</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43"/>
        <w:t>(</w:t>
      </w:r>
      <w:r>
        <w:rPr>
          <w:rFonts w:cs="Simplified Arabic" w:hint="cs"/>
          <w:sz w:val="28"/>
          <w:szCs w:val="28"/>
          <w:rtl/>
          <w:lang w:bidi="ar-DZ"/>
        </w:rPr>
        <w:t xml:space="preserve">ولا يجوز أن يتخذ مجرد </w:t>
      </w:r>
      <w:r>
        <w:rPr>
          <w:rFonts w:cs="Simplified Arabic" w:hint="cs"/>
          <w:b/>
          <w:sz w:val="28"/>
          <w:szCs w:val="28"/>
          <w:rtl/>
          <w:lang w:bidi="ar-DZ"/>
        </w:rPr>
        <w:t>عجز المدعى عليه عن الإثبات دليلا على صحة الدعوى، إذا لم يستطع المدعى إثباتَ ما يدعيه.</w:t>
      </w:r>
    </w:p>
    <w:p w:rsidR="00304C81" w:rsidRDefault="00304C81" w:rsidP="00304C81">
      <w:pPr>
        <w:pStyle w:val="Paragraphedeliste"/>
        <w:tabs>
          <w:tab w:val="right" w:pos="849"/>
        </w:tabs>
        <w:bidi/>
        <w:spacing w:after="0"/>
        <w:ind w:left="-2" w:firstLine="567"/>
        <w:jc w:val="both"/>
        <w:rPr>
          <w:rFonts w:cs="Simplified Arabic"/>
          <w:b/>
          <w:sz w:val="28"/>
          <w:szCs w:val="28"/>
          <w:rtl/>
          <w:lang w:bidi="ar-DZ"/>
        </w:rPr>
      </w:pPr>
      <w:r>
        <w:rPr>
          <w:rFonts w:cs="Simplified Arabic" w:hint="cs"/>
          <w:b/>
          <w:sz w:val="28"/>
          <w:szCs w:val="28"/>
          <w:rtl/>
          <w:lang w:bidi="ar-DZ"/>
        </w:rPr>
        <w:t>لكن لو أن المشرع ترك هذا الحق في الإثبات دون تَحديد الخصم المكلف به فقد لا يستخدمه أي من الخصمين لهذا الحق، وجب على القاضي أن يكلف أحدهما بالإثبات، فهنا الأهمية القصوى لتحديد الخصم الذي يقع عليه عبء الإثبات.</w:t>
      </w:r>
    </w:p>
    <w:p w:rsidR="00304C81" w:rsidRDefault="00304C81" w:rsidP="00304C81">
      <w:pPr>
        <w:pStyle w:val="Paragraphedeliste"/>
        <w:tabs>
          <w:tab w:val="right" w:pos="849"/>
        </w:tabs>
        <w:bidi/>
        <w:spacing w:after="0"/>
        <w:ind w:left="-2" w:firstLine="567"/>
        <w:jc w:val="both"/>
        <w:rPr>
          <w:rFonts w:cs="Simplified Arabic"/>
          <w:b/>
          <w:sz w:val="28"/>
          <w:szCs w:val="28"/>
          <w:rtl/>
          <w:lang w:bidi="ar-DZ"/>
        </w:rPr>
      </w:pPr>
      <w:r>
        <w:rPr>
          <w:rFonts w:cs="Simplified Arabic" w:hint="cs"/>
          <w:b/>
          <w:sz w:val="28"/>
          <w:szCs w:val="28"/>
          <w:rtl/>
          <w:lang w:bidi="ar-DZ"/>
        </w:rPr>
        <w:t>كما قد يكون الحق غير واضح بين الطرفين أو الدعوى، مفتقر إلى الدليل، فيكون تحديد الخصم المكلف بالإثبات هو بمثابة فصل في الدعوى.</w:t>
      </w:r>
      <w:r>
        <w:rPr>
          <w:rStyle w:val="Appelnotedebasdep"/>
          <w:rFonts w:cs="Simplified Arabic" w:hint="cs"/>
          <w:sz w:val="28"/>
          <w:szCs w:val="28"/>
          <w:lang w:bidi="ar-DZ"/>
        </w:rPr>
        <w:t xml:space="preserve"> </w:t>
      </w:r>
      <w:r>
        <w:rPr>
          <w:rStyle w:val="Appelnotedebasdep"/>
          <w:rFonts w:cs="Simplified Arabic"/>
          <w:sz w:val="28"/>
          <w:szCs w:val="28"/>
          <w:lang w:bidi="ar-DZ"/>
        </w:rPr>
        <w:t>)</w:t>
      </w:r>
      <w:r>
        <w:rPr>
          <w:rStyle w:val="Appelnotedebasdep"/>
          <w:rFonts w:cs="Simplified Arabic" w:hint="cs"/>
          <w:sz w:val="28"/>
          <w:szCs w:val="28"/>
          <w:rtl/>
          <w:lang w:bidi="ar-DZ"/>
        </w:rPr>
        <w:t>3</w:t>
      </w:r>
      <w:r>
        <w:rPr>
          <w:rStyle w:val="Appelnotedebasdep"/>
          <w:rFonts w:cs="Simplified Arabic"/>
          <w:sz w:val="28"/>
          <w:szCs w:val="28"/>
          <w:lang w:bidi="ar-DZ"/>
        </w:rPr>
        <w:footnoteReference w:customMarkFollows="1" w:id="44"/>
        <w:t>(</w:t>
      </w:r>
    </w:p>
    <w:p w:rsidR="00304C81" w:rsidRDefault="00304C81" w:rsidP="00304C81">
      <w:pPr>
        <w:pStyle w:val="Paragraphedeliste"/>
        <w:tabs>
          <w:tab w:val="right" w:pos="849"/>
        </w:tabs>
        <w:bidi/>
        <w:spacing w:after="0"/>
        <w:ind w:left="-2" w:firstLine="567"/>
        <w:jc w:val="both"/>
        <w:rPr>
          <w:rFonts w:cs="Simplified Arabic"/>
          <w:b/>
          <w:sz w:val="28"/>
          <w:szCs w:val="28"/>
          <w:rtl/>
          <w:lang w:bidi="ar-DZ"/>
        </w:rPr>
      </w:pPr>
      <w:r>
        <w:rPr>
          <w:rFonts w:cs="Simplified Arabic" w:hint="cs"/>
          <w:b/>
          <w:sz w:val="28"/>
          <w:szCs w:val="28"/>
          <w:rtl/>
          <w:lang w:bidi="ar-DZ"/>
        </w:rPr>
        <w:t xml:space="preserve"> وسنتناول دراسة هذه المسألة القانونية في تحديد من يتحمل عبء الإثبات من الخصوم في المبحث الأول، ثم أن هذه القاعدة تتضمن استثناء عليها في المبحث الثاني.</w:t>
      </w:r>
    </w:p>
    <w:p w:rsidR="00304C81" w:rsidRDefault="00304C81" w:rsidP="00304C81">
      <w:pPr>
        <w:tabs>
          <w:tab w:val="right" w:pos="282"/>
        </w:tabs>
        <w:bidi/>
        <w:spacing w:after="0"/>
        <w:ind w:hanging="2"/>
        <w:jc w:val="both"/>
        <w:rPr>
          <w:rFonts w:cs="Simplified Arabic"/>
          <w:sz w:val="36"/>
          <w:szCs w:val="36"/>
          <w:rtl/>
          <w:lang w:bidi="ar-DZ"/>
        </w:rPr>
      </w:pPr>
    </w:p>
    <w:p w:rsidR="00304C81" w:rsidRDefault="00304C81" w:rsidP="00304C81">
      <w:pPr>
        <w:tabs>
          <w:tab w:val="right" w:pos="282"/>
        </w:tabs>
        <w:bidi/>
        <w:spacing w:after="0"/>
        <w:ind w:hanging="2"/>
        <w:jc w:val="both"/>
        <w:rPr>
          <w:rFonts w:cs="Simplified Arabic"/>
          <w:sz w:val="36"/>
          <w:szCs w:val="36"/>
          <w:rtl/>
          <w:lang w:bidi="ar-DZ"/>
        </w:rPr>
      </w:pPr>
    </w:p>
    <w:p w:rsidR="00304C81" w:rsidRDefault="00304C81" w:rsidP="00304C81">
      <w:pPr>
        <w:tabs>
          <w:tab w:val="right" w:pos="282"/>
        </w:tabs>
        <w:bidi/>
        <w:spacing w:after="0"/>
        <w:ind w:hanging="2"/>
        <w:jc w:val="both"/>
        <w:rPr>
          <w:rFonts w:cs="Simplified Arabic"/>
          <w:sz w:val="36"/>
          <w:szCs w:val="36"/>
          <w:rtl/>
          <w:lang w:bidi="ar-DZ"/>
        </w:rPr>
      </w:pPr>
    </w:p>
    <w:p w:rsidR="00304C81" w:rsidRDefault="00304C81" w:rsidP="00304C81">
      <w:pPr>
        <w:tabs>
          <w:tab w:val="right" w:pos="282"/>
        </w:tabs>
        <w:bidi/>
        <w:spacing w:after="0"/>
        <w:ind w:hanging="2"/>
        <w:jc w:val="both"/>
        <w:rPr>
          <w:rFonts w:cs="Simplified Arabic"/>
          <w:sz w:val="16"/>
          <w:szCs w:val="16"/>
          <w:rtl/>
          <w:lang w:bidi="ar-DZ"/>
        </w:rPr>
      </w:pPr>
    </w:p>
    <w:p w:rsidR="00FA4B5E" w:rsidRDefault="00FA4B5E" w:rsidP="00FA4B5E">
      <w:pPr>
        <w:tabs>
          <w:tab w:val="right" w:pos="282"/>
        </w:tabs>
        <w:bidi/>
        <w:spacing w:after="0"/>
        <w:ind w:hanging="2"/>
        <w:jc w:val="both"/>
        <w:rPr>
          <w:rFonts w:cs="Simplified Arabic"/>
          <w:sz w:val="16"/>
          <w:szCs w:val="16"/>
          <w:rtl/>
          <w:lang w:bidi="ar-DZ"/>
        </w:rPr>
      </w:pPr>
    </w:p>
    <w:p w:rsidR="00304C81" w:rsidRDefault="00304C81" w:rsidP="00304C81">
      <w:pPr>
        <w:tabs>
          <w:tab w:val="right" w:pos="282"/>
        </w:tabs>
        <w:bidi/>
        <w:spacing w:after="0"/>
        <w:ind w:hanging="2"/>
        <w:jc w:val="center"/>
        <w:rPr>
          <w:rFonts w:cs="Simplified Arabic"/>
          <w:sz w:val="36"/>
          <w:szCs w:val="36"/>
          <w:rtl/>
          <w:lang w:bidi="ar-DZ"/>
        </w:rPr>
      </w:pPr>
      <w:r>
        <w:rPr>
          <w:rFonts w:cs="Simplified Arabic" w:hint="cs"/>
          <w:sz w:val="36"/>
          <w:szCs w:val="36"/>
          <w:rtl/>
          <w:lang w:bidi="ar-DZ"/>
        </w:rPr>
        <w:lastRenderedPageBreak/>
        <w:t>المبحث الأول</w:t>
      </w:r>
    </w:p>
    <w:p w:rsidR="00304C81" w:rsidRDefault="00304C81" w:rsidP="00304C81">
      <w:pPr>
        <w:tabs>
          <w:tab w:val="right" w:pos="282"/>
        </w:tabs>
        <w:bidi/>
        <w:spacing w:after="0"/>
        <w:ind w:hanging="2"/>
        <w:jc w:val="center"/>
        <w:rPr>
          <w:rFonts w:cs="Simplified Arabic"/>
          <w:sz w:val="36"/>
          <w:szCs w:val="36"/>
          <w:rtl/>
          <w:lang w:bidi="ar-DZ"/>
        </w:rPr>
      </w:pPr>
      <w:r>
        <w:rPr>
          <w:rFonts w:cs="Simplified Arabic" w:hint="cs"/>
          <w:sz w:val="36"/>
          <w:szCs w:val="36"/>
          <w:rtl/>
          <w:lang w:bidi="ar-DZ"/>
        </w:rPr>
        <w:t>الإثبات على المدعي</w:t>
      </w:r>
    </w:p>
    <w:p w:rsidR="00304C81" w:rsidRDefault="00304C81" w:rsidP="00304C81">
      <w:pPr>
        <w:tabs>
          <w:tab w:val="right" w:pos="282"/>
        </w:tabs>
        <w:bidi/>
        <w:spacing w:after="0"/>
        <w:ind w:hanging="2"/>
        <w:jc w:val="both"/>
        <w:rPr>
          <w:rFonts w:cs="Simplified Arabic"/>
          <w:sz w:val="16"/>
          <w:szCs w:val="16"/>
          <w:rtl/>
          <w:lang w:bidi="ar-DZ"/>
        </w:rPr>
      </w:pPr>
    </w:p>
    <w:p w:rsidR="00304C81" w:rsidRDefault="00304C81" w:rsidP="00304C81">
      <w:pPr>
        <w:tabs>
          <w:tab w:val="right" w:pos="282"/>
        </w:tabs>
        <w:bidi/>
        <w:spacing w:after="0"/>
        <w:ind w:hanging="2"/>
        <w:jc w:val="both"/>
        <w:rPr>
          <w:rFonts w:cs="Simplified Arabic"/>
          <w:sz w:val="16"/>
          <w:szCs w:val="16"/>
          <w:rtl/>
          <w:lang w:bidi="ar-DZ"/>
        </w:rPr>
      </w:pPr>
    </w:p>
    <w:p w:rsidR="00304C81" w:rsidRDefault="00304C81" w:rsidP="00304C81">
      <w:pPr>
        <w:pStyle w:val="Paragraphedeliste"/>
        <w:tabs>
          <w:tab w:val="right" w:pos="849"/>
        </w:tabs>
        <w:bidi/>
        <w:spacing w:after="0"/>
        <w:ind w:left="-2" w:firstLine="567"/>
        <w:jc w:val="both"/>
        <w:rPr>
          <w:rFonts w:cs="Simplified Arabic"/>
          <w:b/>
          <w:sz w:val="28"/>
          <w:szCs w:val="28"/>
          <w:rtl/>
          <w:lang w:bidi="ar-DZ"/>
        </w:rPr>
      </w:pPr>
      <w:r>
        <w:rPr>
          <w:rFonts w:cs="Simplified Arabic" w:hint="cs"/>
          <w:b/>
          <w:sz w:val="28"/>
          <w:szCs w:val="28"/>
          <w:rtl/>
          <w:lang w:bidi="ar-DZ"/>
        </w:rPr>
        <w:t xml:space="preserve">تنص المادة: </w:t>
      </w:r>
      <w:r>
        <w:rPr>
          <w:rFonts w:cs="Simplified Arabic" w:hint="cs"/>
          <w:b/>
          <w:szCs w:val="24"/>
          <w:rtl/>
          <w:lang w:bidi="ar-DZ"/>
        </w:rPr>
        <w:t>323</w:t>
      </w:r>
      <w:r>
        <w:rPr>
          <w:rFonts w:cs="Simplified Arabic" w:hint="cs"/>
          <w:b/>
          <w:sz w:val="28"/>
          <w:szCs w:val="28"/>
          <w:rtl/>
          <w:lang w:bidi="ar-DZ"/>
        </w:rPr>
        <w:t xml:space="preserve"> قانون المدني :" على الدائن إثبات الالتزام وعلى المدين إثبات التخلص منه"، فقد أورد المشرع في هذا النص قاعدة عامة التي تحدد الشخص الذي يقع عليه عبء الإثبات، طبقا لهذه القاعدة.</w:t>
      </w:r>
    </w:p>
    <w:p w:rsidR="00304C81" w:rsidRDefault="00304C81" w:rsidP="00304C81">
      <w:pPr>
        <w:pStyle w:val="Paragraphedeliste"/>
        <w:tabs>
          <w:tab w:val="right" w:pos="849"/>
        </w:tabs>
        <w:bidi/>
        <w:spacing w:after="0"/>
        <w:ind w:left="-2" w:firstLine="567"/>
        <w:jc w:val="both"/>
        <w:rPr>
          <w:rFonts w:cs="Simplified Arabic"/>
          <w:b/>
          <w:sz w:val="28"/>
          <w:szCs w:val="28"/>
          <w:rtl/>
          <w:lang w:bidi="ar-DZ"/>
        </w:rPr>
      </w:pPr>
      <w:r>
        <w:rPr>
          <w:rFonts w:cs="Simplified Arabic" w:hint="cs"/>
          <w:b/>
          <w:sz w:val="28"/>
          <w:szCs w:val="28"/>
          <w:rtl/>
          <w:lang w:bidi="ar-DZ"/>
        </w:rPr>
        <w:t>يتحمل المدعي إثبات صحة إدعائه، وإذا أنكر المدعى عليه إدعاء المدعى يصبح بهذا الإنكار مدعيًا وقع عليه حينئذ إثبات ما يفيد التخلص من الحق المتنازع عليه.</w:t>
      </w:r>
      <w:r>
        <w:rPr>
          <w:rStyle w:val="Appelnotedebasdep"/>
          <w:rFonts w:cs="Simplified Arabic"/>
          <w:sz w:val="28"/>
          <w:szCs w:val="28"/>
          <w:lang w:bidi="ar-DZ"/>
        </w:rPr>
        <w:t>)</w:t>
      </w:r>
      <w:r>
        <w:rPr>
          <w:rStyle w:val="Appelnotedebasdep"/>
          <w:rFonts w:cs="Simplified Arabic" w:hint="cs"/>
          <w:sz w:val="28"/>
          <w:szCs w:val="28"/>
          <w:rtl/>
          <w:lang w:bidi="ar-DZ"/>
        </w:rPr>
        <w:t>1</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45"/>
        <w:t>(</w:t>
      </w:r>
    </w:p>
    <w:p w:rsidR="00304C81" w:rsidRDefault="00304C81" w:rsidP="00304C81">
      <w:pPr>
        <w:pStyle w:val="Paragraphedeliste"/>
        <w:tabs>
          <w:tab w:val="right" w:pos="849"/>
        </w:tabs>
        <w:bidi/>
        <w:spacing w:after="0"/>
        <w:ind w:left="-2" w:firstLine="567"/>
        <w:jc w:val="both"/>
        <w:rPr>
          <w:rFonts w:cs="Simplified Arabic"/>
          <w:sz w:val="28"/>
          <w:szCs w:val="28"/>
          <w:rtl/>
          <w:lang w:bidi="ar-DZ"/>
        </w:rPr>
      </w:pPr>
      <w:r>
        <w:rPr>
          <w:rFonts w:cs="Simplified Arabic" w:hint="cs"/>
          <w:sz w:val="28"/>
          <w:szCs w:val="28"/>
          <w:rtl/>
          <w:lang w:bidi="ar-DZ"/>
        </w:rPr>
        <w:t>وتطبق القاعدة أن البينة على المدعى في نطاق الحقوق الشخصية في المطلب الأول، وفي نطاق الحقوق العينية في المطلب الثاني.</w:t>
      </w:r>
    </w:p>
    <w:p w:rsidR="00304C81" w:rsidRDefault="00304C81" w:rsidP="00304C81">
      <w:pPr>
        <w:pStyle w:val="Paragraphedeliste"/>
        <w:tabs>
          <w:tab w:val="right" w:pos="849"/>
        </w:tabs>
        <w:bidi/>
        <w:spacing w:after="0"/>
        <w:ind w:left="-2" w:firstLine="567"/>
        <w:jc w:val="both"/>
        <w:rPr>
          <w:rFonts w:cs="Simplified Arabic"/>
          <w:sz w:val="16"/>
          <w:szCs w:val="16"/>
          <w:rtl/>
          <w:lang w:bidi="ar-DZ"/>
        </w:rPr>
      </w:pPr>
    </w:p>
    <w:p w:rsidR="00304C81" w:rsidRDefault="00304C81" w:rsidP="00304C81">
      <w:pPr>
        <w:tabs>
          <w:tab w:val="right" w:pos="849"/>
        </w:tabs>
        <w:bidi/>
        <w:spacing w:after="0"/>
        <w:jc w:val="both"/>
        <w:rPr>
          <w:rFonts w:cs="Simplified Arabic"/>
          <w:sz w:val="28"/>
          <w:szCs w:val="28"/>
          <w:rtl/>
          <w:lang w:bidi="ar-DZ"/>
        </w:rPr>
      </w:pPr>
      <w:r>
        <w:rPr>
          <w:rFonts w:cs="Simplified Arabic" w:hint="cs"/>
          <w:bCs/>
          <w:sz w:val="28"/>
          <w:szCs w:val="28"/>
          <w:rtl/>
          <w:lang w:bidi="ar-DZ"/>
        </w:rPr>
        <w:t xml:space="preserve">ـ </w:t>
      </w:r>
      <w:r>
        <w:rPr>
          <w:rFonts w:cs="Simplified Arabic" w:hint="cs"/>
          <w:bCs/>
          <w:sz w:val="28"/>
          <w:szCs w:val="28"/>
          <w:u w:val="single"/>
          <w:rtl/>
          <w:lang w:bidi="ar-DZ"/>
        </w:rPr>
        <w:t>المطلب الأول</w:t>
      </w:r>
      <w:r>
        <w:rPr>
          <w:rFonts w:cs="Simplified Arabic" w:hint="cs"/>
          <w:bCs/>
          <w:sz w:val="28"/>
          <w:szCs w:val="28"/>
          <w:rtl/>
          <w:lang w:bidi="ar-DZ"/>
        </w:rPr>
        <w:t xml:space="preserve">: الأصل في الحقوق الشخصية براءة الذمة: </w:t>
      </w:r>
    </w:p>
    <w:p w:rsidR="00304C81" w:rsidRDefault="00304C81" w:rsidP="00304C81">
      <w:pPr>
        <w:tabs>
          <w:tab w:val="right" w:pos="849"/>
        </w:tabs>
        <w:bidi/>
        <w:spacing w:after="0"/>
        <w:jc w:val="both"/>
        <w:rPr>
          <w:rFonts w:cs="Simplified Arabic"/>
          <w:sz w:val="16"/>
          <w:szCs w:val="16"/>
          <w:rtl/>
          <w:lang w:bidi="ar-DZ"/>
        </w:rPr>
      </w:pPr>
    </w:p>
    <w:p w:rsidR="00304C81" w:rsidRDefault="00304C81" w:rsidP="00304C81">
      <w:pPr>
        <w:pStyle w:val="Paragraphedeliste"/>
        <w:tabs>
          <w:tab w:val="right" w:pos="849"/>
        </w:tabs>
        <w:bidi/>
        <w:spacing w:after="0"/>
        <w:ind w:left="-2" w:firstLine="567"/>
        <w:jc w:val="both"/>
        <w:rPr>
          <w:rStyle w:val="Appelnotedebasdep"/>
          <w:rFonts w:cs="Simplified Arabic"/>
          <w:sz w:val="28"/>
          <w:szCs w:val="28"/>
        </w:rPr>
      </w:pPr>
      <w:r>
        <w:rPr>
          <w:rFonts w:cs="Simplified Arabic" w:hint="cs"/>
          <w:sz w:val="28"/>
          <w:szCs w:val="28"/>
          <w:rtl/>
          <w:lang w:bidi="ar-DZ"/>
        </w:rPr>
        <w:t>يقصد بالحقوق الشخصية الروابط القانونية التي تجمع بين الأشخاص ويكون محلها إنشاءُ أو تعديل أو إنهاء التزام، فالأصل في نطاق الحقوق الشخصية براءة الذمة، لأن الدين أو الالتزام عارض ف حياة الأشخاص له صفة استثنائية، لا بد من سبب ينشئه في ذمتهم، فمن يدعي دينا في ذمة الغير، إنما يدعي أمرا عارضا على خلاف الثابت أصلا، ومن ثم يتَعين عليه إِثباته (العقد والفعل)،  فإذا أخفق في إثبات هذه الواقعة خسر دعواه، دون أن يكلف المدعى عليه إثبات براءة ذمته من هذا الدين لأنه يستند على الأمر الثابت أصلا وهو براءة الذمة.</w:t>
      </w:r>
      <w:r>
        <w:rPr>
          <w:rStyle w:val="Appelnotedebasdep"/>
          <w:rFonts w:cs="Simplified Arabic"/>
          <w:sz w:val="28"/>
          <w:szCs w:val="28"/>
          <w:lang w:bidi="ar-DZ"/>
        </w:rPr>
        <w:t xml:space="preserve">) </w:t>
      </w:r>
      <w:r>
        <w:rPr>
          <w:rStyle w:val="Appelnotedebasdep"/>
          <w:rFonts w:cs="Simplified Arabic" w:hint="cs"/>
          <w:sz w:val="28"/>
          <w:szCs w:val="28"/>
          <w:rtl/>
          <w:lang w:bidi="ar-DZ"/>
        </w:rPr>
        <w:t>2</w:t>
      </w:r>
      <w:r>
        <w:rPr>
          <w:rStyle w:val="Appelnotedebasdep"/>
          <w:rFonts w:cs="Simplified Arabic"/>
          <w:sz w:val="28"/>
          <w:szCs w:val="28"/>
          <w:lang w:bidi="ar-DZ"/>
        </w:rPr>
        <w:footnoteReference w:customMarkFollows="1" w:id="46"/>
        <w:t>(</w:t>
      </w:r>
    </w:p>
    <w:p w:rsidR="00304C81" w:rsidRDefault="00304C81" w:rsidP="00304C81">
      <w:pPr>
        <w:pStyle w:val="Paragraphedeliste"/>
        <w:tabs>
          <w:tab w:val="right" w:pos="849"/>
        </w:tabs>
        <w:bidi/>
        <w:spacing w:after="0"/>
        <w:ind w:left="-2" w:firstLine="567"/>
        <w:jc w:val="both"/>
        <w:rPr>
          <w:rtl/>
        </w:rPr>
      </w:pPr>
      <w:r>
        <w:rPr>
          <w:rStyle w:val="Appelnotedebasdep"/>
          <w:rFonts w:cs="Simplified Arabic" w:hint="cs"/>
          <w:sz w:val="28"/>
          <w:szCs w:val="28"/>
          <w:rtl/>
          <w:lang w:bidi="ar-DZ"/>
        </w:rPr>
        <w:t>أما إذا أثبت المدعى</w:t>
      </w:r>
      <w:r>
        <w:rPr>
          <w:rFonts w:cs="Simplified Arabic" w:hint="cs"/>
          <w:sz w:val="28"/>
          <w:szCs w:val="28"/>
          <w:rtl/>
          <w:lang w:bidi="ar-DZ"/>
        </w:rPr>
        <w:t xml:space="preserve"> الواقعة مصدر الدين فإنه يكون قد أثبت الأمر العارض الذي يدعيه، وهو شغل ذمة خصمه بما له من دين عليه، ومتى أثبت ذلك فلا يطلب منه إثبات صحة دين أو أنه مزال قائمًا في ذمة المدعى عليه، بل أن ذلك يقع على عاتق المدعى عليه إذا هو ادعى بان الدين غير صحيح، فيقع عليه عبء إثبات ما يدعيه، بإعتباره مدعيًا في هذا الخصوص لا لأنه يدعي خلاف الأمر الثابت أصلا، إذ الثابت أصلا يشهد له، وإنما لأنه يدعي خلاف الأمر العارض الذي أثبتَه عليه خصمه</w:t>
      </w:r>
      <w:r>
        <w:rPr>
          <w:rStyle w:val="Appelnotedebasdep"/>
          <w:rFonts w:cs="Simplified Arabic"/>
          <w:sz w:val="28"/>
          <w:szCs w:val="28"/>
          <w:lang w:bidi="ar-DZ"/>
        </w:rPr>
        <w:t>)</w:t>
      </w:r>
      <w:r>
        <w:rPr>
          <w:rStyle w:val="Appelnotedebasdep"/>
          <w:rFonts w:cs="Simplified Arabic" w:hint="cs"/>
          <w:sz w:val="28"/>
          <w:szCs w:val="28"/>
          <w:rtl/>
          <w:lang w:bidi="ar-DZ"/>
        </w:rPr>
        <w:t>3</w:t>
      </w:r>
      <w:r>
        <w:rPr>
          <w:rStyle w:val="Appelnotedebasdep"/>
          <w:rFonts w:cs="Simplified Arabic"/>
          <w:sz w:val="28"/>
          <w:szCs w:val="28"/>
          <w:lang w:bidi="ar-DZ"/>
        </w:rPr>
        <w:footnoteReference w:customMarkFollows="1" w:id="47"/>
        <w:t>(</w:t>
      </w:r>
      <w:r>
        <w:rPr>
          <w:rFonts w:cs="Simplified Arabic" w:hint="cs"/>
          <w:sz w:val="28"/>
          <w:szCs w:val="28"/>
          <w:rtl/>
          <w:lang w:bidi="ar-DZ"/>
        </w:rPr>
        <w:t xml:space="preserve"> وعلى ذلك في نطاق الحقوق الشخصية من يحمل عبء الإثبات هو من يدعي خلاف الثابت أصلا أو عرضًا .</w:t>
      </w:r>
      <w:r>
        <w:rPr>
          <w:rStyle w:val="Appelnotedebasdep"/>
          <w:rFonts w:cs="Simplified Arabic"/>
          <w:sz w:val="28"/>
          <w:szCs w:val="28"/>
          <w:lang w:bidi="ar-DZ"/>
        </w:rPr>
        <w:t>)</w:t>
      </w:r>
      <w:r>
        <w:rPr>
          <w:rStyle w:val="Appelnotedebasdep"/>
          <w:rFonts w:cs="Simplified Arabic" w:hint="cs"/>
          <w:sz w:val="28"/>
          <w:szCs w:val="28"/>
          <w:rtl/>
          <w:lang w:bidi="ar-DZ"/>
        </w:rPr>
        <w:t>4</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48"/>
        <w:t>(</w:t>
      </w:r>
    </w:p>
    <w:p w:rsidR="00304C81" w:rsidRDefault="00304C81" w:rsidP="00304C81">
      <w:pPr>
        <w:pStyle w:val="Paragraphedeliste"/>
        <w:tabs>
          <w:tab w:val="right" w:pos="849"/>
        </w:tabs>
        <w:bidi/>
        <w:spacing w:after="0"/>
        <w:ind w:left="-2"/>
        <w:jc w:val="both"/>
        <w:rPr>
          <w:rFonts w:cs="Simplified Arabic"/>
          <w:b/>
          <w:bCs/>
          <w:sz w:val="32"/>
          <w:szCs w:val="32"/>
          <w:u w:val="single"/>
          <w:rtl/>
          <w:lang w:bidi="ar-DZ"/>
        </w:rPr>
      </w:pPr>
    </w:p>
    <w:p w:rsidR="00304C81" w:rsidRDefault="00304C81" w:rsidP="00304C81">
      <w:pPr>
        <w:pStyle w:val="Paragraphedeliste"/>
        <w:tabs>
          <w:tab w:val="right" w:pos="849"/>
        </w:tabs>
        <w:bidi/>
        <w:spacing w:after="0"/>
        <w:ind w:left="-2"/>
        <w:jc w:val="both"/>
        <w:rPr>
          <w:rFonts w:cs="Simplified Arabic"/>
          <w:b/>
          <w:bCs/>
          <w:sz w:val="32"/>
          <w:szCs w:val="32"/>
          <w:u w:val="single"/>
          <w:rtl/>
          <w:lang w:bidi="ar-DZ"/>
        </w:rPr>
      </w:pPr>
    </w:p>
    <w:p w:rsidR="00304C81" w:rsidRPr="008F5EAF" w:rsidRDefault="00304C81" w:rsidP="00304C81">
      <w:pPr>
        <w:pStyle w:val="Paragraphedeliste"/>
        <w:tabs>
          <w:tab w:val="right" w:pos="849"/>
        </w:tabs>
        <w:bidi/>
        <w:spacing w:after="0"/>
        <w:ind w:left="-2"/>
        <w:jc w:val="both"/>
        <w:rPr>
          <w:rFonts w:cs="Simplified Arabic"/>
          <w:b/>
          <w:bCs/>
          <w:sz w:val="32"/>
          <w:szCs w:val="32"/>
          <w:rtl/>
          <w:lang w:bidi="ar-DZ"/>
        </w:rPr>
      </w:pPr>
      <w:r w:rsidRPr="008F5EAF">
        <w:rPr>
          <w:rFonts w:cs="Simplified Arabic" w:hint="cs"/>
          <w:b/>
          <w:bCs/>
          <w:sz w:val="32"/>
          <w:szCs w:val="32"/>
          <w:u w:val="single"/>
          <w:rtl/>
          <w:lang w:bidi="ar-DZ"/>
        </w:rPr>
        <w:lastRenderedPageBreak/>
        <w:t>المطلب الثاني</w:t>
      </w:r>
      <w:r w:rsidRPr="008F5EAF">
        <w:rPr>
          <w:rFonts w:cs="Simplified Arabic" w:hint="cs"/>
          <w:b/>
          <w:bCs/>
          <w:sz w:val="32"/>
          <w:szCs w:val="32"/>
          <w:rtl/>
          <w:lang w:bidi="ar-DZ"/>
        </w:rPr>
        <w:t>: الأصل في الحقوق العينية هو الوضع الظاهر:</w:t>
      </w:r>
    </w:p>
    <w:p w:rsidR="00304C81" w:rsidRDefault="00304C81" w:rsidP="00304C81">
      <w:pPr>
        <w:pStyle w:val="Paragraphedeliste"/>
        <w:tabs>
          <w:tab w:val="right" w:pos="849"/>
        </w:tabs>
        <w:bidi/>
        <w:spacing w:after="0"/>
        <w:ind w:left="-2"/>
        <w:jc w:val="both"/>
        <w:rPr>
          <w:rFonts w:cs="Simplified Arabic"/>
          <w:sz w:val="16"/>
          <w:szCs w:val="16"/>
          <w:rtl/>
          <w:lang w:bidi="ar-DZ"/>
        </w:rPr>
      </w:pPr>
    </w:p>
    <w:p w:rsidR="00304C81" w:rsidRDefault="00304C81" w:rsidP="00304C81">
      <w:pPr>
        <w:pStyle w:val="Paragraphedeliste"/>
        <w:tabs>
          <w:tab w:val="right" w:pos="849"/>
        </w:tabs>
        <w:bidi/>
        <w:spacing w:after="0"/>
        <w:ind w:left="-2" w:firstLine="567"/>
        <w:jc w:val="both"/>
        <w:rPr>
          <w:rFonts w:cs="Simplified Arabic"/>
          <w:sz w:val="28"/>
          <w:szCs w:val="28"/>
          <w:rtl/>
          <w:lang w:bidi="ar-DZ"/>
        </w:rPr>
      </w:pPr>
      <w:r>
        <w:rPr>
          <w:rFonts w:cs="Simplified Arabic" w:hint="cs"/>
          <w:sz w:val="28"/>
          <w:szCs w:val="28"/>
          <w:rtl/>
          <w:lang w:bidi="ar-DZ"/>
        </w:rPr>
        <w:t>الحق العيني سلطة لشخص على شيء معين، وهذه السلطة تخلق وضع ظاهرا لصالح من يباشرها ولذلك يعتبر الحائز في الظاهر هو صاحب الحق حتى يقوم الدليل على العكس، فمن حاز منزلا مثلا يكون الظاهر أنه هو مالكه فإذا ما ادعى شخص آخر ملكية هذا المنزل كان مدعيا خلاف الظاهر فيتعين عليه إثبات دعواه وذلك بإثبات الواقعة سبب اكتساب للملكية، فإذا لم يستطع إثبات ذلك رفض القاضي دعواه دون حاجة إلى بحث سند الملكية والمدعي عليه الحائز الذي يشهد له الظاهر.</w:t>
      </w:r>
    </w:p>
    <w:p w:rsidR="00304C81" w:rsidRDefault="00304C81" w:rsidP="00304C81">
      <w:pPr>
        <w:pStyle w:val="Paragraphedeliste"/>
        <w:tabs>
          <w:tab w:val="right" w:pos="849"/>
        </w:tabs>
        <w:bidi/>
        <w:spacing w:after="0"/>
        <w:ind w:left="-2" w:firstLine="567"/>
        <w:jc w:val="both"/>
        <w:rPr>
          <w:rFonts w:cs="Simplified Arabic"/>
          <w:sz w:val="28"/>
          <w:szCs w:val="28"/>
          <w:rtl/>
          <w:lang w:bidi="ar-DZ"/>
        </w:rPr>
      </w:pPr>
      <w:r>
        <w:rPr>
          <w:rFonts w:cs="Simplified Arabic" w:hint="cs"/>
          <w:sz w:val="28"/>
          <w:szCs w:val="28"/>
          <w:rtl/>
          <w:lang w:bidi="ar-DZ"/>
        </w:rPr>
        <w:t>أما إذا استطاع المدعى إثبات ملكيته للعين فقد أثبت أمرا عارضا على خلاف الظاهر، والمدعى عليه إما أن يسلم بذلك وإما أن يدعي أن الملكية قد انتقلت إليه بسبب آخر كالتقادم المكسب أو غيره وحينئذ يصبح هو مدعيًا خلاف الظاهر عرضا وتكون عليه البينة فيما ادعى وهلم جرا.</w:t>
      </w:r>
      <w:r>
        <w:rPr>
          <w:rStyle w:val="Appelnotedebasdep"/>
          <w:rFonts w:cs="Simplified Arabic"/>
          <w:sz w:val="28"/>
          <w:szCs w:val="28"/>
          <w:lang w:bidi="ar-DZ"/>
        </w:rPr>
        <w:t>)</w:t>
      </w:r>
      <w:r>
        <w:rPr>
          <w:rStyle w:val="Appelnotedebasdep"/>
          <w:rFonts w:cs="Simplified Arabic" w:hint="cs"/>
          <w:sz w:val="28"/>
          <w:szCs w:val="28"/>
          <w:rtl/>
          <w:lang w:bidi="ar-DZ"/>
        </w:rPr>
        <w:t>1</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49"/>
        <w:t>(</w:t>
      </w:r>
    </w:p>
    <w:p w:rsidR="00304C81" w:rsidRDefault="00304C81" w:rsidP="00304C81">
      <w:pPr>
        <w:pStyle w:val="Paragraphedeliste"/>
        <w:tabs>
          <w:tab w:val="right" w:pos="849"/>
        </w:tabs>
        <w:bidi/>
        <w:spacing w:after="0"/>
        <w:ind w:left="-2" w:firstLine="567"/>
        <w:jc w:val="both"/>
        <w:rPr>
          <w:rFonts w:cs="Simplified Arabic"/>
          <w:bCs/>
          <w:sz w:val="28"/>
          <w:szCs w:val="28"/>
          <w:rtl/>
          <w:lang w:bidi="ar-DZ"/>
        </w:rPr>
      </w:pPr>
      <w:r>
        <w:rPr>
          <w:rFonts w:cs="Simplified Arabic" w:hint="cs"/>
          <w:sz w:val="28"/>
          <w:szCs w:val="28"/>
          <w:rtl/>
          <w:lang w:bidi="ar-DZ"/>
        </w:rPr>
        <w:t>كذلك فإن الوضع الظاهر يقتضي القول أن ملكية الشخص للعين تكون خالية من أي حق عيني  للغير، فهذا الوضع الظاهر أصلا،</w:t>
      </w:r>
      <w:r>
        <w:rPr>
          <w:rStyle w:val="Appelnotedebasdep"/>
          <w:rFonts w:cs="Simplified Arabic"/>
          <w:sz w:val="28"/>
          <w:szCs w:val="28"/>
          <w:lang w:bidi="ar-DZ"/>
        </w:rPr>
        <w:t xml:space="preserve">) </w:t>
      </w:r>
      <w:r>
        <w:rPr>
          <w:rStyle w:val="Appelnotedebasdep"/>
          <w:rFonts w:cs="Simplified Arabic" w:hint="cs"/>
          <w:sz w:val="28"/>
          <w:szCs w:val="28"/>
          <w:rtl/>
          <w:lang w:bidi="ar-DZ"/>
        </w:rPr>
        <w:t>2</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50"/>
        <w:t>(</w:t>
      </w:r>
      <w:r>
        <w:rPr>
          <w:rFonts w:cs="Simplified Arabic" w:hint="cs"/>
          <w:sz w:val="28"/>
          <w:szCs w:val="28"/>
          <w:rtl/>
          <w:lang w:bidi="ar-DZ"/>
        </w:rPr>
        <w:t>ومن يدعي أنَ له حق عيني على العين، فإنما يكون مدعيا خلاف الظاهر أصلا ومن ثم يتعين عليه إثباته، فإذا تمكن من إثبات الواقعة مصدر الحق العيني (كعقد الرهن) يكون قد أثبت أمرا عارضا على خلاف الظاهر أصلا، فإذا لم يسلم له المالك بحقه على العين، كان-المالك- مدعيا خلاف الظاهر عرضًا فيتعين عليه إثباته.</w:t>
      </w:r>
      <w:r>
        <w:rPr>
          <w:rStyle w:val="Appelnotedebasdep"/>
          <w:rFonts w:cs="Simplified Arabic" w:hint="cs"/>
          <w:sz w:val="28"/>
          <w:szCs w:val="28"/>
          <w:lang w:bidi="ar-DZ"/>
        </w:rPr>
        <w:t xml:space="preserve"> </w:t>
      </w:r>
      <w:r>
        <w:rPr>
          <w:rStyle w:val="Appelnotedebasdep"/>
          <w:rFonts w:cs="Simplified Arabic"/>
          <w:sz w:val="28"/>
          <w:szCs w:val="28"/>
          <w:lang w:bidi="ar-DZ"/>
        </w:rPr>
        <w:t xml:space="preserve">) </w:t>
      </w:r>
      <w:r>
        <w:rPr>
          <w:rStyle w:val="Appelnotedebasdep"/>
          <w:rFonts w:cs="Simplified Arabic" w:hint="cs"/>
          <w:sz w:val="28"/>
          <w:szCs w:val="28"/>
          <w:rtl/>
          <w:lang w:bidi="ar-DZ"/>
        </w:rPr>
        <w:t>3</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51"/>
        <w:t>(</w:t>
      </w:r>
      <w:r>
        <w:rPr>
          <w:rFonts w:cs="Simplified Arabic" w:hint="cs"/>
          <w:bCs/>
          <w:sz w:val="28"/>
          <w:szCs w:val="28"/>
          <w:rtl/>
          <w:lang w:bidi="ar-DZ"/>
        </w:rPr>
        <w:t xml:space="preserve"> </w:t>
      </w:r>
    </w:p>
    <w:p w:rsidR="00304C81" w:rsidRDefault="00304C81" w:rsidP="00304C81">
      <w:pPr>
        <w:pStyle w:val="Paragraphedeliste"/>
        <w:tabs>
          <w:tab w:val="right" w:pos="849"/>
        </w:tabs>
        <w:bidi/>
        <w:spacing w:after="0"/>
        <w:ind w:left="-2" w:firstLine="567"/>
        <w:jc w:val="both"/>
        <w:rPr>
          <w:rFonts w:cs="Simplified Arabic"/>
          <w:sz w:val="28"/>
          <w:szCs w:val="28"/>
          <w:rtl/>
          <w:lang w:bidi="ar-DZ"/>
        </w:rPr>
      </w:pPr>
      <w:r>
        <w:rPr>
          <w:rFonts w:cs="Simplified Arabic" w:hint="cs"/>
          <w:sz w:val="28"/>
          <w:szCs w:val="28"/>
          <w:rtl/>
          <w:lang w:bidi="ar-DZ"/>
        </w:rPr>
        <w:t>وعلى ذلك فإن عبء الإثبات بالنسبة للحقوق العينية  يكون على من يدعي خلاف الظاهر أصلا أو عرضا.</w:t>
      </w:r>
    </w:p>
    <w:p w:rsidR="00304C81" w:rsidRDefault="00304C81" w:rsidP="00304C81">
      <w:pPr>
        <w:pStyle w:val="Paragraphedeliste"/>
        <w:tabs>
          <w:tab w:val="right" w:pos="849"/>
        </w:tabs>
        <w:bidi/>
        <w:spacing w:after="0"/>
        <w:ind w:left="-2" w:firstLine="567"/>
        <w:jc w:val="both"/>
        <w:rPr>
          <w:rFonts w:cs="Simplified Arabic"/>
          <w:sz w:val="28"/>
          <w:szCs w:val="28"/>
          <w:rtl/>
          <w:lang w:bidi="ar-DZ"/>
        </w:rPr>
      </w:pPr>
      <w:r>
        <w:rPr>
          <w:rFonts w:cs="Simplified Arabic" w:hint="cs"/>
          <w:sz w:val="28"/>
          <w:szCs w:val="28"/>
          <w:rtl/>
          <w:lang w:bidi="ar-DZ"/>
        </w:rPr>
        <w:t>وهكذا يمكن أن نستخلص مما سبق أن عبء الإثبات يقع على من يدعي خلاف الثابت أصلا أو الثابت ظاهرا أو الثابت عرضا.</w:t>
      </w:r>
    </w:p>
    <w:p w:rsidR="00304C81" w:rsidRDefault="00304C81" w:rsidP="00304C81">
      <w:pPr>
        <w:pStyle w:val="Paragraphedeliste"/>
        <w:tabs>
          <w:tab w:val="right" w:pos="849"/>
        </w:tabs>
        <w:bidi/>
        <w:spacing w:after="0"/>
        <w:ind w:left="-2"/>
        <w:jc w:val="both"/>
        <w:rPr>
          <w:rFonts w:cs="Simplified Arabic"/>
          <w:sz w:val="16"/>
          <w:szCs w:val="16"/>
          <w:rtl/>
          <w:lang w:bidi="ar-DZ"/>
        </w:rPr>
      </w:pPr>
      <w:r>
        <w:rPr>
          <w:rFonts w:cs="Simplified Arabic" w:hint="cs"/>
          <w:sz w:val="28"/>
          <w:szCs w:val="28"/>
          <w:rtl/>
          <w:lang w:bidi="ar-DZ"/>
        </w:rPr>
        <w:t xml:space="preserve">  </w:t>
      </w:r>
    </w:p>
    <w:p w:rsidR="00304C81" w:rsidRDefault="00304C81" w:rsidP="00304C81">
      <w:pPr>
        <w:pStyle w:val="Paragraphedeliste"/>
        <w:tabs>
          <w:tab w:val="right" w:pos="849"/>
        </w:tabs>
        <w:bidi/>
        <w:spacing w:after="0"/>
        <w:ind w:left="-2"/>
        <w:jc w:val="both"/>
        <w:rPr>
          <w:rFonts w:cs="Simplified Arabic"/>
          <w:sz w:val="16"/>
          <w:szCs w:val="16"/>
          <w:rtl/>
          <w:lang w:bidi="ar-DZ"/>
        </w:rPr>
      </w:pPr>
    </w:p>
    <w:p w:rsidR="00304C81" w:rsidRDefault="00304C81" w:rsidP="00304C81">
      <w:pPr>
        <w:pStyle w:val="Paragraphedeliste"/>
        <w:tabs>
          <w:tab w:val="right" w:pos="849"/>
        </w:tabs>
        <w:bidi/>
        <w:spacing w:after="0"/>
        <w:ind w:left="-2"/>
        <w:jc w:val="both"/>
        <w:rPr>
          <w:rFonts w:cs="Simplified Arabic"/>
          <w:sz w:val="16"/>
          <w:szCs w:val="16"/>
          <w:rtl/>
          <w:lang w:bidi="ar-DZ"/>
        </w:rPr>
      </w:pPr>
    </w:p>
    <w:p w:rsidR="00304C81" w:rsidRDefault="00304C81" w:rsidP="00304C81">
      <w:pPr>
        <w:pStyle w:val="Paragraphedeliste"/>
        <w:tabs>
          <w:tab w:val="right" w:pos="849"/>
        </w:tabs>
        <w:bidi/>
        <w:spacing w:after="0"/>
        <w:ind w:left="-2"/>
        <w:jc w:val="both"/>
        <w:rPr>
          <w:rFonts w:cs="Simplified Arabic"/>
          <w:sz w:val="16"/>
          <w:szCs w:val="16"/>
          <w:rtl/>
          <w:lang w:bidi="ar-DZ"/>
        </w:rPr>
      </w:pPr>
    </w:p>
    <w:p w:rsidR="00304C81" w:rsidRDefault="00304C81" w:rsidP="00304C81">
      <w:pPr>
        <w:pStyle w:val="Paragraphedeliste"/>
        <w:tabs>
          <w:tab w:val="right" w:pos="849"/>
        </w:tabs>
        <w:bidi/>
        <w:spacing w:after="0"/>
        <w:ind w:left="-2"/>
        <w:jc w:val="both"/>
        <w:rPr>
          <w:rFonts w:cs="Simplified Arabic"/>
          <w:sz w:val="16"/>
          <w:szCs w:val="16"/>
          <w:rtl/>
          <w:lang w:bidi="ar-DZ"/>
        </w:rPr>
      </w:pPr>
    </w:p>
    <w:p w:rsidR="00304C81" w:rsidRDefault="00304C81" w:rsidP="00304C81">
      <w:pPr>
        <w:pStyle w:val="Paragraphedeliste"/>
        <w:tabs>
          <w:tab w:val="right" w:pos="849"/>
        </w:tabs>
        <w:bidi/>
        <w:spacing w:after="0"/>
        <w:ind w:left="-2"/>
        <w:jc w:val="both"/>
        <w:rPr>
          <w:rFonts w:cs="Simplified Arabic"/>
          <w:sz w:val="16"/>
          <w:szCs w:val="16"/>
          <w:rtl/>
          <w:lang w:bidi="ar-DZ"/>
        </w:rPr>
      </w:pPr>
    </w:p>
    <w:p w:rsidR="00304C81" w:rsidRDefault="00304C81" w:rsidP="00304C81">
      <w:pPr>
        <w:pStyle w:val="Paragraphedeliste"/>
        <w:tabs>
          <w:tab w:val="right" w:pos="849"/>
        </w:tabs>
        <w:bidi/>
        <w:spacing w:after="0"/>
        <w:ind w:left="-2"/>
        <w:jc w:val="both"/>
        <w:rPr>
          <w:rFonts w:cs="Simplified Arabic"/>
          <w:sz w:val="16"/>
          <w:szCs w:val="16"/>
          <w:rtl/>
          <w:lang w:bidi="ar-DZ"/>
        </w:rPr>
      </w:pPr>
    </w:p>
    <w:p w:rsidR="00304C81" w:rsidRDefault="00304C81" w:rsidP="00304C81">
      <w:pPr>
        <w:pStyle w:val="Paragraphedeliste"/>
        <w:tabs>
          <w:tab w:val="right" w:pos="849"/>
        </w:tabs>
        <w:bidi/>
        <w:spacing w:after="0"/>
        <w:ind w:left="-2"/>
        <w:jc w:val="both"/>
        <w:rPr>
          <w:rFonts w:cs="Simplified Arabic"/>
          <w:sz w:val="16"/>
          <w:szCs w:val="16"/>
          <w:rtl/>
          <w:lang w:bidi="ar-DZ"/>
        </w:rPr>
      </w:pPr>
    </w:p>
    <w:p w:rsidR="00304C81" w:rsidRDefault="00304C81" w:rsidP="00304C81">
      <w:pPr>
        <w:pStyle w:val="Paragraphedeliste"/>
        <w:tabs>
          <w:tab w:val="right" w:pos="849"/>
        </w:tabs>
        <w:bidi/>
        <w:spacing w:after="0"/>
        <w:ind w:left="-2"/>
        <w:jc w:val="both"/>
        <w:rPr>
          <w:rFonts w:cs="Simplified Arabic"/>
          <w:sz w:val="16"/>
          <w:szCs w:val="16"/>
          <w:rtl/>
          <w:lang w:bidi="ar-DZ"/>
        </w:rPr>
      </w:pPr>
    </w:p>
    <w:p w:rsidR="00304C81" w:rsidRDefault="00304C81" w:rsidP="00304C81">
      <w:pPr>
        <w:pStyle w:val="Paragraphedeliste"/>
        <w:tabs>
          <w:tab w:val="right" w:pos="849"/>
        </w:tabs>
        <w:bidi/>
        <w:spacing w:after="0"/>
        <w:ind w:left="-2"/>
        <w:jc w:val="both"/>
        <w:rPr>
          <w:rFonts w:cs="Simplified Arabic"/>
          <w:sz w:val="16"/>
          <w:szCs w:val="16"/>
          <w:rtl/>
          <w:lang w:bidi="ar-DZ"/>
        </w:rPr>
      </w:pPr>
    </w:p>
    <w:p w:rsidR="00304C81" w:rsidRDefault="00304C81" w:rsidP="00304C81">
      <w:pPr>
        <w:pStyle w:val="Paragraphedeliste"/>
        <w:tabs>
          <w:tab w:val="right" w:pos="849"/>
        </w:tabs>
        <w:bidi/>
        <w:spacing w:after="0"/>
        <w:ind w:left="-2"/>
        <w:jc w:val="both"/>
        <w:rPr>
          <w:rFonts w:cs="Simplified Arabic"/>
          <w:sz w:val="16"/>
          <w:szCs w:val="16"/>
          <w:rtl/>
          <w:lang w:bidi="ar-DZ"/>
        </w:rPr>
      </w:pPr>
    </w:p>
    <w:p w:rsidR="00FA4B5E" w:rsidRDefault="00FA4B5E" w:rsidP="00FA4B5E">
      <w:pPr>
        <w:pStyle w:val="Paragraphedeliste"/>
        <w:tabs>
          <w:tab w:val="right" w:pos="849"/>
        </w:tabs>
        <w:bidi/>
        <w:spacing w:after="0"/>
        <w:ind w:left="-2"/>
        <w:jc w:val="both"/>
        <w:rPr>
          <w:rFonts w:cs="Simplified Arabic"/>
          <w:sz w:val="16"/>
          <w:szCs w:val="16"/>
          <w:rtl/>
          <w:lang w:bidi="ar-DZ"/>
        </w:rPr>
      </w:pPr>
    </w:p>
    <w:p w:rsidR="00FA4B5E" w:rsidRDefault="00FA4B5E" w:rsidP="00FA4B5E">
      <w:pPr>
        <w:pStyle w:val="Paragraphedeliste"/>
        <w:tabs>
          <w:tab w:val="right" w:pos="849"/>
        </w:tabs>
        <w:bidi/>
        <w:spacing w:after="0"/>
        <w:ind w:left="-2"/>
        <w:jc w:val="both"/>
        <w:rPr>
          <w:rFonts w:cs="Simplified Arabic"/>
          <w:sz w:val="16"/>
          <w:szCs w:val="16"/>
          <w:rtl/>
          <w:lang w:bidi="ar-DZ"/>
        </w:rPr>
      </w:pPr>
    </w:p>
    <w:p w:rsidR="00FA4B5E" w:rsidRDefault="00FA4B5E" w:rsidP="00FA4B5E">
      <w:pPr>
        <w:pStyle w:val="Paragraphedeliste"/>
        <w:tabs>
          <w:tab w:val="right" w:pos="849"/>
        </w:tabs>
        <w:bidi/>
        <w:spacing w:after="0"/>
        <w:ind w:left="-2"/>
        <w:jc w:val="both"/>
        <w:rPr>
          <w:rFonts w:cs="Simplified Arabic"/>
          <w:sz w:val="16"/>
          <w:szCs w:val="16"/>
          <w:rtl/>
          <w:lang w:bidi="ar-DZ"/>
        </w:rPr>
      </w:pPr>
    </w:p>
    <w:p w:rsidR="00304C81" w:rsidRDefault="00304C81" w:rsidP="00304C81">
      <w:pPr>
        <w:pStyle w:val="Paragraphedeliste"/>
        <w:tabs>
          <w:tab w:val="right" w:pos="849"/>
        </w:tabs>
        <w:bidi/>
        <w:spacing w:after="0"/>
        <w:ind w:left="-2"/>
        <w:jc w:val="center"/>
        <w:rPr>
          <w:rFonts w:cs="Simplified Arabic"/>
          <w:sz w:val="36"/>
          <w:szCs w:val="36"/>
          <w:rtl/>
          <w:lang w:bidi="ar-DZ"/>
        </w:rPr>
      </w:pPr>
      <w:r>
        <w:rPr>
          <w:rFonts w:cs="Simplified Arabic" w:hint="cs"/>
          <w:sz w:val="36"/>
          <w:szCs w:val="36"/>
          <w:rtl/>
          <w:lang w:bidi="ar-DZ"/>
        </w:rPr>
        <w:lastRenderedPageBreak/>
        <w:t>المبحث الثاني</w:t>
      </w:r>
    </w:p>
    <w:p w:rsidR="00304C81" w:rsidRDefault="00304C81" w:rsidP="00304C81">
      <w:pPr>
        <w:pStyle w:val="Paragraphedeliste"/>
        <w:tabs>
          <w:tab w:val="right" w:pos="849"/>
        </w:tabs>
        <w:bidi/>
        <w:spacing w:after="0"/>
        <w:ind w:left="-2"/>
        <w:jc w:val="center"/>
        <w:rPr>
          <w:rFonts w:cs="Simplified Arabic"/>
          <w:sz w:val="36"/>
          <w:szCs w:val="36"/>
          <w:rtl/>
          <w:lang w:bidi="ar-DZ"/>
        </w:rPr>
      </w:pPr>
      <w:r>
        <w:rPr>
          <w:rFonts w:cs="Simplified Arabic" w:hint="cs"/>
          <w:sz w:val="36"/>
          <w:szCs w:val="36"/>
          <w:rtl/>
          <w:lang w:bidi="ar-DZ"/>
        </w:rPr>
        <w:t>نقل عبء الإثبات</w:t>
      </w:r>
    </w:p>
    <w:p w:rsidR="00304C81" w:rsidRDefault="00304C81" w:rsidP="00304C81">
      <w:pPr>
        <w:pStyle w:val="Paragraphedeliste"/>
        <w:tabs>
          <w:tab w:val="right" w:pos="849"/>
        </w:tabs>
        <w:bidi/>
        <w:spacing w:after="0"/>
        <w:ind w:left="-2" w:firstLine="567"/>
        <w:jc w:val="both"/>
        <w:rPr>
          <w:rFonts w:cs="Simplified Arabic"/>
          <w:sz w:val="16"/>
          <w:szCs w:val="16"/>
          <w:rtl/>
          <w:lang w:bidi="ar-DZ"/>
        </w:rPr>
      </w:pPr>
    </w:p>
    <w:p w:rsidR="00304C81" w:rsidRDefault="00304C81" w:rsidP="00304C81">
      <w:pPr>
        <w:pStyle w:val="Paragraphedeliste"/>
        <w:tabs>
          <w:tab w:val="right" w:pos="849"/>
        </w:tabs>
        <w:bidi/>
        <w:spacing w:after="0"/>
        <w:ind w:left="-2" w:firstLine="567"/>
        <w:jc w:val="both"/>
        <w:rPr>
          <w:rFonts w:cs="Simplified Arabic"/>
          <w:sz w:val="16"/>
          <w:szCs w:val="16"/>
          <w:rtl/>
          <w:lang w:bidi="ar-DZ"/>
        </w:rPr>
      </w:pPr>
    </w:p>
    <w:p w:rsidR="00304C81" w:rsidRDefault="00304C81" w:rsidP="00304C81">
      <w:pPr>
        <w:pStyle w:val="Paragraphedeliste"/>
        <w:tabs>
          <w:tab w:val="right" w:pos="849"/>
        </w:tabs>
        <w:bidi/>
        <w:spacing w:after="0"/>
        <w:ind w:left="-2" w:firstLine="567"/>
        <w:jc w:val="both"/>
        <w:rPr>
          <w:rFonts w:cs="Simplified Arabic"/>
          <w:sz w:val="28"/>
          <w:szCs w:val="28"/>
          <w:rtl/>
          <w:lang w:bidi="ar-DZ"/>
        </w:rPr>
      </w:pPr>
      <w:r>
        <w:rPr>
          <w:rFonts w:cs="Simplified Arabic" w:hint="cs"/>
          <w:sz w:val="28"/>
          <w:szCs w:val="28"/>
          <w:rtl/>
          <w:lang w:bidi="ar-DZ"/>
        </w:rPr>
        <w:t>إذا كانت القاعدة أن عبء الإثبات يقع على من يدعي خلاف الثابت أصلا أو ظاهر أو عرضا، إلا أنه أحيانا قد تصعبْ إقامة الدليل على المكلف بالإثبات بل وقد تستعصي، وهنا يتدخل المشرع ويستبدل الواقعة الأصلية التي كان يجب على المدعى إثباتها، بواقعة أخرى أسهل منها في الإثبات مفترضا ثبوت الأولى بمجرد ثبوت الثانية، وهذا الاستبدال هو ما يقال له القرينة القانونية ويكون من ثم الثابت فرضا كالثابت أصلا وكالثابت ظاهرا.</w:t>
      </w:r>
    </w:p>
    <w:p w:rsidR="00304C81" w:rsidRDefault="00304C81" w:rsidP="00304C81">
      <w:pPr>
        <w:pStyle w:val="Paragraphedeliste"/>
        <w:tabs>
          <w:tab w:val="right" w:pos="849"/>
        </w:tabs>
        <w:bidi/>
        <w:spacing w:after="0"/>
        <w:ind w:left="-2" w:firstLine="567"/>
        <w:jc w:val="both"/>
        <w:rPr>
          <w:rFonts w:cs="Simplified Arabic"/>
          <w:sz w:val="28"/>
          <w:szCs w:val="28"/>
          <w:rtl/>
          <w:lang w:bidi="ar-DZ"/>
        </w:rPr>
      </w:pPr>
      <w:r>
        <w:rPr>
          <w:rFonts w:cs="Simplified Arabic" w:hint="cs"/>
          <w:sz w:val="28"/>
          <w:szCs w:val="28"/>
          <w:rtl/>
          <w:lang w:bidi="ar-DZ"/>
        </w:rPr>
        <w:t xml:space="preserve">   وسنتناول في هذه الدراسة دور القرائن القانونية في الإثبات في المطلب الأول، والاتفاق على نقل عبء الإثبات في المطلب الثاني وتخفيف القضاء لعبء الإثبات في المطلب الثالث.</w:t>
      </w:r>
    </w:p>
    <w:p w:rsidR="00304C81" w:rsidRDefault="00304C81" w:rsidP="00304C81">
      <w:pPr>
        <w:pStyle w:val="Paragraphedeliste"/>
        <w:tabs>
          <w:tab w:val="right" w:pos="849"/>
        </w:tabs>
        <w:bidi/>
        <w:spacing w:after="0"/>
        <w:ind w:left="-2" w:firstLine="567"/>
        <w:jc w:val="both"/>
        <w:rPr>
          <w:rFonts w:cs="Simplified Arabic"/>
          <w:sz w:val="16"/>
          <w:szCs w:val="16"/>
          <w:rtl/>
          <w:lang w:bidi="ar-DZ"/>
        </w:rPr>
      </w:pPr>
    </w:p>
    <w:p w:rsidR="00304C81" w:rsidRPr="00FA4B5E" w:rsidRDefault="00304C81" w:rsidP="00304C81">
      <w:pPr>
        <w:pStyle w:val="Paragraphedeliste"/>
        <w:tabs>
          <w:tab w:val="right" w:pos="849"/>
        </w:tabs>
        <w:bidi/>
        <w:spacing w:after="0"/>
        <w:ind w:left="-2"/>
        <w:jc w:val="both"/>
        <w:rPr>
          <w:rFonts w:cs="Simplified Arabic"/>
          <w:bCs/>
          <w:sz w:val="32"/>
          <w:szCs w:val="32"/>
          <w:rtl/>
          <w:lang w:bidi="ar-DZ"/>
        </w:rPr>
      </w:pPr>
      <w:r w:rsidRPr="00FA4B5E">
        <w:rPr>
          <w:rFonts w:cs="Simplified Arabic" w:hint="cs"/>
          <w:bCs/>
          <w:sz w:val="32"/>
          <w:szCs w:val="32"/>
          <w:u w:val="single"/>
          <w:rtl/>
          <w:lang w:bidi="ar-DZ"/>
        </w:rPr>
        <w:t>المطلب الأول</w:t>
      </w:r>
      <w:r w:rsidRPr="00FA4B5E">
        <w:rPr>
          <w:rFonts w:cs="Simplified Arabic" w:hint="cs"/>
          <w:bCs/>
          <w:sz w:val="32"/>
          <w:szCs w:val="32"/>
          <w:rtl/>
          <w:lang w:bidi="ar-DZ"/>
        </w:rPr>
        <w:t>: دور القرائن القانونية في الإثبات:</w:t>
      </w:r>
    </w:p>
    <w:p w:rsidR="00304C81" w:rsidRDefault="00304C81" w:rsidP="00304C81">
      <w:pPr>
        <w:pStyle w:val="Paragraphedeliste"/>
        <w:tabs>
          <w:tab w:val="right" w:pos="849"/>
        </w:tabs>
        <w:bidi/>
        <w:spacing w:after="0"/>
        <w:ind w:left="-2"/>
        <w:jc w:val="both"/>
        <w:rPr>
          <w:rFonts w:cs="Simplified Arabic"/>
          <w:bCs/>
          <w:sz w:val="16"/>
          <w:szCs w:val="16"/>
          <w:rtl/>
          <w:lang w:bidi="ar-DZ"/>
        </w:rPr>
      </w:pPr>
    </w:p>
    <w:p w:rsidR="00304C81" w:rsidRDefault="00304C81" w:rsidP="00304C81">
      <w:pPr>
        <w:pStyle w:val="Paragraphedeliste"/>
        <w:tabs>
          <w:tab w:val="right" w:pos="849"/>
        </w:tabs>
        <w:bidi/>
        <w:spacing w:after="0"/>
        <w:ind w:left="-2" w:firstLine="567"/>
        <w:jc w:val="both"/>
        <w:rPr>
          <w:rFonts w:cs="Simplified Arabic"/>
          <w:sz w:val="28"/>
          <w:szCs w:val="28"/>
          <w:rtl/>
          <w:lang w:bidi="ar-DZ"/>
        </w:rPr>
      </w:pPr>
      <w:r>
        <w:rPr>
          <w:rFonts w:cs="Simplified Arabic" w:hint="cs"/>
          <w:sz w:val="28"/>
          <w:szCs w:val="28"/>
          <w:rtl/>
          <w:lang w:bidi="ar-DZ"/>
        </w:rPr>
        <w:t>يختلف دور القرائن القانونية في الإثبات بحسب ما إذا كانت قاطعة لا تقبل إثبات عكسها فيعفى المدعي عليه نهائيا من عبء الإثبات، أو إذا كانت بسيطة أي تقبل إثبات عكسها فيعفى  المدعي مؤقتا من عبء الإثبات بحيث إذا ما قام المدعي عليه بإثبات عكسها، عاد عبء الإثبات إلى المدعي، لينفي ما أثبته المدعى عليه، ومن ثم تؤدي القرينة إلى نقل عبء الإثبات نهائيا أو مؤقتا من على عاتق المدعي لتلقيه على عاتق المدعى عليه.</w:t>
      </w:r>
      <w:r>
        <w:rPr>
          <w:rStyle w:val="Appelnotedebasdep"/>
          <w:rFonts w:cs="Simplified Arabic"/>
          <w:sz w:val="28"/>
          <w:szCs w:val="28"/>
          <w:lang w:bidi="ar-DZ"/>
        </w:rPr>
        <w:t>)</w:t>
      </w:r>
      <w:r>
        <w:rPr>
          <w:rStyle w:val="Appelnotedebasdep"/>
          <w:rFonts w:cs="Simplified Arabic" w:hint="cs"/>
          <w:sz w:val="28"/>
          <w:szCs w:val="28"/>
          <w:rtl/>
          <w:lang w:bidi="ar-DZ"/>
        </w:rPr>
        <w:t>1</w:t>
      </w:r>
      <w:r>
        <w:rPr>
          <w:rStyle w:val="Appelnotedebasdep"/>
          <w:rFonts w:cs="Simplified Arabic"/>
          <w:sz w:val="28"/>
          <w:szCs w:val="28"/>
          <w:lang w:bidi="ar-DZ"/>
        </w:rPr>
        <w:footnoteReference w:customMarkFollows="1" w:id="52"/>
        <w:t>(</w:t>
      </w:r>
    </w:p>
    <w:p w:rsidR="00304C81" w:rsidRDefault="00304C81" w:rsidP="00304C81">
      <w:pPr>
        <w:pStyle w:val="Paragraphedeliste"/>
        <w:tabs>
          <w:tab w:val="right" w:pos="849"/>
        </w:tabs>
        <w:bidi/>
        <w:spacing w:after="0"/>
        <w:ind w:left="-2" w:firstLine="567"/>
        <w:jc w:val="both"/>
        <w:rPr>
          <w:rFonts w:cs="Simplified Arabic"/>
          <w:sz w:val="28"/>
          <w:szCs w:val="28"/>
          <w:rtl/>
          <w:lang w:bidi="ar-DZ"/>
        </w:rPr>
      </w:pPr>
      <w:r>
        <w:rPr>
          <w:rFonts w:cs="Simplified Arabic" w:hint="cs"/>
          <w:sz w:val="28"/>
          <w:szCs w:val="28"/>
          <w:rtl/>
          <w:lang w:bidi="ar-DZ"/>
        </w:rPr>
        <w:t xml:space="preserve"> ومن أمثلة القرائن القانونية  القاطعة حجية الأمر المقضي وكذلك بالنسبة لحارس الحيوان التي تتطلب الحراسة عناية خاصة، فالخطأ مفروض في جانب كل هؤلاء، ولا يكلف مدعي التعويض بإثبات التقصير في جانبهم، إذ القانون يعفيه من هذا الإثبات بإفتراض التقصير.</w:t>
      </w:r>
    </w:p>
    <w:p w:rsidR="00304C81" w:rsidRDefault="00304C81" w:rsidP="00304C81">
      <w:pPr>
        <w:pStyle w:val="Paragraphedeliste"/>
        <w:tabs>
          <w:tab w:val="right" w:pos="849"/>
        </w:tabs>
        <w:bidi/>
        <w:spacing w:after="0"/>
        <w:ind w:left="-2" w:firstLine="567"/>
        <w:jc w:val="both"/>
        <w:rPr>
          <w:rFonts w:cs="Simplified Arabic"/>
          <w:sz w:val="28"/>
          <w:szCs w:val="28"/>
          <w:rtl/>
          <w:lang w:bidi="ar-DZ"/>
        </w:rPr>
      </w:pPr>
      <w:r>
        <w:rPr>
          <w:rFonts w:cs="Simplified Arabic" w:hint="cs"/>
          <w:sz w:val="28"/>
          <w:szCs w:val="28"/>
          <w:rtl/>
          <w:lang w:bidi="ar-DZ"/>
        </w:rPr>
        <w:t xml:space="preserve">ومن جهة أخرى لا يسمح لحارس الحيوان في هذه الحالة أن يثبت أنه قام بواجب العناية لأن قرينة التقصير قرينة قانونية لا تقبل إثبات العكس. </w:t>
      </w:r>
    </w:p>
    <w:p w:rsidR="00304C81" w:rsidRDefault="00304C81" w:rsidP="00304C81">
      <w:pPr>
        <w:pStyle w:val="Paragraphedeliste"/>
        <w:tabs>
          <w:tab w:val="right" w:pos="849"/>
        </w:tabs>
        <w:bidi/>
        <w:spacing w:after="0"/>
        <w:ind w:left="-2" w:firstLine="567"/>
        <w:jc w:val="both"/>
        <w:rPr>
          <w:rFonts w:cs="Simplified Arabic"/>
          <w:sz w:val="28"/>
          <w:szCs w:val="28"/>
          <w:rtl/>
          <w:lang w:bidi="ar-DZ"/>
        </w:rPr>
      </w:pPr>
      <w:r>
        <w:rPr>
          <w:rFonts w:cs="Simplified Arabic" w:hint="cs"/>
          <w:sz w:val="28"/>
          <w:szCs w:val="28"/>
          <w:rtl/>
          <w:lang w:bidi="ar-DZ"/>
        </w:rPr>
        <w:t xml:space="preserve">أما القرائن القانونية غير القاطعة فمن أمثلتها ما نصت عليه المادة: </w:t>
      </w:r>
      <w:r>
        <w:rPr>
          <w:rFonts w:cs="Simplified Arabic" w:hint="cs"/>
          <w:szCs w:val="24"/>
          <w:rtl/>
          <w:lang w:bidi="ar-DZ"/>
        </w:rPr>
        <w:t xml:space="preserve">499 </w:t>
      </w:r>
      <w:r>
        <w:rPr>
          <w:rFonts w:cs="Simplified Arabic" w:hint="cs"/>
          <w:sz w:val="28"/>
          <w:szCs w:val="28"/>
          <w:rtl/>
          <w:lang w:bidi="ar-DZ"/>
        </w:rPr>
        <w:t xml:space="preserve">من القانون المدني:" الوفاء بقسط من الأجرة قرينة على الوفاء بالأقساط السابقة على هذا القسط حتى يقوم الدليل على عكس ذلك". إذا طالب المؤجر المستأجر بالأجرة عن مدة معينة فإنه يجب على المستأجر أن يثبت وفاءه بأجرة هذه المدة، إلا أن المشرع لاحظ أن هذا الإثبات قد يكون صعبًا، لأنه لا يحتفظ بوصلات الوفاء، لذلك أنشأ المشرع قرينة لصالح المستأجر مؤداها أنه إذا أثبت وفاءه بأحد الأقساط اللاحقة فإن ذلك يعتبر قرينة على الوفاء </w:t>
      </w:r>
      <w:r>
        <w:rPr>
          <w:rFonts w:cs="Simplified Arabic" w:hint="cs"/>
          <w:sz w:val="28"/>
          <w:szCs w:val="28"/>
          <w:rtl/>
          <w:lang w:bidi="ar-DZ"/>
        </w:rPr>
        <w:lastRenderedPageBreak/>
        <w:t>بالأقساط السابقة، وإذا ادعى المؤجر خلاف ذلك فإنه يكون مدعيًا خلاف الثابت فرضا وعليه إقامة الدليل على ما يدعيه.</w:t>
      </w:r>
      <w:r>
        <w:rPr>
          <w:rStyle w:val="Appelnotedebasdep"/>
          <w:rFonts w:cs="Simplified Arabic"/>
          <w:sz w:val="28"/>
          <w:szCs w:val="28"/>
          <w:lang w:bidi="ar-DZ"/>
        </w:rPr>
        <w:t>)</w:t>
      </w:r>
      <w:r>
        <w:rPr>
          <w:rStyle w:val="Appelnotedebasdep"/>
          <w:rFonts w:cs="Simplified Arabic" w:hint="cs"/>
          <w:sz w:val="28"/>
          <w:szCs w:val="28"/>
          <w:rtl/>
          <w:lang w:bidi="ar-DZ"/>
        </w:rPr>
        <w:t>1</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53"/>
        <w:t>(</w:t>
      </w:r>
    </w:p>
    <w:p w:rsidR="00304C81" w:rsidRPr="0001426D" w:rsidRDefault="00304C81" w:rsidP="00304C81">
      <w:pPr>
        <w:pStyle w:val="Paragraphedeliste"/>
        <w:tabs>
          <w:tab w:val="right" w:pos="849"/>
        </w:tabs>
        <w:bidi/>
        <w:spacing w:after="0"/>
        <w:ind w:left="-2" w:firstLine="567"/>
        <w:jc w:val="both"/>
        <w:rPr>
          <w:rFonts w:cs="Simplified Arabic"/>
          <w:sz w:val="20"/>
          <w:szCs w:val="20"/>
          <w:rtl/>
          <w:lang w:bidi="ar-DZ"/>
        </w:rPr>
      </w:pPr>
    </w:p>
    <w:p w:rsidR="00304C81" w:rsidRPr="00FA4B5E" w:rsidRDefault="00304C81" w:rsidP="00304C81">
      <w:pPr>
        <w:pStyle w:val="Paragraphedeliste"/>
        <w:tabs>
          <w:tab w:val="right" w:pos="849"/>
        </w:tabs>
        <w:bidi/>
        <w:spacing w:after="0"/>
        <w:ind w:left="-2"/>
        <w:jc w:val="both"/>
        <w:rPr>
          <w:rFonts w:cs="Simplified Arabic"/>
          <w:bCs/>
          <w:sz w:val="32"/>
          <w:szCs w:val="32"/>
          <w:rtl/>
          <w:lang w:bidi="ar-DZ"/>
        </w:rPr>
      </w:pPr>
      <w:r w:rsidRPr="00FA4B5E">
        <w:rPr>
          <w:rFonts w:cs="Simplified Arabic" w:hint="cs"/>
          <w:bCs/>
          <w:sz w:val="32"/>
          <w:szCs w:val="32"/>
          <w:u w:val="single"/>
          <w:rtl/>
          <w:lang w:bidi="ar-DZ"/>
        </w:rPr>
        <w:t>المطلب الثاني</w:t>
      </w:r>
      <w:r w:rsidRPr="00FA4B5E">
        <w:rPr>
          <w:rFonts w:cs="Simplified Arabic" w:hint="cs"/>
          <w:bCs/>
          <w:sz w:val="32"/>
          <w:szCs w:val="32"/>
          <w:rtl/>
          <w:lang w:bidi="ar-DZ"/>
        </w:rPr>
        <w:t>: الاتفاق على نقل عبء الإثبات:</w:t>
      </w:r>
    </w:p>
    <w:p w:rsidR="00304C81" w:rsidRDefault="00304C81" w:rsidP="00304C81">
      <w:pPr>
        <w:pStyle w:val="Paragraphedeliste"/>
        <w:tabs>
          <w:tab w:val="right" w:pos="849"/>
        </w:tabs>
        <w:bidi/>
        <w:spacing w:after="0"/>
        <w:ind w:left="-2"/>
        <w:jc w:val="both"/>
        <w:rPr>
          <w:rFonts w:cs="Simplified Arabic"/>
          <w:bCs/>
          <w:sz w:val="16"/>
          <w:szCs w:val="16"/>
          <w:rtl/>
          <w:lang w:bidi="ar-DZ"/>
        </w:rPr>
      </w:pPr>
    </w:p>
    <w:p w:rsidR="00304C81" w:rsidRDefault="00304C81" w:rsidP="00304C81">
      <w:pPr>
        <w:pStyle w:val="Paragraphedeliste"/>
        <w:tabs>
          <w:tab w:val="right" w:pos="849"/>
        </w:tabs>
        <w:bidi/>
        <w:spacing w:after="0"/>
        <w:ind w:left="-2" w:firstLine="567"/>
        <w:jc w:val="both"/>
        <w:rPr>
          <w:rFonts w:cs="Simplified Arabic"/>
          <w:sz w:val="28"/>
          <w:szCs w:val="28"/>
          <w:rtl/>
          <w:lang w:bidi="ar-DZ"/>
        </w:rPr>
      </w:pPr>
      <w:r>
        <w:rPr>
          <w:rFonts w:cs="Simplified Arabic" w:hint="cs"/>
          <w:sz w:val="28"/>
          <w:szCs w:val="28"/>
          <w:rtl/>
          <w:lang w:bidi="ar-DZ"/>
        </w:rPr>
        <w:t>القواعد القانونية المتعلقة بنقل عبء الإثبات لا تتعلق بالنظام العام- كما سبق وأن رأينا- فهي مقررة لحماية مصلحة الخصوم، ولهذا يستطيع هؤلاء الاتفاق على مخالفة أحكامها، استنادا إلى جواز التنازل عن الحقوق الخاصة.</w:t>
      </w:r>
      <w:r>
        <w:rPr>
          <w:rStyle w:val="Appelnotedebasdep"/>
          <w:rFonts w:cs="Simplified Arabic"/>
          <w:sz w:val="28"/>
          <w:szCs w:val="28"/>
          <w:lang w:bidi="ar-DZ"/>
        </w:rPr>
        <w:t>)</w:t>
      </w:r>
      <w:r>
        <w:rPr>
          <w:rStyle w:val="Appelnotedebasdep"/>
          <w:rFonts w:cs="Simplified Arabic" w:hint="cs"/>
          <w:sz w:val="28"/>
          <w:szCs w:val="28"/>
          <w:rtl/>
          <w:lang w:bidi="ar-DZ"/>
        </w:rPr>
        <w:t>2</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54"/>
        <w:t>(</w:t>
      </w:r>
    </w:p>
    <w:p w:rsidR="00304C81" w:rsidRDefault="00304C81" w:rsidP="00304C81">
      <w:pPr>
        <w:pStyle w:val="Paragraphedeliste"/>
        <w:tabs>
          <w:tab w:val="right" w:pos="849"/>
        </w:tabs>
        <w:bidi/>
        <w:spacing w:after="0"/>
        <w:ind w:left="-2" w:firstLine="567"/>
        <w:jc w:val="both"/>
        <w:rPr>
          <w:rFonts w:cs="Simplified Arabic"/>
          <w:sz w:val="28"/>
          <w:szCs w:val="28"/>
          <w:rtl/>
          <w:lang w:bidi="ar-DZ"/>
        </w:rPr>
      </w:pPr>
      <w:r>
        <w:rPr>
          <w:rFonts w:cs="Simplified Arabic" w:hint="cs"/>
          <w:b/>
          <w:sz w:val="28"/>
          <w:szCs w:val="28"/>
          <w:rtl/>
          <w:lang w:bidi="ar-DZ"/>
        </w:rPr>
        <w:t xml:space="preserve"> و</w:t>
      </w:r>
      <w:r>
        <w:rPr>
          <w:rFonts w:cs="Simplified Arabic" w:hint="cs"/>
          <w:sz w:val="28"/>
          <w:szCs w:val="28"/>
          <w:rtl/>
          <w:lang w:bidi="ar-DZ"/>
        </w:rPr>
        <w:t>تأسيسا على ذلك يجوز أن يتفق الخصوم على أن يتحمل عبء الإثبات من لا يقع عليه عبء الإثبات أصلا، نزولا عن حقه الذي تخوله إياه هذه القاعدة، فإذا تم مثل هذا الاتفاق وعجز من تحمل اتفاقا عبء الإثبات عن النهوض به وحكم ضده، امتنع عليه حينئذ أن ينبغي على المحكمة مخالفة قاعدة توزيع عبء الإثبات، بعد أن تطوع مختارا بالقيام بهذا العبء مع علمه بأنه ليس المتحمل به أصلا.</w:t>
      </w:r>
      <w:r>
        <w:rPr>
          <w:rStyle w:val="Appelnotedebasdep"/>
          <w:rFonts w:cs="Simplified Arabic"/>
          <w:sz w:val="28"/>
          <w:szCs w:val="28"/>
          <w:lang w:bidi="ar-DZ"/>
        </w:rPr>
        <w:t>)</w:t>
      </w:r>
      <w:r>
        <w:rPr>
          <w:rStyle w:val="Appelnotedebasdep"/>
          <w:rFonts w:cs="Simplified Arabic" w:hint="cs"/>
          <w:sz w:val="28"/>
          <w:szCs w:val="28"/>
          <w:rtl/>
          <w:lang w:bidi="ar-DZ"/>
        </w:rPr>
        <w:t>3</w:t>
      </w:r>
      <w:r>
        <w:rPr>
          <w:rStyle w:val="Appelnotedebasdep"/>
          <w:rFonts w:cs="Simplified Arabic"/>
          <w:sz w:val="28"/>
          <w:szCs w:val="28"/>
          <w:lang w:bidi="ar-DZ"/>
        </w:rPr>
        <w:footnoteReference w:customMarkFollows="1" w:id="55"/>
        <w:t>(</w:t>
      </w:r>
      <w:r>
        <w:rPr>
          <w:rFonts w:cs="Simplified Arabic" w:hint="cs"/>
          <w:sz w:val="28"/>
          <w:szCs w:val="28"/>
          <w:rtl/>
          <w:lang w:bidi="ar-DZ"/>
        </w:rPr>
        <w:t xml:space="preserve"> </w:t>
      </w:r>
    </w:p>
    <w:p w:rsidR="00304C81" w:rsidRDefault="00304C81" w:rsidP="00304C81">
      <w:pPr>
        <w:pStyle w:val="Paragraphedeliste"/>
        <w:tabs>
          <w:tab w:val="right" w:pos="849"/>
        </w:tabs>
        <w:bidi/>
        <w:spacing w:after="0"/>
        <w:ind w:left="-2" w:firstLine="567"/>
        <w:jc w:val="both"/>
        <w:rPr>
          <w:rFonts w:cs="Simplified Arabic"/>
          <w:sz w:val="28"/>
          <w:szCs w:val="28"/>
          <w:rtl/>
          <w:lang w:bidi="ar-DZ"/>
        </w:rPr>
      </w:pPr>
      <w:r>
        <w:rPr>
          <w:rFonts w:cs="Simplified Arabic" w:hint="cs"/>
          <w:sz w:val="28"/>
          <w:szCs w:val="28"/>
          <w:rtl/>
          <w:lang w:bidi="ar-DZ"/>
        </w:rPr>
        <w:t>ويجوز أن يتم الاتفاق على نقل عبء الإثبات مقدمًا وقبل أن يثور أي نزاع قضائي بين الأطراف كما يجوز أن يتم أثناء الدعوى، وكما يمكن أن يكون الاتفاق صريحًا أو ضمنيا، وعلى ذلك تطوع الخصم بالإثبات  وسكوت الخصم الأخر يكون بمثابة إ تفاق  على نقل عبء الإثبات إلى الخصم المتطوع.</w:t>
      </w:r>
      <w:r>
        <w:rPr>
          <w:rStyle w:val="Appelnotedebasdep"/>
          <w:rFonts w:cs="Simplified Arabic"/>
          <w:sz w:val="28"/>
          <w:szCs w:val="28"/>
          <w:lang w:bidi="ar-DZ"/>
        </w:rPr>
        <w:t>)</w:t>
      </w:r>
      <w:r>
        <w:rPr>
          <w:rStyle w:val="Appelnotedebasdep"/>
          <w:rFonts w:cs="Simplified Arabic" w:hint="cs"/>
          <w:sz w:val="28"/>
          <w:szCs w:val="28"/>
          <w:rtl/>
          <w:lang w:bidi="ar-DZ"/>
        </w:rPr>
        <w:t>4</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56"/>
        <w:t>(</w:t>
      </w:r>
    </w:p>
    <w:p w:rsidR="00304C81" w:rsidRPr="0001426D" w:rsidRDefault="00304C81" w:rsidP="00304C81">
      <w:pPr>
        <w:pStyle w:val="Paragraphedeliste"/>
        <w:tabs>
          <w:tab w:val="right" w:pos="849"/>
        </w:tabs>
        <w:bidi/>
        <w:spacing w:after="0"/>
        <w:ind w:left="-2" w:firstLine="567"/>
        <w:jc w:val="both"/>
        <w:rPr>
          <w:rFonts w:cs="Simplified Arabic"/>
          <w:sz w:val="20"/>
          <w:szCs w:val="20"/>
          <w:rtl/>
          <w:lang w:bidi="ar-DZ"/>
        </w:rPr>
      </w:pPr>
    </w:p>
    <w:p w:rsidR="00304C81" w:rsidRPr="00FA4B5E" w:rsidRDefault="00304C81" w:rsidP="00304C81">
      <w:pPr>
        <w:pStyle w:val="Paragraphedeliste"/>
        <w:tabs>
          <w:tab w:val="right" w:pos="849"/>
        </w:tabs>
        <w:bidi/>
        <w:spacing w:after="0"/>
        <w:ind w:left="-2"/>
        <w:jc w:val="both"/>
        <w:rPr>
          <w:rFonts w:cs="Simplified Arabic"/>
          <w:b/>
          <w:bCs/>
          <w:sz w:val="32"/>
          <w:szCs w:val="32"/>
          <w:rtl/>
          <w:lang w:bidi="ar-DZ"/>
        </w:rPr>
      </w:pPr>
      <w:r w:rsidRPr="00FA4B5E">
        <w:rPr>
          <w:rFonts w:cs="Simplified Arabic" w:hint="cs"/>
          <w:b/>
          <w:bCs/>
          <w:sz w:val="32"/>
          <w:szCs w:val="32"/>
          <w:u w:val="single"/>
          <w:rtl/>
          <w:lang w:bidi="ar-DZ"/>
        </w:rPr>
        <w:t>المطلب الثالث</w:t>
      </w:r>
      <w:r w:rsidRPr="00FA4B5E">
        <w:rPr>
          <w:rFonts w:cs="Simplified Arabic" w:hint="cs"/>
          <w:b/>
          <w:bCs/>
          <w:sz w:val="32"/>
          <w:szCs w:val="32"/>
          <w:rtl/>
          <w:lang w:bidi="ar-DZ"/>
        </w:rPr>
        <w:t xml:space="preserve">: تخفيف عبء الإثبات: </w:t>
      </w:r>
    </w:p>
    <w:p w:rsidR="00304C81" w:rsidRDefault="00304C81" w:rsidP="00304C81">
      <w:pPr>
        <w:pStyle w:val="Paragraphedeliste"/>
        <w:tabs>
          <w:tab w:val="right" w:pos="849"/>
        </w:tabs>
        <w:bidi/>
        <w:spacing w:after="0"/>
        <w:ind w:left="-2"/>
        <w:jc w:val="both"/>
        <w:rPr>
          <w:rFonts w:cs="Simplified Arabic"/>
          <w:b/>
          <w:bCs/>
          <w:sz w:val="16"/>
          <w:szCs w:val="16"/>
          <w:rtl/>
          <w:lang w:bidi="ar-DZ"/>
        </w:rPr>
      </w:pPr>
    </w:p>
    <w:p w:rsidR="00304C81" w:rsidRDefault="00304C81" w:rsidP="00304C81">
      <w:pPr>
        <w:pStyle w:val="Paragraphedeliste"/>
        <w:tabs>
          <w:tab w:val="right" w:pos="849"/>
        </w:tabs>
        <w:bidi/>
        <w:spacing w:after="0"/>
        <w:ind w:left="-2" w:firstLine="567"/>
        <w:jc w:val="both"/>
        <w:rPr>
          <w:rFonts w:cs="Simplified Arabic"/>
          <w:sz w:val="28"/>
          <w:szCs w:val="28"/>
          <w:rtl/>
          <w:lang w:bidi="ar-DZ"/>
        </w:rPr>
      </w:pPr>
      <w:r>
        <w:rPr>
          <w:rFonts w:cs="Simplified Arabic" w:hint="cs"/>
          <w:sz w:val="28"/>
          <w:szCs w:val="28"/>
          <w:rtl/>
          <w:lang w:bidi="ar-DZ"/>
        </w:rPr>
        <w:t>إذا نجح المكلف بالإثبات، في إثبات ما يدعيه انتقل عبء الإثبات إلى الطرف الآخر، في  الخصومة الذي قد يستطيع بدوره أن ينفي إدعاءات خصمه فيرتد الإثبات إلى الطرف الأول وهكذا ينتقل عبء الإثبات بين طرفي الخصومة حتى يعجز أحدهما عن الإثبات فيخسر دعواه.</w:t>
      </w:r>
    </w:p>
    <w:p w:rsidR="00304C81" w:rsidRDefault="00304C81" w:rsidP="00304C81">
      <w:pPr>
        <w:pStyle w:val="Paragraphedeliste"/>
        <w:tabs>
          <w:tab w:val="right" w:pos="849"/>
        </w:tabs>
        <w:bidi/>
        <w:spacing w:after="0"/>
        <w:ind w:left="-2" w:firstLine="567"/>
        <w:jc w:val="both"/>
        <w:rPr>
          <w:rFonts w:cs="Simplified Arabic"/>
          <w:sz w:val="28"/>
          <w:szCs w:val="28"/>
          <w:rtl/>
          <w:lang w:bidi="ar-DZ"/>
        </w:rPr>
      </w:pPr>
      <w:r>
        <w:rPr>
          <w:rFonts w:cs="Simplified Arabic" w:hint="cs"/>
          <w:sz w:val="28"/>
          <w:szCs w:val="28"/>
          <w:rtl/>
          <w:lang w:bidi="ar-DZ"/>
        </w:rPr>
        <w:t>غير أنه يلاحظ أنه قد يصعب عملا وضع حدود فاصلة ينتقل عندها عبء الإثبات من أحد الطرفين إلى الآخر، لأن الخصم قد يتعذر عليه تقديم الدليل القاطع الذي يترتب عليه نقل عبء الإثبات إلى الطرف الآخر، لذلك جرت المحاكم عملا على التخفيف من شدة هذه القاعد، والاكتفاء من المدعى بما يجعل الأمر المدعى به قريب التصديق، وتكليف المدعي عليه بنفس هذا الأمر، لتكون عقيدتها من مجموع ما يدلي به الخصمان إثباتا ونفيًا.</w:t>
      </w:r>
      <w:r>
        <w:rPr>
          <w:rStyle w:val="Appelnotedebasdep"/>
          <w:rFonts w:cs="Simplified Arabic"/>
          <w:sz w:val="28"/>
          <w:szCs w:val="28"/>
          <w:lang w:bidi="ar-DZ"/>
        </w:rPr>
        <w:t>)</w:t>
      </w:r>
      <w:r>
        <w:rPr>
          <w:rStyle w:val="Appelnotedebasdep"/>
          <w:rFonts w:cs="Simplified Arabic" w:hint="cs"/>
          <w:sz w:val="28"/>
          <w:szCs w:val="28"/>
          <w:rtl/>
          <w:lang w:bidi="ar-DZ"/>
        </w:rPr>
        <w:t>5</w:t>
      </w:r>
      <w:r>
        <w:rPr>
          <w:rStyle w:val="Appelnotedebasdep"/>
          <w:rFonts w:cs="Simplified Arabic"/>
          <w:sz w:val="28"/>
          <w:szCs w:val="28"/>
          <w:lang w:bidi="ar-DZ"/>
        </w:rPr>
        <w:t xml:space="preserve"> </w:t>
      </w:r>
      <w:r>
        <w:rPr>
          <w:rStyle w:val="Appelnotedebasdep"/>
          <w:rFonts w:cs="Simplified Arabic"/>
          <w:sz w:val="28"/>
          <w:szCs w:val="28"/>
          <w:lang w:bidi="ar-DZ"/>
        </w:rPr>
        <w:footnoteReference w:customMarkFollows="1" w:id="57"/>
        <w:t>(</w:t>
      </w:r>
      <w:r>
        <w:rPr>
          <w:rFonts w:cs="Simplified Arabic" w:hint="cs"/>
          <w:sz w:val="28"/>
          <w:szCs w:val="28"/>
          <w:rtl/>
          <w:lang w:bidi="ar-DZ"/>
        </w:rPr>
        <w:t xml:space="preserve"> </w:t>
      </w:r>
    </w:p>
    <w:p w:rsidR="0001426D" w:rsidRDefault="0001426D" w:rsidP="00304C81">
      <w:pPr>
        <w:pStyle w:val="Paragraphedeliste"/>
        <w:tabs>
          <w:tab w:val="right" w:pos="849"/>
        </w:tabs>
        <w:bidi/>
        <w:spacing w:after="0"/>
        <w:ind w:left="-2" w:firstLine="709"/>
        <w:jc w:val="both"/>
        <w:rPr>
          <w:rFonts w:cs="Simplified Arabic"/>
          <w:sz w:val="28"/>
          <w:szCs w:val="28"/>
          <w:rtl/>
          <w:lang w:bidi="ar-DZ"/>
        </w:rPr>
      </w:pPr>
    </w:p>
    <w:p w:rsidR="0001426D" w:rsidRDefault="0001426D" w:rsidP="0001426D">
      <w:pPr>
        <w:pStyle w:val="Paragraphedeliste"/>
        <w:tabs>
          <w:tab w:val="right" w:pos="849"/>
        </w:tabs>
        <w:bidi/>
        <w:spacing w:after="0"/>
        <w:ind w:left="-2" w:firstLine="709"/>
        <w:jc w:val="both"/>
        <w:rPr>
          <w:rFonts w:cs="Simplified Arabic"/>
          <w:sz w:val="28"/>
          <w:szCs w:val="28"/>
          <w:rtl/>
          <w:lang w:bidi="ar-DZ"/>
        </w:rPr>
      </w:pPr>
    </w:p>
    <w:p w:rsidR="00304C81" w:rsidRDefault="00304C81" w:rsidP="0001426D">
      <w:pPr>
        <w:pStyle w:val="Paragraphedeliste"/>
        <w:tabs>
          <w:tab w:val="right" w:pos="849"/>
        </w:tabs>
        <w:bidi/>
        <w:spacing w:after="0"/>
        <w:ind w:left="-2" w:firstLine="709"/>
        <w:jc w:val="both"/>
        <w:rPr>
          <w:rFonts w:cs="Simplified Arabic"/>
          <w:sz w:val="28"/>
          <w:szCs w:val="28"/>
          <w:rtl/>
          <w:lang w:bidi="ar-DZ"/>
        </w:rPr>
      </w:pPr>
      <w:r>
        <w:rPr>
          <w:rFonts w:cs="Simplified Arabic" w:hint="cs"/>
          <w:sz w:val="28"/>
          <w:szCs w:val="28"/>
          <w:rtl/>
          <w:lang w:bidi="ar-DZ"/>
        </w:rPr>
        <w:t>وفي هذا يقول الأستاذ السنهوري (رحمه الله) أن من يتحمل عبء الإثبات ليس مطالبا في الواقع بإثبات قاطع وإنما يكتفي منه بأن يقنع القاضي بأن الأمر الذي يدعيه أمر مرجح الوقوع بحيث يكون من المعقول التسليم بوقوعه فعلا ثم ينفي القاضي ما بقي من الشك يحوم حول ذلك الأمر بأن ينقل عبء الإثبات إلى الخصم الآخر ليثبت أنه توجد قرائن أخرى تجعل الراجح مرجوحًا ثم يرد عبء الإثبات إلى الخصم الأول ليهدم هذه القرائن بقرائن أخرى تعيد لذلك الأمر كفة الرجحان، وهكذا يتقاذف الخصمان الكرة كل منهما يدفعها إلى صاحبه إلى أن يعجز أحدهما عن ردها فتسقط من يده ويسجل على نفسه الخسارة.</w:t>
      </w:r>
      <w:r>
        <w:rPr>
          <w:rStyle w:val="Appelnotedebasdep"/>
          <w:rFonts w:cs="Simplified Arabic"/>
          <w:sz w:val="28"/>
          <w:szCs w:val="28"/>
          <w:lang w:bidi="ar-DZ"/>
        </w:rPr>
        <w:t>)</w:t>
      </w:r>
      <w:r>
        <w:rPr>
          <w:rStyle w:val="Appelnotedebasdep"/>
          <w:rFonts w:cs="Simplified Arabic" w:hint="cs"/>
          <w:sz w:val="28"/>
          <w:szCs w:val="28"/>
          <w:rtl/>
          <w:lang w:bidi="ar-DZ"/>
        </w:rPr>
        <w:t>1</w:t>
      </w:r>
      <w:r>
        <w:rPr>
          <w:rStyle w:val="Appelnotedebasdep"/>
          <w:rFonts w:cs="Simplified Arabic"/>
          <w:sz w:val="28"/>
          <w:szCs w:val="28"/>
          <w:lang w:bidi="ar-DZ"/>
        </w:rPr>
        <w:footnoteReference w:customMarkFollows="1" w:id="58"/>
        <w:t>(</w:t>
      </w:r>
    </w:p>
    <w:p w:rsidR="00304C81" w:rsidRDefault="00304C81" w:rsidP="00304C81">
      <w:pPr>
        <w:bidi/>
        <w:spacing w:line="276" w:lineRule="auto"/>
        <w:jc w:val="left"/>
        <w:rPr>
          <w:rFonts w:cs="Simplified Arabic"/>
          <w:sz w:val="28"/>
          <w:szCs w:val="28"/>
          <w:rtl/>
          <w:lang w:bidi="ar-DZ"/>
        </w:rPr>
      </w:pPr>
    </w:p>
    <w:p w:rsidR="00304C81" w:rsidRDefault="00304C81" w:rsidP="00304C81">
      <w:pPr>
        <w:bidi/>
        <w:spacing w:after="0"/>
        <w:ind w:hanging="2"/>
        <w:jc w:val="center"/>
        <w:rPr>
          <w:rFonts w:cs="Simplified Arabic"/>
          <w:b/>
          <w:bCs/>
          <w:sz w:val="28"/>
          <w:szCs w:val="28"/>
          <w:rtl/>
          <w:lang w:bidi="ar-DZ"/>
        </w:rPr>
      </w:pPr>
    </w:p>
    <w:p w:rsidR="00304C81" w:rsidRDefault="00304C81" w:rsidP="00304C81">
      <w:pPr>
        <w:bidi/>
        <w:spacing w:after="0"/>
        <w:ind w:hanging="2"/>
        <w:jc w:val="center"/>
        <w:rPr>
          <w:rFonts w:cs="Simplified Arabic"/>
          <w:b/>
          <w:bCs/>
          <w:sz w:val="28"/>
          <w:szCs w:val="28"/>
          <w:rtl/>
          <w:lang w:bidi="ar-DZ"/>
        </w:rPr>
      </w:pPr>
    </w:p>
    <w:p w:rsidR="00304C81" w:rsidRDefault="00304C81" w:rsidP="00304C81">
      <w:pPr>
        <w:bidi/>
        <w:spacing w:after="0"/>
        <w:ind w:hanging="2"/>
        <w:jc w:val="center"/>
        <w:rPr>
          <w:rFonts w:cs="Simplified Arabic"/>
          <w:b/>
          <w:bCs/>
          <w:sz w:val="28"/>
          <w:szCs w:val="28"/>
          <w:rtl/>
          <w:lang w:bidi="ar-DZ"/>
        </w:rPr>
      </w:pPr>
    </w:p>
    <w:p w:rsidR="00304C81" w:rsidRDefault="00304C81" w:rsidP="00304C81">
      <w:pPr>
        <w:bidi/>
        <w:spacing w:after="0"/>
        <w:ind w:hanging="2"/>
        <w:jc w:val="center"/>
        <w:rPr>
          <w:rFonts w:cs="Simplified Arabic"/>
          <w:b/>
          <w:bCs/>
          <w:sz w:val="28"/>
          <w:szCs w:val="28"/>
          <w:rtl/>
          <w:lang w:bidi="ar-DZ"/>
        </w:rPr>
      </w:pPr>
    </w:p>
    <w:p w:rsidR="00304C81" w:rsidRDefault="00304C81" w:rsidP="00304C81">
      <w:pPr>
        <w:bidi/>
        <w:spacing w:after="0"/>
        <w:ind w:hanging="2"/>
        <w:jc w:val="center"/>
        <w:rPr>
          <w:rFonts w:cs="Simplified Arabic"/>
          <w:b/>
          <w:bCs/>
          <w:sz w:val="28"/>
          <w:szCs w:val="28"/>
          <w:rtl/>
          <w:lang w:bidi="ar-DZ"/>
        </w:rPr>
      </w:pPr>
    </w:p>
    <w:p w:rsidR="00304C81" w:rsidRDefault="00304C81" w:rsidP="00304C81">
      <w:pPr>
        <w:bidi/>
        <w:spacing w:after="0"/>
        <w:ind w:hanging="2"/>
        <w:jc w:val="center"/>
        <w:rPr>
          <w:rFonts w:cs="Simplified Arabic"/>
          <w:b/>
          <w:bCs/>
          <w:sz w:val="28"/>
          <w:szCs w:val="28"/>
          <w:rtl/>
          <w:lang w:bidi="ar-DZ"/>
        </w:rPr>
      </w:pPr>
    </w:p>
    <w:p w:rsidR="00304C81" w:rsidRDefault="00304C81" w:rsidP="00304C81">
      <w:pPr>
        <w:bidi/>
        <w:spacing w:after="0"/>
        <w:ind w:hanging="2"/>
        <w:jc w:val="center"/>
        <w:rPr>
          <w:rFonts w:cs="Simplified Arabic"/>
          <w:b/>
          <w:bCs/>
          <w:sz w:val="28"/>
          <w:szCs w:val="28"/>
          <w:rtl/>
          <w:lang w:bidi="ar-DZ"/>
        </w:rPr>
      </w:pPr>
    </w:p>
    <w:p w:rsidR="00304C81" w:rsidRDefault="00304C81" w:rsidP="00304C81">
      <w:pPr>
        <w:bidi/>
        <w:spacing w:after="0"/>
        <w:ind w:hanging="2"/>
        <w:jc w:val="center"/>
        <w:rPr>
          <w:rFonts w:cs="Simplified Arabic"/>
          <w:b/>
          <w:bCs/>
          <w:sz w:val="28"/>
          <w:szCs w:val="28"/>
          <w:rtl/>
          <w:lang w:bidi="ar-DZ"/>
        </w:rPr>
      </w:pPr>
    </w:p>
    <w:p w:rsidR="00304C81" w:rsidRDefault="00304C81" w:rsidP="00304C81">
      <w:pPr>
        <w:bidi/>
        <w:spacing w:after="0"/>
        <w:ind w:hanging="2"/>
        <w:jc w:val="center"/>
        <w:rPr>
          <w:rFonts w:cs="Simplified Arabic"/>
          <w:b/>
          <w:bCs/>
          <w:sz w:val="28"/>
          <w:szCs w:val="28"/>
          <w:rtl/>
          <w:lang w:bidi="ar-DZ"/>
        </w:rPr>
      </w:pPr>
    </w:p>
    <w:sectPr w:rsidR="00304C81" w:rsidSect="006A2548">
      <w:headerReference w:type="default" r:id="rId8"/>
      <w:footerReference w:type="default" r:id="rId9"/>
      <w:footnotePr>
        <w:numRestart w:val="eachPage"/>
      </w:footnotePr>
      <w:pgSz w:w="11906" w:h="16838"/>
      <w:pgMar w:top="1134" w:right="1701" w:bottom="1134" w:left="851" w:header="142" w:footer="0" w:gutter="0"/>
      <w:pgNumType w:start="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B48" w:rsidRDefault="008B4B48" w:rsidP="006F2931">
      <w:pPr>
        <w:spacing w:after="0"/>
      </w:pPr>
      <w:r>
        <w:separator/>
      </w:r>
    </w:p>
  </w:endnote>
  <w:endnote w:type="continuationSeparator" w:id="1">
    <w:p w:rsidR="008B4B48" w:rsidRDefault="008B4B48" w:rsidP="006F293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22860"/>
      <w:docPartObj>
        <w:docPartGallery w:val="Page Numbers (Bottom of Page)"/>
        <w:docPartUnique/>
      </w:docPartObj>
    </w:sdtPr>
    <w:sdtContent>
      <w:p w:rsidR="008A6124" w:rsidRDefault="00D43247">
        <w:pPr>
          <w:pStyle w:val="Pieddepage"/>
        </w:pPr>
        <w:r w:rsidRPr="00D43247">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left:0;text-align:left;margin-left:-236.8pt;margin-top:4.15pt;width:29pt;height:21.6pt;z-index:251660288;mso-position-horizontal-relative:right-margin-area;mso-position-vertical-relative:bottom-margin-area" o:allowincell="f" adj="14135" strokecolor="gray [1629]" strokeweight=".25pt">
              <v:textbox style="mso-next-textbox:#_x0000_s2049">
                <w:txbxContent>
                  <w:p w:rsidR="008A6124" w:rsidRDefault="00D43247" w:rsidP="008A6124">
                    <w:pPr>
                      <w:jc w:val="center"/>
                    </w:pPr>
                    <w:fldSimple w:instr=" PAGE    \* MERGEFORMAT ">
                      <w:r w:rsidR="00E465A7" w:rsidRPr="00E465A7">
                        <w:rPr>
                          <w:noProof/>
                          <w:sz w:val="16"/>
                          <w:szCs w:val="16"/>
                        </w:rPr>
                        <w:t>27</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B48" w:rsidRDefault="008B4B48" w:rsidP="006F2931">
      <w:pPr>
        <w:spacing w:after="0"/>
      </w:pPr>
      <w:r>
        <w:separator/>
      </w:r>
    </w:p>
  </w:footnote>
  <w:footnote w:type="continuationSeparator" w:id="1">
    <w:p w:rsidR="008B4B48" w:rsidRDefault="008B4B48" w:rsidP="006F2931">
      <w:pPr>
        <w:spacing w:after="0"/>
      </w:pPr>
      <w:r>
        <w:continuationSeparator/>
      </w:r>
    </w:p>
  </w:footnote>
  <w:footnote w:id="2">
    <w:p w:rsidR="00304C81" w:rsidRDefault="00304C81" w:rsidP="00304C81">
      <w:pPr>
        <w:bidi/>
        <w:spacing w:after="0"/>
        <w:jc w:val="both"/>
        <w:rPr>
          <w:rFonts w:asciiTheme="majorBidi" w:hAnsiTheme="majorBidi" w:cstheme="majorBidi"/>
          <w:sz w:val="22"/>
          <w:lang w:bidi="ar-DZ"/>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1</w:t>
      </w:r>
      <w:r>
        <w:rPr>
          <w:rStyle w:val="Appelnotedebasdep"/>
          <w:rFonts w:asciiTheme="majorBidi" w:hAnsiTheme="majorBidi" w:cstheme="majorBidi"/>
          <w:sz w:val="22"/>
        </w:rPr>
        <w:t xml:space="preserve"> (</w:t>
      </w:r>
      <w:r>
        <w:rPr>
          <w:rStyle w:val="Appelnotedebasdep"/>
          <w:rFonts w:asciiTheme="majorBidi" w:hAnsiTheme="majorBidi" w:cstheme="majorBidi"/>
          <w:sz w:val="22"/>
          <w:rtl/>
          <w:lang w:bidi="ar-DZ"/>
        </w:rPr>
        <w:t xml:space="preserve"> </w:t>
      </w:r>
      <w:r>
        <w:rPr>
          <w:rFonts w:asciiTheme="majorBidi" w:hAnsiTheme="majorBidi" w:cstheme="majorBidi" w:hint="cs"/>
          <w:sz w:val="22"/>
          <w:rtl/>
        </w:rPr>
        <w:t>محمود جمال الدين زكي، مرجع سابق، ص30.</w:t>
      </w:r>
    </w:p>
  </w:footnote>
  <w:footnote w:id="3">
    <w:p w:rsidR="00304C81" w:rsidRDefault="00304C81" w:rsidP="00304C81">
      <w:pPr>
        <w:bidi/>
        <w:spacing w:after="0"/>
        <w:jc w:val="both"/>
        <w:rPr>
          <w:rFonts w:asciiTheme="majorBidi" w:hAnsiTheme="majorBidi" w:cstheme="majorBidi"/>
          <w:sz w:val="22"/>
          <w:rtl/>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2</w:t>
      </w:r>
      <w:r>
        <w:rPr>
          <w:rStyle w:val="Appelnotedebasdep"/>
          <w:rFonts w:asciiTheme="majorBidi" w:hAnsiTheme="majorBidi" w:cstheme="majorBidi"/>
          <w:sz w:val="22"/>
        </w:rPr>
        <w:t xml:space="preserve"> (</w:t>
      </w:r>
      <w:r>
        <w:rPr>
          <w:rFonts w:asciiTheme="majorBidi" w:hAnsiTheme="majorBidi" w:cstheme="majorBidi" w:hint="cs"/>
          <w:sz w:val="22"/>
          <w:rtl/>
        </w:rPr>
        <w:t>عبد العزيز المرسي، مرجع سابق، ص45.</w:t>
      </w:r>
    </w:p>
  </w:footnote>
  <w:footnote w:id="4">
    <w:p w:rsidR="00304C81" w:rsidRDefault="00304C81" w:rsidP="00304C81">
      <w:pPr>
        <w:bidi/>
        <w:spacing w:after="0"/>
        <w:jc w:val="both"/>
        <w:rPr>
          <w:rFonts w:asciiTheme="majorBidi" w:hAnsiTheme="majorBidi" w:cstheme="majorBidi"/>
          <w:sz w:val="22"/>
          <w:rtl/>
          <w:lang w:bidi="ar-DZ"/>
        </w:rPr>
      </w:pPr>
      <w:r>
        <w:rPr>
          <w:rStyle w:val="Appelnotedebasdep"/>
          <w:rFonts w:asciiTheme="majorBidi" w:hAnsiTheme="majorBidi" w:cstheme="majorBidi"/>
          <w:sz w:val="22"/>
        </w:rPr>
        <w:t>)</w:t>
      </w:r>
      <w:r>
        <w:rPr>
          <w:rStyle w:val="Appelnotedebasdep"/>
          <w:rFonts w:asciiTheme="majorBidi" w:hAnsiTheme="majorBidi" w:cstheme="majorBidi" w:hint="cs"/>
          <w:sz w:val="22"/>
          <w:rtl/>
        </w:rPr>
        <w:t>3</w:t>
      </w:r>
      <w:r>
        <w:rPr>
          <w:rFonts w:asciiTheme="majorBidi" w:hAnsiTheme="majorBidi" w:cstheme="majorBidi" w:hint="cs"/>
          <w:sz w:val="22"/>
          <w:vertAlign w:val="superscript"/>
          <w:rtl/>
        </w:rPr>
        <w:t>)</w:t>
      </w:r>
      <w:r>
        <w:rPr>
          <w:rStyle w:val="Appelnotedebasdep"/>
          <w:rFonts w:asciiTheme="majorBidi" w:hAnsiTheme="majorBidi" w:cstheme="majorBidi" w:hint="cs"/>
          <w:sz w:val="22"/>
          <w:rtl/>
        </w:rPr>
        <w:t xml:space="preserve"> </w:t>
      </w:r>
      <w:r>
        <w:rPr>
          <w:rFonts w:asciiTheme="majorBidi" w:hAnsiTheme="majorBidi" w:cstheme="majorBidi" w:hint="cs"/>
          <w:sz w:val="22"/>
          <w:rtl/>
        </w:rPr>
        <w:t xml:space="preserve">عايد فايد عبد الفتاح </w:t>
      </w:r>
      <w:r>
        <w:rPr>
          <w:rFonts w:asciiTheme="majorBidi" w:hAnsiTheme="majorBidi" w:cstheme="majorBidi" w:hint="cs"/>
          <w:sz w:val="22"/>
          <w:rtl/>
          <w:lang w:bidi="ar-DZ"/>
        </w:rPr>
        <w:t>ف</w:t>
      </w:r>
      <w:r>
        <w:rPr>
          <w:rFonts w:asciiTheme="majorBidi" w:hAnsiTheme="majorBidi" w:cstheme="majorBidi" w:hint="cs"/>
          <w:sz w:val="22"/>
          <w:rtl/>
        </w:rPr>
        <w:t>ايد، مرجع سابق، ص32.</w:t>
      </w:r>
    </w:p>
  </w:footnote>
  <w:footnote w:id="5">
    <w:p w:rsidR="00304C81" w:rsidRDefault="00304C81" w:rsidP="00304C81">
      <w:pPr>
        <w:bidi/>
        <w:spacing w:after="0"/>
        <w:jc w:val="both"/>
        <w:rPr>
          <w:rStyle w:val="Appelnotedebasdep"/>
          <w:rFonts w:asciiTheme="majorBidi" w:hAnsiTheme="majorBidi" w:cstheme="majorBidi"/>
          <w:sz w:val="22"/>
          <w:rtl/>
        </w:rPr>
      </w:pPr>
      <w:r>
        <w:rPr>
          <w:rStyle w:val="Appelnotedebasdep"/>
          <w:rFonts w:asciiTheme="majorBidi" w:hAnsiTheme="majorBidi" w:cstheme="majorBidi"/>
          <w:sz w:val="22"/>
        </w:rPr>
        <w:t>)</w:t>
      </w:r>
      <w:r>
        <w:rPr>
          <w:rStyle w:val="Appelnotedebasdep"/>
          <w:rFonts w:asciiTheme="majorBidi" w:hAnsiTheme="majorBidi" w:cstheme="majorBidi" w:hint="cs"/>
          <w:sz w:val="22"/>
          <w:rtl/>
        </w:rPr>
        <w:t>1</w:t>
      </w:r>
      <w:r>
        <w:rPr>
          <w:rFonts w:asciiTheme="majorBidi" w:hAnsiTheme="majorBidi" w:cstheme="majorBidi" w:hint="cs"/>
          <w:sz w:val="22"/>
        </w:rPr>
        <w:t xml:space="preserve"> </w:t>
      </w:r>
      <w:r>
        <w:rPr>
          <w:rStyle w:val="Appelnotedebasdep"/>
          <w:rFonts w:asciiTheme="majorBidi" w:hAnsiTheme="majorBidi" w:cstheme="majorBidi"/>
          <w:sz w:val="22"/>
        </w:rPr>
        <w:t>(</w:t>
      </w:r>
      <w:r>
        <w:rPr>
          <w:rFonts w:asciiTheme="majorBidi" w:hAnsiTheme="majorBidi" w:cstheme="majorBidi" w:hint="cs"/>
          <w:sz w:val="22"/>
          <w:rtl/>
        </w:rPr>
        <w:t>راجع  المواد: 75-201 من قانون الإجراءات المدنية والإدارية.</w:t>
      </w:r>
    </w:p>
  </w:footnote>
  <w:footnote w:id="6">
    <w:p w:rsidR="00304C81" w:rsidRDefault="00304C81" w:rsidP="00304C81">
      <w:pPr>
        <w:bidi/>
        <w:spacing w:after="0"/>
        <w:jc w:val="both"/>
        <w:rPr>
          <w:rtl/>
          <w:lang w:bidi="ar-DZ"/>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2</w:t>
      </w:r>
      <w:r>
        <w:rPr>
          <w:rStyle w:val="Appelnotedebasdep"/>
          <w:rFonts w:asciiTheme="majorBidi" w:hAnsiTheme="majorBidi" w:cstheme="majorBidi"/>
          <w:sz w:val="22"/>
        </w:rPr>
        <w:t xml:space="preserve"> (</w:t>
      </w:r>
      <w:r>
        <w:rPr>
          <w:rFonts w:asciiTheme="majorBidi" w:hAnsiTheme="majorBidi" w:cstheme="majorBidi"/>
          <w:sz w:val="22"/>
          <w:rtl/>
          <w:lang w:bidi="ar-DZ"/>
        </w:rPr>
        <w:t xml:space="preserve"> </w:t>
      </w:r>
      <w:r>
        <w:rPr>
          <w:rFonts w:asciiTheme="majorBidi" w:hAnsiTheme="majorBidi" w:cstheme="majorBidi" w:hint="cs"/>
          <w:sz w:val="22"/>
          <w:rtl/>
        </w:rPr>
        <w:t>محمود جمال الدين زكي، مرجع سابق، ص36.</w:t>
      </w:r>
    </w:p>
  </w:footnote>
  <w:footnote w:id="7">
    <w:p w:rsidR="00304C81" w:rsidRDefault="00304C81" w:rsidP="00304C81">
      <w:pPr>
        <w:bidi/>
        <w:spacing w:after="0"/>
        <w:jc w:val="both"/>
        <w:rPr>
          <w:rFonts w:asciiTheme="majorBidi" w:hAnsiTheme="majorBidi" w:cstheme="majorBidi"/>
          <w:sz w:val="22"/>
          <w:rtl/>
          <w:lang w:bidi="ar-DZ"/>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3</w:t>
      </w:r>
      <w:r>
        <w:rPr>
          <w:rFonts w:asciiTheme="majorBidi" w:hAnsiTheme="majorBidi" w:cstheme="majorBidi" w:hint="cs"/>
          <w:sz w:val="22"/>
          <w:lang w:bidi="ar-DZ"/>
        </w:rPr>
        <w:t xml:space="preserve"> </w:t>
      </w:r>
      <w:r>
        <w:rPr>
          <w:rStyle w:val="Appelnotedebasdep"/>
          <w:rFonts w:asciiTheme="majorBidi" w:hAnsiTheme="majorBidi" w:cstheme="majorBidi"/>
          <w:sz w:val="22"/>
        </w:rPr>
        <w:t xml:space="preserve"> (</w:t>
      </w:r>
      <w:r>
        <w:rPr>
          <w:rFonts w:asciiTheme="majorBidi" w:hAnsiTheme="majorBidi" w:cstheme="majorBidi" w:hint="cs"/>
          <w:sz w:val="22"/>
          <w:rtl/>
        </w:rPr>
        <w:t>نبيل إبراهيم سعد، مرجع سابق، ص26.</w:t>
      </w:r>
      <w:r>
        <w:rPr>
          <w:rStyle w:val="Appelnotedebasdep"/>
          <w:rFonts w:asciiTheme="majorBidi" w:hAnsiTheme="majorBidi" w:cstheme="majorBidi" w:hint="cs"/>
          <w:sz w:val="22"/>
          <w:rtl/>
          <w:lang w:bidi="ar-DZ"/>
        </w:rPr>
        <w:t xml:space="preserve"> </w:t>
      </w:r>
    </w:p>
  </w:footnote>
  <w:footnote w:id="8">
    <w:p w:rsidR="00304C81" w:rsidRDefault="00304C81" w:rsidP="00304C81">
      <w:pPr>
        <w:bidi/>
        <w:spacing w:after="0"/>
        <w:jc w:val="both"/>
        <w:rPr>
          <w:rFonts w:asciiTheme="majorBidi" w:hAnsiTheme="majorBidi" w:cstheme="majorBidi"/>
          <w:sz w:val="22"/>
          <w:rtl/>
          <w:lang w:bidi="ar-DZ"/>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4</w:t>
      </w:r>
      <w:r>
        <w:rPr>
          <w:rStyle w:val="Appelnotedebasdep"/>
          <w:rFonts w:asciiTheme="majorBidi" w:hAnsiTheme="majorBidi" w:cstheme="majorBidi"/>
          <w:sz w:val="22"/>
        </w:rPr>
        <w:t xml:space="preserve"> (</w:t>
      </w:r>
      <w:r>
        <w:rPr>
          <w:rFonts w:asciiTheme="majorBidi" w:hAnsiTheme="majorBidi" w:cstheme="majorBidi"/>
          <w:sz w:val="22"/>
          <w:rtl/>
          <w:lang w:bidi="ar-DZ"/>
        </w:rPr>
        <w:t xml:space="preserve"> </w:t>
      </w:r>
      <w:r>
        <w:rPr>
          <w:rFonts w:asciiTheme="majorBidi" w:hAnsiTheme="majorBidi" w:cstheme="majorBidi" w:hint="cs"/>
          <w:sz w:val="22"/>
          <w:rtl/>
        </w:rPr>
        <w:t>عبد المنعم فرج الصده، مرجع سابق، ص38.</w:t>
      </w:r>
    </w:p>
    <w:p w:rsidR="00304C81" w:rsidRDefault="00304C81" w:rsidP="00304C81">
      <w:pPr>
        <w:bidi/>
        <w:spacing w:after="0"/>
        <w:jc w:val="both"/>
        <w:rPr>
          <w:rFonts w:asciiTheme="majorBidi" w:hAnsiTheme="majorBidi" w:cstheme="majorBidi"/>
          <w:sz w:val="22"/>
          <w:rtl/>
          <w:lang w:bidi="ar-DZ"/>
        </w:rPr>
      </w:pPr>
    </w:p>
    <w:p w:rsidR="00B74550" w:rsidRDefault="00B74550" w:rsidP="00B74550">
      <w:pPr>
        <w:bidi/>
        <w:spacing w:after="0"/>
        <w:jc w:val="both"/>
        <w:rPr>
          <w:rFonts w:asciiTheme="majorBidi" w:hAnsiTheme="majorBidi" w:cstheme="majorBidi"/>
          <w:sz w:val="22"/>
          <w:rtl/>
          <w:lang w:bidi="ar-DZ"/>
        </w:rPr>
      </w:pPr>
    </w:p>
  </w:footnote>
  <w:footnote w:id="9">
    <w:p w:rsidR="00304C81" w:rsidRDefault="00304C81" w:rsidP="00304C81">
      <w:pPr>
        <w:bidi/>
        <w:spacing w:after="0"/>
        <w:jc w:val="both"/>
        <w:rPr>
          <w:rFonts w:asciiTheme="majorBidi" w:hAnsiTheme="majorBidi" w:cstheme="majorBidi"/>
          <w:sz w:val="22"/>
          <w:rtl/>
          <w:lang w:bidi="ar-DZ"/>
        </w:rPr>
      </w:pPr>
      <w:r>
        <w:rPr>
          <w:rStyle w:val="Appelnotedebasdep"/>
          <w:rFonts w:asciiTheme="majorBidi" w:hAnsiTheme="majorBidi" w:cstheme="majorBidi"/>
          <w:sz w:val="22"/>
        </w:rPr>
        <w:t>)</w:t>
      </w:r>
      <w:r>
        <w:rPr>
          <w:rStyle w:val="Appelnotedebasdep"/>
          <w:rFonts w:asciiTheme="majorBidi" w:hAnsiTheme="majorBidi" w:cstheme="majorBidi" w:hint="cs"/>
          <w:sz w:val="22"/>
          <w:rtl/>
        </w:rPr>
        <w:t>1</w:t>
      </w:r>
      <w:r>
        <w:rPr>
          <w:rFonts w:asciiTheme="majorBidi" w:hAnsiTheme="majorBidi" w:cstheme="majorBidi" w:hint="cs"/>
          <w:sz w:val="22"/>
        </w:rPr>
        <w:t xml:space="preserve"> </w:t>
      </w:r>
      <w:r>
        <w:rPr>
          <w:rStyle w:val="Appelnotedebasdep"/>
          <w:rFonts w:asciiTheme="majorBidi" w:hAnsiTheme="majorBidi" w:cstheme="majorBidi"/>
          <w:sz w:val="22"/>
        </w:rPr>
        <w:t xml:space="preserve"> (</w:t>
      </w:r>
      <w:r>
        <w:rPr>
          <w:rFonts w:asciiTheme="majorBidi" w:hAnsiTheme="majorBidi" w:cstheme="majorBidi" w:hint="cs"/>
          <w:sz w:val="22"/>
          <w:rtl/>
        </w:rPr>
        <w:t>سمير عبد السيد تناغو، مرجع سابق، ص20.</w:t>
      </w:r>
      <w:r>
        <w:rPr>
          <w:rStyle w:val="Appelnotedebasdep"/>
          <w:rFonts w:asciiTheme="majorBidi" w:hAnsiTheme="majorBidi" w:cstheme="majorBidi" w:hint="cs"/>
          <w:sz w:val="22"/>
        </w:rPr>
        <w:t xml:space="preserve"> </w:t>
      </w:r>
    </w:p>
  </w:footnote>
  <w:footnote w:id="10">
    <w:p w:rsidR="00304C81" w:rsidRDefault="00304C81" w:rsidP="00304C81">
      <w:pPr>
        <w:bidi/>
        <w:spacing w:after="0"/>
        <w:jc w:val="both"/>
        <w:rPr>
          <w:rFonts w:asciiTheme="majorBidi" w:hAnsiTheme="majorBidi" w:cstheme="majorBidi"/>
          <w:sz w:val="22"/>
          <w:rtl/>
          <w:lang w:bidi="ar-DZ"/>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2</w:t>
      </w:r>
      <w:r>
        <w:rPr>
          <w:rStyle w:val="Appelnotedebasdep"/>
          <w:rFonts w:asciiTheme="majorBidi" w:hAnsiTheme="majorBidi" w:cstheme="majorBidi"/>
          <w:sz w:val="22"/>
        </w:rPr>
        <w:t xml:space="preserve"> (</w:t>
      </w:r>
      <w:r>
        <w:rPr>
          <w:rFonts w:asciiTheme="majorBidi" w:hAnsiTheme="majorBidi" w:cstheme="majorBidi" w:hint="cs"/>
          <w:sz w:val="22"/>
          <w:rtl/>
        </w:rPr>
        <w:t xml:space="preserve"> محمود جمال الدين زكي، مرجع سابق، ص41.</w:t>
      </w:r>
    </w:p>
  </w:footnote>
  <w:footnote w:id="11">
    <w:p w:rsidR="00304C81" w:rsidRDefault="00304C81" w:rsidP="00304C81">
      <w:pPr>
        <w:bidi/>
        <w:spacing w:after="0"/>
        <w:jc w:val="both"/>
        <w:rPr>
          <w:rFonts w:asciiTheme="majorBidi" w:hAnsiTheme="majorBidi" w:cstheme="majorBidi"/>
          <w:sz w:val="22"/>
          <w:rtl/>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3</w:t>
      </w:r>
      <w:r>
        <w:rPr>
          <w:rStyle w:val="Appelnotedebasdep"/>
          <w:rFonts w:asciiTheme="majorBidi" w:hAnsiTheme="majorBidi" w:cstheme="majorBidi"/>
          <w:sz w:val="22"/>
        </w:rPr>
        <w:t xml:space="preserve"> (</w:t>
      </w:r>
      <w:r>
        <w:rPr>
          <w:rFonts w:asciiTheme="majorBidi" w:hAnsiTheme="majorBidi" w:cstheme="majorBidi"/>
          <w:sz w:val="22"/>
          <w:rtl/>
          <w:lang w:bidi="ar-DZ"/>
        </w:rPr>
        <w:t xml:space="preserve"> </w:t>
      </w:r>
      <w:r>
        <w:rPr>
          <w:rFonts w:asciiTheme="majorBidi" w:hAnsiTheme="majorBidi" w:cstheme="majorBidi" w:hint="cs"/>
          <w:sz w:val="22"/>
          <w:rtl/>
        </w:rPr>
        <w:t>عبد الرزاق السنهوري، مرجع سابق، ص52.</w:t>
      </w:r>
    </w:p>
  </w:footnote>
  <w:footnote w:id="12">
    <w:p w:rsidR="00304C81" w:rsidRDefault="00304C81" w:rsidP="00304C81">
      <w:pPr>
        <w:bidi/>
        <w:spacing w:after="0"/>
        <w:jc w:val="both"/>
        <w:rPr>
          <w:rFonts w:asciiTheme="majorBidi" w:hAnsiTheme="majorBidi" w:cstheme="majorBidi"/>
          <w:sz w:val="22"/>
          <w:rtl/>
          <w:lang w:bidi="ar-DZ"/>
        </w:rPr>
      </w:pPr>
      <w:r>
        <w:rPr>
          <w:rStyle w:val="Appelnotedebasdep"/>
          <w:rFonts w:asciiTheme="majorBidi" w:hAnsiTheme="majorBidi" w:cstheme="majorBidi"/>
          <w:sz w:val="22"/>
          <w:lang w:bidi="ar-DZ"/>
        </w:rPr>
        <w:t>)</w:t>
      </w:r>
      <w:r>
        <w:rPr>
          <w:rStyle w:val="Appelnotedebasdep"/>
          <w:rFonts w:asciiTheme="majorBidi" w:hAnsiTheme="majorBidi" w:cstheme="majorBidi" w:hint="cs"/>
          <w:sz w:val="22"/>
          <w:rtl/>
          <w:lang w:bidi="ar-DZ"/>
        </w:rPr>
        <w:t>4</w:t>
      </w:r>
      <w:r>
        <w:rPr>
          <w:rStyle w:val="Appelnotedebasdep"/>
          <w:rFonts w:asciiTheme="majorBidi" w:hAnsiTheme="majorBidi" w:cstheme="majorBidi"/>
          <w:sz w:val="22"/>
          <w:lang w:bidi="ar-DZ"/>
        </w:rPr>
        <w:t xml:space="preserve"> (</w:t>
      </w:r>
      <w:r>
        <w:rPr>
          <w:rFonts w:asciiTheme="majorBidi" w:hAnsiTheme="majorBidi" w:cstheme="majorBidi" w:hint="cs"/>
          <w:sz w:val="22"/>
          <w:rtl/>
        </w:rPr>
        <w:t xml:space="preserve"> سمير عبد السيد تناغو، مرجع سابق، ص27-28.</w:t>
      </w:r>
      <w:r>
        <w:rPr>
          <w:rStyle w:val="Appelnotedebasdep"/>
          <w:rFonts w:asciiTheme="majorBidi" w:hAnsiTheme="majorBidi" w:cstheme="majorBidi" w:hint="cs"/>
          <w:sz w:val="22"/>
        </w:rPr>
        <w:t xml:space="preserve"> </w:t>
      </w:r>
    </w:p>
  </w:footnote>
  <w:footnote w:id="13">
    <w:p w:rsidR="00304C81" w:rsidRDefault="00304C81" w:rsidP="00304C81">
      <w:pPr>
        <w:bidi/>
        <w:spacing w:after="0"/>
        <w:jc w:val="both"/>
        <w:rPr>
          <w:rFonts w:asciiTheme="majorBidi" w:hAnsiTheme="majorBidi" w:cstheme="majorBidi"/>
          <w:sz w:val="22"/>
          <w:rtl/>
          <w:lang w:bidi="ar-DZ"/>
        </w:rPr>
      </w:pPr>
      <w:r>
        <w:rPr>
          <w:rStyle w:val="Appelnotedebasdep"/>
          <w:rFonts w:asciiTheme="majorBidi" w:hAnsiTheme="majorBidi" w:cstheme="majorBidi"/>
          <w:sz w:val="22"/>
        </w:rPr>
        <w:t>)</w:t>
      </w:r>
      <w:r>
        <w:rPr>
          <w:rStyle w:val="Appelnotedebasdep"/>
          <w:rFonts w:asciiTheme="majorBidi" w:hAnsiTheme="majorBidi" w:cstheme="majorBidi" w:hint="cs"/>
          <w:sz w:val="22"/>
          <w:rtl/>
        </w:rPr>
        <w:t>5</w:t>
      </w:r>
      <w:r>
        <w:rPr>
          <w:rStyle w:val="Appelnotedebasdep"/>
          <w:rFonts w:asciiTheme="majorBidi" w:hAnsiTheme="majorBidi" w:cstheme="majorBidi" w:hint="cs"/>
          <w:sz w:val="22"/>
        </w:rPr>
        <w:t xml:space="preserve"> </w:t>
      </w:r>
      <w:r>
        <w:rPr>
          <w:rFonts w:asciiTheme="majorBidi" w:hAnsiTheme="majorBidi" w:cstheme="majorBidi" w:hint="cs"/>
          <w:sz w:val="22"/>
        </w:rPr>
        <w:t xml:space="preserve"> </w:t>
      </w:r>
      <w:r>
        <w:rPr>
          <w:rStyle w:val="Appelnotedebasdep"/>
          <w:rFonts w:asciiTheme="majorBidi" w:hAnsiTheme="majorBidi" w:cstheme="majorBidi"/>
          <w:sz w:val="22"/>
        </w:rPr>
        <w:t>(</w:t>
      </w:r>
      <w:r>
        <w:rPr>
          <w:rStyle w:val="Appelnotedebasdep"/>
          <w:rFonts w:asciiTheme="majorBidi" w:hAnsiTheme="majorBidi" w:cstheme="majorBidi" w:hint="cs"/>
          <w:sz w:val="22"/>
          <w:rtl/>
        </w:rPr>
        <w:t>راجع  المواد: 75-201 من قانون الإجراءات المدنية والإدارية</w:t>
      </w:r>
      <w:r>
        <w:rPr>
          <w:rFonts w:asciiTheme="majorBidi" w:hAnsiTheme="majorBidi" w:cstheme="majorBidi" w:hint="cs"/>
          <w:sz w:val="22"/>
          <w:rtl/>
        </w:rPr>
        <w:t>.</w:t>
      </w:r>
      <w:r>
        <w:rPr>
          <w:rStyle w:val="Appelnotedebasdep"/>
          <w:rFonts w:asciiTheme="majorBidi" w:hAnsiTheme="majorBidi" w:cstheme="majorBidi"/>
          <w:sz w:val="22"/>
          <w:rtl/>
        </w:rPr>
        <w:t xml:space="preserve"> </w:t>
      </w:r>
    </w:p>
  </w:footnote>
  <w:footnote w:id="14">
    <w:p w:rsidR="00304C81" w:rsidRDefault="00304C81" w:rsidP="00304C81">
      <w:pPr>
        <w:bidi/>
        <w:spacing w:after="0"/>
        <w:jc w:val="both"/>
        <w:rPr>
          <w:rFonts w:asciiTheme="majorBidi" w:hAnsiTheme="majorBidi" w:cstheme="majorBidi"/>
          <w:sz w:val="22"/>
          <w:rtl/>
          <w:lang w:bidi="ar-DZ"/>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6</w:t>
      </w:r>
      <w:r>
        <w:rPr>
          <w:rStyle w:val="Appelnotedebasdep"/>
          <w:rFonts w:asciiTheme="majorBidi" w:hAnsiTheme="majorBidi" w:cstheme="majorBidi"/>
          <w:sz w:val="22"/>
        </w:rPr>
        <w:t>(</w:t>
      </w:r>
      <w:r>
        <w:rPr>
          <w:rStyle w:val="Appelnotedebasdep"/>
          <w:rFonts w:asciiTheme="majorBidi" w:hAnsiTheme="majorBidi" w:cstheme="majorBidi"/>
          <w:sz w:val="22"/>
          <w:rtl/>
          <w:lang w:bidi="ar-DZ"/>
        </w:rPr>
        <w:t xml:space="preserve"> </w:t>
      </w:r>
      <w:r>
        <w:rPr>
          <w:rFonts w:asciiTheme="majorBidi" w:hAnsiTheme="majorBidi" w:cstheme="majorBidi"/>
          <w:sz w:val="22"/>
          <w:rtl/>
          <w:lang w:bidi="ar-DZ"/>
        </w:rPr>
        <w:t xml:space="preserve"> </w:t>
      </w:r>
      <w:r>
        <w:rPr>
          <w:rFonts w:asciiTheme="majorBidi" w:hAnsiTheme="majorBidi" w:cstheme="majorBidi" w:hint="cs"/>
          <w:sz w:val="22"/>
          <w:rtl/>
        </w:rPr>
        <w:t>راجع  الفصل الثالث توزيع عبء الإثبات  بين الخصوم</w:t>
      </w:r>
      <w:r>
        <w:rPr>
          <w:rStyle w:val="Appelnotedebasdep"/>
          <w:rFonts w:asciiTheme="majorBidi" w:hAnsiTheme="majorBidi" w:cstheme="majorBidi" w:hint="cs"/>
          <w:sz w:val="22"/>
          <w:rtl/>
          <w:lang w:bidi="ar-DZ"/>
        </w:rPr>
        <w:t xml:space="preserve"> </w:t>
      </w:r>
      <w:r>
        <w:rPr>
          <w:rFonts w:asciiTheme="majorBidi" w:hAnsiTheme="majorBidi" w:cstheme="majorBidi" w:hint="cs"/>
          <w:sz w:val="22"/>
          <w:rtl/>
          <w:lang w:bidi="ar-DZ"/>
        </w:rPr>
        <w:t>.</w:t>
      </w:r>
    </w:p>
  </w:footnote>
  <w:footnote w:id="15">
    <w:p w:rsidR="00304C81" w:rsidRDefault="00304C81" w:rsidP="00304C81">
      <w:pPr>
        <w:bidi/>
        <w:spacing w:after="0"/>
        <w:jc w:val="both"/>
        <w:rPr>
          <w:rFonts w:asciiTheme="majorBidi" w:hAnsiTheme="majorBidi" w:cstheme="majorBidi"/>
          <w:sz w:val="22"/>
          <w:rtl/>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7</w:t>
      </w:r>
      <w:r>
        <w:rPr>
          <w:rStyle w:val="Appelnotedebasdep"/>
          <w:rFonts w:asciiTheme="majorBidi" w:hAnsiTheme="majorBidi" w:cstheme="majorBidi" w:hint="cs"/>
          <w:sz w:val="22"/>
          <w:lang w:bidi="ar-DZ"/>
        </w:rPr>
        <w:t xml:space="preserve"> </w:t>
      </w:r>
      <w:r>
        <w:rPr>
          <w:rFonts w:asciiTheme="majorBidi" w:hAnsiTheme="majorBidi" w:cstheme="majorBidi" w:hint="cs"/>
          <w:sz w:val="22"/>
          <w:lang w:bidi="ar-DZ"/>
        </w:rPr>
        <w:t xml:space="preserve"> </w:t>
      </w:r>
      <w:r>
        <w:rPr>
          <w:rStyle w:val="Appelnotedebasdep"/>
          <w:rFonts w:asciiTheme="majorBidi" w:hAnsiTheme="majorBidi" w:cstheme="majorBidi"/>
          <w:sz w:val="22"/>
        </w:rPr>
        <w:t>(</w:t>
      </w:r>
      <w:r>
        <w:rPr>
          <w:rFonts w:asciiTheme="majorBidi" w:hAnsiTheme="majorBidi" w:cstheme="majorBidi" w:hint="cs"/>
          <w:sz w:val="22"/>
          <w:rtl/>
        </w:rPr>
        <w:t>عبد العزيز المرسي، مرجع سابق، ص28.</w:t>
      </w:r>
    </w:p>
    <w:p w:rsidR="00304C81" w:rsidRDefault="00304C81" w:rsidP="00304C81">
      <w:pPr>
        <w:bidi/>
        <w:spacing w:after="0"/>
        <w:jc w:val="both"/>
        <w:rPr>
          <w:rFonts w:asciiTheme="majorBidi" w:hAnsiTheme="majorBidi" w:cstheme="majorBidi"/>
          <w:sz w:val="22"/>
          <w:rtl/>
        </w:rPr>
      </w:pPr>
    </w:p>
  </w:footnote>
  <w:footnote w:id="16">
    <w:p w:rsidR="00304C81" w:rsidRDefault="00304C81" w:rsidP="00304C81">
      <w:pPr>
        <w:bidi/>
        <w:spacing w:after="0"/>
        <w:jc w:val="both"/>
        <w:rPr>
          <w:rFonts w:asciiTheme="majorBidi" w:hAnsiTheme="majorBidi" w:cstheme="majorBidi"/>
          <w:sz w:val="22"/>
          <w:rtl/>
          <w:lang w:bidi="ar-DZ"/>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1</w:t>
      </w:r>
      <w:r>
        <w:rPr>
          <w:rStyle w:val="Appelnotedebasdep"/>
          <w:rFonts w:asciiTheme="majorBidi" w:hAnsiTheme="majorBidi" w:cstheme="majorBidi"/>
          <w:sz w:val="22"/>
        </w:rPr>
        <w:t>(</w:t>
      </w:r>
      <w:r>
        <w:rPr>
          <w:rFonts w:asciiTheme="majorBidi" w:hAnsiTheme="majorBidi" w:cstheme="majorBidi" w:hint="cs"/>
          <w:sz w:val="22"/>
          <w:rtl/>
        </w:rPr>
        <w:t xml:space="preserve"> نبيل إبراهيم سعد، مرجع سابق، ص33.</w:t>
      </w:r>
    </w:p>
  </w:footnote>
  <w:footnote w:id="17">
    <w:p w:rsidR="00304C81" w:rsidRDefault="00304C81" w:rsidP="00304C81">
      <w:pPr>
        <w:bidi/>
        <w:spacing w:after="0"/>
        <w:jc w:val="both"/>
        <w:rPr>
          <w:rFonts w:asciiTheme="majorBidi" w:hAnsiTheme="majorBidi" w:cstheme="majorBidi"/>
          <w:sz w:val="22"/>
          <w:rtl/>
        </w:rPr>
      </w:pPr>
      <w:r>
        <w:rPr>
          <w:rStyle w:val="Appelnotedebasdep"/>
          <w:rFonts w:asciiTheme="majorBidi" w:hAnsiTheme="majorBidi" w:cstheme="majorBidi"/>
          <w:sz w:val="22"/>
        </w:rPr>
        <w:t>)</w:t>
      </w:r>
      <w:r>
        <w:rPr>
          <w:rFonts w:asciiTheme="majorBidi" w:hAnsiTheme="majorBidi" w:cstheme="majorBidi" w:hint="cs"/>
          <w:sz w:val="22"/>
          <w:vertAlign w:val="superscript"/>
          <w:rtl/>
        </w:rPr>
        <w:t>2</w:t>
      </w:r>
      <w:r>
        <w:rPr>
          <w:rFonts w:asciiTheme="majorBidi" w:hAnsiTheme="majorBidi" w:cstheme="majorBidi"/>
          <w:sz w:val="22"/>
          <w:vertAlign w:val="superscript"/>
        </w:rPr>
        <w:t xml:space="preserve"> (</w:t>
      </w:r>
      <w:r>
        <w:rPr>
          <w:rFonts w:asciiTheme="majorBidi" w:hAnsiTheme="majorBidi" w:cstheme="majorBidi" w:hint="cs"/>
          <w:sz w:val="22"/>
          <w:rtl/>
        </w:rPr>
        <w:t>اكتفى المشرع الجزائري  بالنص في المادة: 27 قانون إجراءات مدنية :".. كما يجوز له أن يأمر شفهيا بإحضار أي وثيقة لنفس العرض ...". غير أنه لم يبين الجزاء المترتب عند إمتناع الخصم عن تنفيذ هذا الأمر .</w:t>
      </w:r>
    </w:p>
    <w:p w:rsidR="00304C81" w:rsidRDefault="00304C81" w:rsidP="00304C81">
      <w:pPr>
        <w:bidi/>
        <w:spacing w:after="0"/>
        <w:jc w:val="both"/>
        <w:rPr>
          <w:rFonts w:asciiTheme="majorBidi" w:hAnsiTheme="majorBidi" w:cstheme="majorBidi"/>
          <w:sz w:val="22"/>
          <w:rtl/>
        </w:rPr>
      </w:pPr>
      <w:r>
        <w:rPr>
          <w:rFonts w:asciiTheme="majorBidi" w:hAnsiTheme="majorBidi" w:cstheme="majorBidi" w:hint="cs"/>
          <w:sz w:val="22"/>
          <w:rtl/>
        </w:rPr>
        <w:t xml:space="preserve"> وكما نص في المادة: 72 من قانون الإجراءات المدنية:" يجوز للقاضي أن يأمر باستخراج نسخة  رسمية أو إحضار عقد رسمي أو عرفي  أو إحضار أي وثيقة محجوزة لدى الغير، بناء على طلب أحد الخصوم، حتى لو لم يكن طرفا  في العقد ". </w:t>
      </w:r>
    </w:p>
  </w:footnote>
  <w:footnote w:id="18">
    <w:p w:rsidR="00304C81" w:rsidRDefault="00304C81" w:rsidP="00304C81">
      <w:pPr>
        <w:bidi/>
        <w:spacing w:after="0"/>
        <w:jc w:val="both"/>
        <w:rPr>
          <w:rFonts w:asciiTheme="majorBidi" w:hAnsiTheme="majorBidi" w:cstheme="majorBidi"/>
          <w:sz w:val="22"/>
          <w:rtl/>
          <w:lang w:bidi="ar-DZ"/>
        </w:rPr>
      </w:pPr>
      <w:r>
        <w:rPr>
          <w:rStyle w:val="Appelnotedebasdep"/>
          <w:rFonts w:asciiTheme="majorBidi" w:hAnsiTheme="majorBidi" w:cstheme="majorBidi"/>
          <w:sz w:val="22"/>
          <w:lang w:bidi="ar-DZ"/>
        </w:rPr>
        <w:t>)</w:t>
      </w:r>
      <w:r>
        <w:rPr>
          <w:rStyle w:val="Appelnotedebasdep"/>
          <w:rFonts w:asciiTheme="majorBidi" w:hAnsiTheme="majorBidi" w:cstheme="majorBidi" w:hint="cs"/>
          <w:sz w:val="22"/>
          <w:rtl/>
          <w:lang w:bidi="ar-DZ"/>
        </w:rPr>
        <w:t>3</w:t>
      </w:r>
      <w:r>
        <w:rPr>
          <w:rStyle w:val="Appelnotedebasdep"/>
          <w:rFonts w:asciiTheme="majorBidi" w:hAnsiTheme="majorBidi" w:cstheme="majorBidi"/>
          <w:sz w:val="22"/>
          <w:lang w:bidi="ar-DZ"/>
        </w:rPr>
        <w:t xml:space="preserve"> (</w:t>
      </w:r>
      <w:r>
        <w:rPr>
          <w:rFonts w:asciiTheme="majorBidi" w:hAnsiTheme="majorBidi" w:cstheme="majorBidi" w:hint="cs"/>
          <w:sz w:val="22"/>
          <w:rtl/>
        </w:rPr>
        <w:t>القواعد العامة في إلزام الخصم، أو الغير بتقديم عناصر الإثبات التي في حوزته إلى الخصم الأخر،  بشرط أن يكون هذا السند منتجًا في الدعوى، وعلى الخصم الذي يتمسك بالسند أن يثبت وجوده بالقرائن والظروف للدلالة على وجود السند، ويجيز القانون للقاضي أن يرفض الأمر بعرض السند أو المحرر إذا قدر أن من يحرزه مصلحة مشروعة في الامتناع عن عرضه .</w:t>
      </w:r>
      <w:r>
        <w:rPr>
          <w:rStyle w:val="Appelnotedebasdep"/>
          <w:rFonts w:asciiTheme="majorBidi" w:hAnsiTheme="majorBidi" w:cstheme="majorBidi" w:hint="cs"/>
          <w:sz w:val="22"/>
        </w:rPr>
        <w:t xml:space="preserve"> </w:t>
      </w:r>
    </w:p>
    <w:p w:rsidR="00304C81" w:rsidRDefault="00304C81" w:rsidP="00304C81">
      <w:pPr>
        <w:bidi/>
        <w:spacing w:after="0"/>
        <w:jc w:val="both"/>
        <w:rPr>
          <w:rFonts w:asciiTheme="majorBidi" w:hAnsiTheme="majorBidi" w:cstheme="majorBidi"/>
          <w:sz w:val="22"/>
          <w:rtl/>
          <w:lang w:bidi="ar-DZ"/>
        </w:rPr>
      </w:pPr>
    </w:p>
    <w:p w:rsidR="00304C81" w:rsidRDefault="00304C81" w:rsidP="00304C81">
      <w:pPr>
        <w:bidi/>
        <w:spacing w:after="0"/>
        <w:jc w:val="both"/>
        <w:rPr>
          <w:rFonts w:asciiTheme="majorBidi" w:hAnsiTheme="majorBidi" w:cstheme="majorBidi"/>
          <w:sz w:val="22"/>
          <w:rtl/>
          <w:lang w:bidi="ar-DZ"/>
        </w:rPr>
      </w:pPr>
    </w:p>
  </w:footnote>
  <w:footnote w:id="19">
    <w:p w:rsidR="00304C81" w:rsidRDefault="00304C81" w:rsidP="00304C81">
      <w:pPr>
        <w:bidi/>
        <w:spacing w:after="0"/>
        <w:jc w:val="both"/>
        <w:rPr>
          <w:rFonts w:asciiTheme="majorBidi" w:hAnsiTheme="majorBidi" w:cstheme="majorBidi"/>
          <w:sz w:val="22"/>
          <w:rtl/>
        </w:rPr>
      </w:pPr>
      <w:r>
        <w:rPr>
          <w:rFonts w:asciiTheme="majorBidi" w:hAnsiTheme="majorBidi" w:cstheme="majorBidi"/>
          <w:sz w:val="22"/>
          <w:vertAlign w:val="superscript"/>
        </w:rPr>
        <w:t>)</w:t>
      </w:r>
      <w:r>
        <w:rPr>
          <w:rStyle w:val="Appelnotedebasdep"/>
          <w:rFonts w:asciiTheme="majorBidi" w:hAnsiTheme="majorBidi" w:cstheme="majorBidi" w:hint="cs"/>
          <w:sz w:val="22"/>
          <w:rtl/>
          <w:lang w:bidi="ar-DZ"/>
        </w:rPr>
        <w:t>1</w:t>
      </w:r>
      <w:r>
        <w:rPr>
          <w:rFonts w:asciiTheme="majorBidi" w:hAnsiTheme="majorBidi" w:cstheme="majorBidi"/>
          <w:sz w:val="22"/>
          <w:vertAlign w:val="superscript"/>
        </w:rPr>
        <w:t xml:space="preserve"> (</w:t>
      </w:r>
      <w:r>
        <w:rPr>
          <w:rFonts w:asciiTheme="majorBidi" w:hAnsiTheme="majorBidi" w:cstheme="majorBidi" w:hint="cs"/>
          <w:sz w:val="22"/>
          <w:rtl/>
        </w:rPr>
        <w:t>عبد العزيز المرسي، مرجع سابق، ص45.</w:t>
      </w:r>
    </w:p>
  </w:footnote>
  <w:footnote w:id="20">
    <w:p w:rsidR="00304C81" w:rsidRDefault="00304C81" w:rsidP="00304C81">
      <w:pPr>
        <w:bidi/>
        <w:spacing w:after="0"/>
        <w:jc w:val="both"/>
        <w:rPr>
          <w:rFonts w:asciiTheme="majorBidi" w:hAnsiTheme="majorBidi" w:cstheme="majorBidi"/>
          <w:sz w:val="22"/>
          <w:rtl/>
          <w:lang w:bidi="ar-DZ"/>
        </w:rPr>
      </w:pPr>
      <w:r>
        <w:rPr>
          <w:rStyle w:val="Appelnotedebasdep"/>
          <w:rFonts w:asciiTheme="majorBidi" w:hAnsiTheme="majorBidi" w:cstheme="majorBidi"/>
          <w:sz w:val="22"/>
          <w:lang w:bidi="ar-DZ"/>
        </w:rPr>
        <w:t>)</w:t>
      </w:r>
      <w:r>
        <w:rPr>
          <w:rStyle w:val="Appelnotedebasdep"/>
          <w:rFonts w:asciiTheme="majorBidi" w:hAnsiTheme="majorBidi" w:cstheme="majorBidi" w:hint="cs"/>
          <w:sz w:val="22"/>
          <w:rtl/>
          <w:lang w:bidi="ar-DZ"/>
        </w:rPr>
        <w:t>2</w:t>
      </w:r>
      <w:r>
        <w:rPr>
          <w:rStyle w:val="Appelnotedebasdep"/>
          <w:rFonts w:asciiTheme="majorBidi" w:hAnsiTheme="majorBidi" w:cstheme="majorBidi"/>
          <w:sz w:val="22"/>
          <w:lang w:bidi="ar-DZ"/>
        </w:rPr>
        <w:t xml:space="preserve"> (</w:t>
      </w:r>
      <w:r>
        <w:rPr>
          <w:rFonts w:asciiTheme="majorBidi" w:hAnsiTheme="majorBidi" w:cstheme="majorBidi" w:hint="cs"/>
          <w:sz w:val="22"/>
          <w:rtl/>
        </w:rPr>
        <w:t>سمير عبد السيد تناغو، مرجع سابق، ص45-46.</w:t>
      </w:r>
      <w:r>
        <w:rPr>
          <w:rStyle w:val="Appelnotedebasdep"/>
          <w:rFonts w:asciiTheme="majorBidi" w:hAnsiTheme="majorBidi" w:cstheme="majorBidi" w:hint="cs"/>
          <w:sz w:val="22"/>
        </w:rPr>
        <w:t xml:space="preserve"> </w:t>
      </w:r>
    </w:p>
  </w:footnote>
  <w:footnote w:id="21">
    <w:p w:rsidR="00304C81" w:rsidRDefault="00304C81" w:rsidP="00304C81">
      <w:pPr>
        <w:bidi/>
        <w:spacing w:after="0"/>
        <w:jc w:val="both"/>
        <w:rPr>
          <w:rFonts w:asciiTheme="majorBidi" w:hAnsiTheme="majorBidi" w:cstheme="majorBidi"/>
          <w:sz w:val="22"/>
          <w:rtl/>
          <w:lang w:bidi="ar-DZ"/>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3</w:t>
      </w:r>
      <w:r>
        <w:rPr>
          <w:rStyle w:val="Appelnotedebasdep"/>
          <w:rFonts w:asciiTheme="majorBidi" w:hAnsiTheme="majorBidi" w:cstheme="majorBidi"/>
          <w:sz w:val="22"/>
        </w:rPr>
        <w:t>(</w:t>
      </w:r>
      <w:r>
        <w:rPr>
          <w:rFonts w:asciiTheme="majorBidi" w:hAnsiTheme="majorBidi" w:cstheme="majorBidi" w:hint="cs"/>
          <w:sz w:val="22"/>
          <w:rtl/>
        </w:rPr>
        <w:t xml:space="preserve"> كالفيضان والزلازل والوفاة، ومرور الزمن .</w:t>
      </w:r>
    </w:p>
  </w:footnote>
  <w:footnote w:id="22">
    <w:p w:rsidR="00304C81" w:rsidRDefault="00304C81" w:rsidP="00304C81">
      <w:pPr>
        <w:bidi/>
        <w:spacing w:after="0"/>
        <w:jc w:val="both"/>
        <w:rPr>
          <w:rFonts w:asciiTheme="majorBidi" w:hAnsiTheme="majorBidi" w:cstheme="majorBidi"/>
          <w:sz w:val="22"/>
          <w:rtl/>
          <w:lang w:bidi="ar-DZ"/>
        </w:rPr>
      </w:pPr>
      <w:r>
        <w:rPr>
          <w:rStyle w:val="Appelnotedebasdep"/>
          <w:rFonts w:asciiTheme="majorBidi" w:hAnsiTheme="majorBidi" w:cstheme="majorBidi"/>
          <w:sz w:val="22"/>
          <w:lang w:bidi="ar-DZ"/>
        </w:rPr>
        <w:t>)</w:t>
      </w:r>
      <w:r>
        <w:rPr>
          <w:rStyle w:val="Appelnotedebasdep"/>
          <w:rFonts w:asciiTheme="majorBidi" w:hAnsiTheme="majorBidi" w:cstheme="majorBidi" w:hint="cs"/>
          <w:sz w:val="22"/>
          <w:rtl/>
          <w:lang w:bidi="ar-DZ"/>
        </w:rPr>
        <w:t>4</w:t>
      </w:r>
      <w:r>
        <w:rPr>
          <w:rStyle w:val="Appelnotedebasdep"/>
          <w:rFonts w:asciiTheme="majorBidi" w:hAnsiTheme="majorBidi" w:cstheme="majorBidi"/>
          <w:sz w:val="22"/>
          <w:lang w:bidi="ar-DZ"/>
        </w:rPr>
        <w:t xml:space="preserve"> (</w:t>
      </w:r>
      <w:r>
        <w:rPr>
          <w:rFonts w:asciiTheme="majorBidi" w:hAnsiTheme="majorBidi" w:cstheme="majorBidi" w:hint="cs"/>
          <w:sz w:val="22"/>
          <w:rtl/>
        </w:rPr>
        <w:t>قد تكون طارئة فسمى بالفعل الضار فمرتكبه يلزمه القانون بالتعويض، المادة: 124 من القانون المدني، وقد تكون نافعة فتسمى بالفعل النافع فالقانون يعطيه الحق في المطالبة المنتفع بالتعويض عما افتقر به نتيجة قيام بهذا الفعل النافع المادة : من القانون المدني.</w:t>
      </w:r>
      <w:r>
        <w:rPr>
          <w:rStyle w:val="Appelnotedebasdep"/>
          <w:rFonts w:asciiTheme="majorBidi" w:hAnsiTheme="majorBidi" w:cstheme="majorBidi" w:hint="cs"/>
          <w:sz w:val="22"/>
        </w:rPr>
        <w:t xml:space="preserve"> </w:t>
      </w:r>
    </w:p>
    <w:p w:rsidR="00304C81" w:rsidRDefault="00304C81" w:rsidP="00304C81">
      <w:pPr>
        <w:bidi/>
        <w:spacing w:after="0"/>
        <w:jc w:val="both"/>
        <w:rPr>
          <w:rFonts w:asciiTheme="majorBidi" w:hAnsiTheme="majorBidi" w:cstheme="majorBidi"/>
          <w:sz w:val="22"/>
          <w:rtl/>
          <w:lang w:bidi="ar-DZ"/>
        </w:rPr>
      </w:pPr>
    </w:p>
    <w:p w:rsidR="00304C81" w:rsidRDefault="00304C81" w:rsidP="00304C81">
      <w:pPr>
        <w:bidi/>
        <w:spacing w:after="0"/>
        <w:jc w:val="both"/>
        <w:rPr>
          <w:rFonts w:asciiTheme="majorBidi" w:hAnsiTheme="majorBidi" w:cstheme="majorBidi"/>
          <w:sz w:val="22"/>
          <w:rtl/>
          <w:lang w:bidi="ar-DZ"/>
        </w:rPr>
      </w:pPr>
    </w:p>
  </w:footnote>
  <w:footnote w:id="23">
    <w:p w:rsidR="00304C81" w:rsidRDefault="00304C81" w:rsidP="00304C81">
      <w:pPr>
        <w:bidi/>
        <w:spacing w:after="0"/>
        <w:jc w:val="both"/>
        <w:rPr>
          <w:rFonts w:asciiTheme="majorBidi" w:hAnsiTheme="majorBidi" w:cstheme="majorBidi"/>
          <w:sz w:val="22"/>
          <w:rtl/>
        </w:rPr>
      </w:pPr>
      <w:r>
        <w:rPr>
          <w:rStyle w:val="Appelnotedebasdep"/>
          <w:rFonts w:asciiTheme="majorBidi" w:hAnsiTheme="majorBidi" w:cstheme="majorBidi"/>
          <w:sz w:val="22"/>
          <w:lang w:bidi="ar-DZ"/>
        </w:rPr>
        <w:t>)</w:t>
      </w:r>
      <w:r>
        <w:rPr>
          <w:rStyle w:val="Appelnotedebasdep"/>
          <w:rFonts w:asciiTheme="majorBidi" w:hAnsiTheme="majorBidi" w:cstheme="majorBidi" w:hint="cs"/>
          <w:sz w:val="22"/>
          <w:rtl/>
          <w:lang w:bidi="ar-DZ"/>
        </w:rPr>
        <w:t>1</w:t>
      </w:r>
      <w:r>
        <w:rPr>
          <w:rStyle w:val="Appelnotedebasdep"/>
          <w:rFonts w:asciiTheme="majorBidi" w:hAnsiTheme="majorBidi" w:cstheme="majorBidi"/>
          <w:sz w:val="22"/>
        </w:rPr>
        <w:t xml:space="preserve"> (</w:t>
      </w:r>
      <w:r>
        <w:rPr>
          <w:rFonts w:asciiTheme="majorBidi" w:hAnsiTheme="majorBidi" w:cstheme="majorBidi"/>
          <w:sz w:val="22"/>
          <w:rtl/>
          <w:lang w:bidi="ar-DZ"/>
        </w:rPr>
        <w:t xml:space="preserve"> </w:t>
      </w:r>
      <w:r>
        <w:rPr>
          <w:rFonts w:asciiTheme="majorBidi" w:hAnsiTheme="majorBidi" w:cstheme="majorBidi" w:hint="cs"/>
          <w:sz w:val="22"/>
          <w:rtl/>
        </w:rPr>
        <w:t>عبد المنعم فرج الصده، مرجع سابق، ص25.</w:t>
      </w:r>
    </w:p>
  </w:footnote>
  <w:footnote w:id="24">
    <w:p w:rsidR="00304C81" w:rsidRDefault="00304C81" w:rsidP="00304C81">
      <w:pPr>
        <w:bidi/>
        <w:spacing w:after="0"/>
        <w:jc w:val="both"/>
        <w:rPr>
          <w:rFonts w:asciiTheme="majorBidi" w:hAnsiTheme="majorBidi" w:cstheme="majorBidi"/>
          <w:sz w:val="22"/>
          <w:rtl/>
        </w:rPr>
      </w:pPr>
      <w:r>
        <w:rPr>
          <w:rStyle w:val="Appelnotedebasdep"/>
          <w:rFonts w:asciiTheme="majorBidi" w:hAnsiTheme="majorBidi" w:cstheme="majorBidi"/>
          <w:sz w:val="22"/>
          <w:lang w:bidi="ar-DZ"/>
        </w:rPr>
        <w:t>)</w:t>
      </w:r>
      <w:r>
        <w:rPr>
          <w:rStyle w:val="Appelnotedebasdep"/>
          <w:rFonts w:asciiTheme="majorBidi" w:hAnsiTheme="majorBidi" w:cstheme="majorBidi" w:hint="cs"/>
          <w:sz w:val="22"/>
          <w:rtl/>
          <w:lang w:bidi="ar-DZ"/>
        </w:rPr>
        <w:t>2</w:t>
      </w:r>
      <w:r>
        <w:rPr>
          <w:rFonts w:asciiTheme="majorBidi" w:hAnsiTheme="majorBidi" w:cstheme="majorBidi" w:hint="cs"/>
          <w:sz w:val="22"/>
          <w:lang w:bidi="ar-DZ"/>
        </w:rPr>
        <w:t xml:space="preserve"> </w:t>
      </w:r>
      <w:r>
        <w:rPr>
          <w:rStyle w:val="Appelnotedebasdep"/>
          <w:rFonts w:asciiTheme="majorBidi" w:hAnsiTheme="majorBidi" w:cstheme="majorBidi"/>
          <w:sz w:val="22"/>
          <w:lang w:bidi="ar-DZ"/>
        </w:rPr>
        <w:t>(</w:t>
      </w:r>
      <w:r>
        <w:rPr>
          <w:rFonts w:asciiTheme="majorBidi" w:hAnsiTheme="majorBidi" w:cstheme="majorBidi" w:hint="cs"/>
          <w:sz w:val="22"/>
          <w:rtl/>
        </w:rPr>
        <w:t>ويلاحظ أن الإثبات هنا يتناول مسائل موضوعية لا رقابة لمحكمة النقض عليها راجع عبد الرزاق السنهوري، مرجع سابق، ص68.</w:t>
      </w:r>
    </w:p>
  </w:footnote>
  <w:footnote w:id="25">
    <w:p w:rsidR="00304C81" w:rsidRDefault="00304C81" w:rsidP="00304C81">
      <w:pPr>
        <w:bidi/>
        <w:spacing w:after="0"/>
        <w:jc w:val="both"/>
        <w:rPr>
          <w:rFonts w:asciiTheme="majorBidi" w:hAnsiTheme="majorBidi" w:cstheme="majorBidi"/>
          <w:sz w:val="22"/>
          <w:rtl/>
          <w:lang w:bidi="ar-DZ"/>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3</w:t>
      </w:r>
      <w:r>
        <w:rPr>
          <w:rFonts w:asciiTheme="majorBidi" w:hAnsiTheme="majorBidi" w:cstheme="majorBidi" w:hint="cs"/>
          <w:sz w:val="22"/>
          <w:lang w:bidi="ar-DZ"/>
        </w:rPr>
        <w:t xml:space="preserve"> </w:t>
      </w:r>
      <w:r>
        <w:rPr>
          <w:rStyle w:val="Appelnotedebasdep"/>
          <w:rFonts w:asciiTheme="majorBidi" w:hAnsiTheme="majorBidi" w:cstheme="majorBidi"/>
          <w:sz w:val="22"/>
        </w:rPr>
        <w:t xml:space="preserve"> (</w:t>
      </w:r>
      <w:r>
        <w:rPr>
          <w:rFonts w:asciiTheme="majorBidi" w:hAnsiTheme="majorBidi" w:cstheme="majorBidi" w:hint="cs"/>
          <w:sz w:val="22"/>
          <w:rtl/>
        </w:rPr>
        <w:t>محمود جمال الدين زكي، مرجع سابق، ص107.</w:t>
      </w:r>
    </w:p>
  </w:footnote>
  <w:footnote w:id="26">
    <w:p w:rsidR="00304C81" w:rsidRDefault="00304C81" w:rsidP="00304C81">
      <w:pPr>
        <w:bidi/>
        <w:spacing w:after="0"/>
        <w:jc w:val="both"/>
        <w:rPr>
          <w:rFonts w:asciiTheme="majorBidi" w:hAnsiTheme="majorBidi" w:cstheme="majorBidi"/>
          <w:sz w:val="22"/>
          <w:rtl/>
          <w:lang w:bidi="ar-DZ"/>
        </w:rPr>
      </w:pPr>
      <w:r>
        <w:rPr>
          <w:rStyle w:val="Appelnotedebasdep"/>
          <w:rFonts w:asciiTheme="majorBidi" w:hAnsiTheme="majorBidi" w:cstheme="majorBidi"/>
          <w:sz w:val="22"/>
          <w:lang w:bidi="ar-DZ"/>
        </w:rPr>
        <w:t>)</w:t>
      </w:r>
      <w:r>
        <w:rPr>
          <w:rStyle w:val="Appelnotedebasdep"/>
          <w:rFonts w:asciiTheme="majorBidi" w:hAnsiTheme="majorBidi" w:cstheme="majorBidi" w:hint="cs"/>
          <w:sz w:val="22"/>
          <w:rtl/>
          <w:lang w:bidi="ar-DZ"/>
        </w:rPr>
        <w:t>1</w:t>
      </w:r>
      <w:r>
        <w:rPr>
          <w:rStyle w:val="Appelnotedebasdep"/>
          <w:rFonts w:asciiTheme="majorBidi" w:hAnsiTheme="majorBidi" w:cstheme="majorBidi"/>
          <w:sz w:val="22"/>
          <w:lang w:bidi="ar-DZ"/>
        </w:rPr>
        <w:t xml:space="preserve"> (</w:t>
      </w:r>
      <w:r>
        <w:rPr>
          <w:rFonts w:asciiTheme="majorBidi" w:hAnsiTheme="majorBidi" w:cstheme="majorBidi" w:hint="cs"/>
          <w:sz w:val="22"/>
          <w:rtl/>
        </w:rPr>
        <w:t>سليمان مرقس، مرجع سابق، ص26.</w:t>
      </w:r>
    </w:p>
  </w:footnote>
  <w:footnote w:id="27">
    <w:p w:rsidR="00304C81" w:rsidRDefault="00304C81" w:rsidP="00304C81">
      <w:pPr>
        <w:bidi/>
        <w:spacing w:after="0"/>
        <w:jc w:val="both"/>
        <w:rPr>
          <w:rFonts w:asciiTheme="majorBidi" w:hAnsiTheme="majorBidi" w:cstheme="majorBidi"/>
          <w:sz w:val="22"/>
          <w:rtl/>
          <w:lang w:bidi="ar-DZ"/>
        </w:rPr>
      </w:pPr>
      <w:r>
        <w:rPr>
          <w:rStyle w:val="Appelnotedebasdep"/>
          <w:rFonts w:asciiTheme="majorBidi" w:hAnsiTheme="majorBidi" w:cstheme="majorBidi"/>
          <w:sz w:val="22"/>
          <w:lang w:bidi="ar-DZ"/>
        </w:rPr>
        <w:t>)</w:t>
      </w:r>
      <w:r>
        <w:rPr>
          <w:rStyle w:val="Appelnotedebasdep"/>
          <w:rFonts w:asciiTheme="majorBidi" w:hAnsiTheme="majorBidi" w:cstheme="majorBidi" w:hint="cs"/>
          <w:sz w:val="22"/>
          <w:rtl/>
          <w:lang w:bidi="ar-DZ"/>
        </w:rPr>
        <w:t>2</w:t>
      </w:r>
      <w:r>
        <w:rPr>
          <w:rStyle w:val="Appelnotedebasdep"/>
          <w:rFonts w:asciiTheme="majorBidi" w:hAnsiTheme="majorBidi" w:cstheme="majorBidi"/>
          <w:sz w:val="22"/>
          <w:lang w:bidi="ar-DZ"/>
        </w:rPr>
        <w:t xml:space="preserve"> (</w:t>
      </w:r>
      <w:r>
        <w:rPr>
          <w:rFonts w:asciiTheme="majorBidi" w:hAnsiTheme="majorBidi" w:cstheme="majorBidi" w:hint="cs"/>
          <w:sz w:val="22"/>
          <w:rtl/>
        </w:rPr>
        <w:t>سليمان مرقس، نفس المرجع، ص76.</w:t>
      </w:r>
    </w:p>
  </w:footnote>
  <w:footnote w:id="28">
    <w:p w:rsidR="00304C81" w:rsidRDefault="00304C81" w:rsidP="00304C81">
      <w:pPr>
        <w:bidi/>
        <w:spacing w:after="0"/>
        <w:jc w:val="both"/>
        <w:rPr>
          <w:rFonts w:asciiTheme="majorBidi" w:hAnsiTheme="majorBidi" w:cstheme="majorBidi"/>
          <w:sz w:val="22"/>
          <w:rtl/>
          <w:lang w:bidi="ar-DZ"/>
        </w:rPr>
      </w:pPr>
      <w:r>
        <w:rPr>
          <w:rStyle w:val="Appelnotedebasdep"/>
          <w:rFonts w:asciiTheme="majorBidi" w:hAnsiTheme="majorBidi" w:cstheme="majorBidi"/>
          <w:sz w:val="22"/>
          <w:lang w:bidi="ar-DZ"/>
        </w:rPr>
        <w:t>)</w:t>
      </w:r>
      <w:r>
        <w:rPr>
          <w:rStyle w:val="Appelnotedebasdep"/>
          <w:rFonts w:asciiTheme="majorBidi" w:hAnsiTheme="majorBidi" w:cstheme="majorBidi" w:hint="cs"/>
          <w:sz w:val="22"/>
          <w:rtl/>
          <w:lang w:bidi="ar-DZ"/>
        </w:rPr>
        <w:t>3</w:t>
      </w:r>
      <w:r>
        <w:rPr>
          <w:rStyle w:val="Appelnotedebasdep"/>
          <w:rFonts w:asciiTheme="majorBidi" w:hAnsiTheme="majorBidi" w:cstheme="majorBidi"/>
          <w:sz w:val="22"/>
          <w:lang w:bidi="ar-DZ"/>
        </w:rPr>
        <w:t xml:space="preserve"> (</w:t>
      </w:r>
      <w:r>
        <w:rPr>
          <w:rFonts w:asciiTheme="majorBidi" w:hAnsiTheme="majorBidi" w:cstheme="majorBidi" w:hint="cs"/>
          <w:sz w:val="22"/>
          <w:rtl/>
        </w:rPr>
        <w:t>سمير عبد السيد تناغو، مرجع سابق، ص56</w:t>
      </w:r>
      <w:r>
        <w:rPr>
          <w:rStyle w:val="Appelnotedebasdep"/>
          <w:rFonts w:asciiTheme="majorBidi" w:hAnsiTheme="majorBidi" w:cstheme="majorBidi" w:hint="cs"/>
          <w:sz w:val="22"/>
        </w:rPr>
        <w:t xml:space="preserve"> </w:t>
      </w:r>
      <w:r>
        <w:rPr>
          <w:rFonts w:asciiTheme="majorBidi" w:hAnsiTheme="majorBidi" w:cstheme="majorBidi" w:hint="cs"/>
          <w:sz w:val="22"/>
          <w:rtl/>
          <w:lang w:bidi="ar-DZ"/>
        </w:rPr>
        <w:t>.</w:t>
      </w:r>
    </w:p>
  </w:footnote>
  <w:footnote w:id="29">
    <w:p w:rsidR="00304C81" w:rsidRDefault="00304C81" w:rsidP="00304C81">
      <w:pPr>
        <w:bidi/>
        <w:spacing w:after="0"/>
        <w:jc w:val="both"/>
        <w:rPr>
          <w:rStyle w:val="Appelnotedebasdep"/>
          <w:rFonts w:asciiTheme="majorBidi" w:hAnsiTheme="majorBidi" w:cstheme="majorBidi"/>
          <w:sz w:val="22"/>
          <w:rtl/>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4</w:t>
      </w:r>
      <w:r>
        <w:rPr>
          <w:rStyle w:val="Appelnotedebasdep"/>
          <w:rFonts w:asciiTheme="majorBidi" w:hAnsiTheme="majorBidi" w:cstheme="majorBidi"/>
          <w:sz w:val="22"/>
        </w:rPr>
        <w:t xml:space="preserve"> (</w:t>
      </w:r>
      <w:r>
        <w:rPr>
          <w:rFonts w:asciiTheme="majorBidi" w:hAnsiTheme="majorBidi" w:cstheme="majorBidi" w:hint="cs"/>
          <w:sz w:val="22"/>
          <w:rtl/>
        </w:rPr>
        <w:t xml:space="preserve">أحمد نشأت، مرجع سابق، ص39. </w:t>
      </w:r>
    </w:p>
  </w:footnote>
  <w:footnote w:id="30">
    <w:p w:rsidR="00304C81" w:rsidRDefault="00304C81" w:rsidP="00304C81">
      <w:pPr>
        <w:bidi/>
        <w:spacing w:after="0"/>
        <w:jc w:val="both"/>
        <w:rPr>
          <w:rtl/>
          <w:lang w:bidi="ar-DZ"/>
        </w:rPr>
      </w:pPr>
      <w:r>
        <w:rPr>
          <w:rStyle w:val="Appelnotedebasdep"/>
          <w:rFonts w:asciiTheme="majorBidi" w:hAnsiTheme="majorBidi" w:cstheme="majorBidi"/>
          <w:sz w:val="22"/>
          <w:lang w:bidi="ar-DZ"/>
        </w:rPr>
        <w:t>)</w:t>
      </w:r>
      <w:r>
        <w:rPr>
          <w:rStyle w:val="Appelnotedebasdep"/>
          <w:rFonts w:asciiTheme="majorBidi" w:hAnsiTheme="majorBidi" w:cstheme="majorBidi" w:hint="cs"/>
          <w:sz w:val="22"/>
          <w:rtl/>
          <w:lang w:bidi="ar-DZ"/>
        </w:rPr>
        <w:t>5</w:t>
      </w:r>
      <w:r>
        <w:rPr>
          <w:rStyle w:val="Appelnotedebasdep"/>
          <w:rFonts w:asciiTheme="majorBidi" w:hAnsiTheme="majorBidi" w:cstheme="majorBidi"/>
          <w:sz w:val="22"/>
          <w:lang w:bidi="ar-DZ"/>
        </w:rPr>
        <w:t xml:space="preserve"> (</w:t>
      </w:r>
      <w:r>
        <w:rPr>
          <w:rFonts w:asciiTheme="majorBidi" w:hAnsiTheme="majorBidi" w:cstheme="majorBidi" w:hint="cs"/>
          <w:sz w:val="22"/>
          <w:rtl/>
        </w:rPr>
        <w:t>سمير عبد السيد تناغو، مرجع سابق، ص57</w:t>
      </w:r>
      <w:r>
        <w:rPr>
          <w:rStyle w:val="Appelnotedebasdep"/>
          <w:rFonts w:asciiTheme="majorBidi" w:hAnsiTheme="majorBidi" w:cstheme="majorBidi" w:hint="cs"/>
          <w:sz w:val="22"/>
        </w:rPr>
        <w:t xml:space="preserve"> </w:t>
      </w:r>
      <w:r>
        <w:rPr>
          <w:rFonts w:asciiTheme="majorBidi" w:hAnsiTheme="majorBidi" w:cstheme="majorBidi" w:hint="cs"/>
          <w:sz w:val="22"/>
          <w:rtl/>
          <w:lang w:bidi="ar-DZ"/>
        </w:rPr>
        <w:t>.</w:t>
      </w:r>
    </w:p>
    <w:p w:rsidR="00304C81" w:rsidRDefault="00304C81" w:rsidP="00304C81">
      <w:pPr>
        <w:bidi/>
        <w:spacing w:after="0"/>
        <w:jc w:val="both"/>
        <w:rPr>
          <w:rFonts w:asciiTheme="majorBidi" w:hAnsiTheme="majorBidi" w:cstheme="majorBidi"/>
          <w:sz w:val="22"/>
          <w:rtl/>
          <w:lang w:bidi="ar-DZ"/>
        </w:rPr>
      </w:pPr>
    </w:p>
  </w:footnote>
  <w:footnote w:id="31">
    <w:p w:rsidR="00304C81" w:rsidRDefault="00304C81" w:rsidP="00304C81">
      <w:pPr>
        <w:bidi/>
        <w:spacing w:after="0"/>
        <w:jc w:val="both"/>
        <w:rPr>
          <w:rFonts w:asciiTheme="majorBidi" w:hAnsiTheme="majorBidi" w:cstheme="majorBidi"/>
          <w:sz w:val="22"/>
          <w:rtl/>
          <w:lang w:bidi="ar-DZ"/>
        </w:rPr>
      </w:pPr>
      <w:r>
        <w:rPr>
          <w:rStyle w:val="Appelnotedebasdep"/>
          <w:rFonts w:asciiTheme="majorBidi" w:hAnsiTheme="majorBidi" w:cstheme="majorBidi"/>
          <w:sz w:val="22"/>
          <w:lang w:bidi="ar-DZ"/>
        </w:rPr>
        <w:t>)</w:t>
      </w:r>
      <w:r>
        <w:rPr>
          <w:rStyle w:val="Appelnotedebasdep"/>
          <w:rFonts w:asciiTheme="majorBidi" w:hAnsiTheme="majorBidi" w:cstheme="majorBidi" w:hint="cs"/>
          <w:sz w:val="22"/>
          <w:rtl/>
          <w:lang w:bidi="ar-DZ"/>
        </w:rPr>
        <w:t>1</w:t>
      </w:r>
      <w:r>
        <w:rPr>
          <w:rStyle w:val="Appelnotedebasdep"/>
          <w:rFonts w:asciiTheme="majorBidi" w:hAnsiTheme="majorBidi" w:cstheme="majorBidi"/>
          <w:sz w:val="22"/>
          <w:lang w:bidi="ar-DZ"/>
        </w:rPr>
        <w:t xml:space="preserve"> (</w:t>
      </w:r>
      <w:r>
        <w:rPr>
          <w:rFonts w:asciiTheme="majorBidi" w:hAnsiTheme="majorBidi" w:cstheme="majorBidi" w:hint="cs"/>
          <w:sz w:val="22"/>
          <w:rtl/>
        </w:rPr>
        <w:t>سليمان مرقس، مرجع سابق، ص63.</w:t>
      </w:r>
    </w:p>
  </w:footnote>
  <w:footnote w:id="32">
    <w:p w:rsidR="00304C81" w:rsidRDefault="00304C81" w:rsidP="00304C81">
      <w:pPr>
        <w:bidi/>
        <w:spacing w:after="0"/>
        <w:jc w:val="both"/>
        <w:rPr>
          <w:rFonts w:asciiTheme="majorBidi" w:hAnsiTheme="majorBidi" w:cstheme="majorBidi"/>
          <w:sz w:val="22"/>
          <w:rtl/>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2</w:t>
      </w:r>
      <w:r>
        <w:rPr>
          <w:rStyle w:val="Appelnotedebasdep"/>
          <w:rFonts w:asciiTheme="majorBidi" w:hAnsiTheme="majorBidi" w:cstheme="majorBidi"/>
          <w:sz w:val="22"/>
        </w:rPr>
        <w:t>(</w:t>
      </w:r>
      <w:r>
        <w:rPr>
          <w:rFonts w:asciiTheme="majorBidi" w:hAnsiTheme="majorBidi" w:cstheme="majorBidi" w:hint="cs"/>
          <w:sz w:val="22"/>
          <w:rtl/>
        </w:rPr>
        <w:t xml:space="preserve"> عبد الرزاق السنهوري، مرجع سابق، ص58.</w:t>
      </w:r>
    </w:p>
    <w:p w:rsidR="00304C81" w:rsidRDefault="00304C81" w:rsidP="00304C81">
      <w:pPr>
        <w:bidi/>
        <w:spacing w:after="0"/>
        <w:jc w:val="both"/>
        <w:rPr>
          <w:rFonts w:asciiTheme="majorBidi" w:hAnsiTheme="majorBidi" w:cstheme="majorBidi"/>
          <w:sz w:val="22"/>
          <w:rtl/>
        </w:rPr>
      </w:pPr>
    </w:p>
  </w:footnote>
  <w:footnote w:id="33">
    <w:p w:rsidR="00304C81" w:rsidRDefault="00304C81" w:rsidP="00304C81">
      <w:pPr>
        <w:bidi/>
        <w:spacing w:after="0"/>
        <w:jc w:val="both"/>
        <w:rPr>
          <w:rStyle w:val="Appelnotedebasdep"/>
          <w:rFonts w:asciiTheme="majorBidi" w:hAnsiTheme="majorBidi" w:cstheme="majorBidi"/>
          <w:sz w:val="22"/>
          <w:rtl/>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1</w:t>
      </w:r>
      <w:r>
        <w:rPr>
          <w:rStyle w:val="Appelnotedebasdep"/>
          <w:rFonts w:asciiTheme="majorBidi" w:hAnsiTheme="majorBidi" w:cstheme="majorBidi"/>
          <w:sz w:val="22"/>
        </w:rPr>
        <w:t>(</w:t>
      </w:r>
      <w:r>
        <w:rPr>
          <w:rFonts w:asciiTheme="majorBidi" w:hAnsiTheme="majorBidi" w:cstheme="majorBidi" w:hint="cs"/>
          <w:sz w:val="22"/>
          <w:rtl/>
        </w:rPr>
        <w:t xml:space="preserve"> جميل الشرقاوي، مرجع سابق، ص15-16.</w:t>
      </w:r>
    </w:p>
  </w:footnote>
  <w:footnote w:id="34">
    <w:p w:rsidR="00304C81" w:rsidRDefault="00304C81" w:rsidP="00304C81">
      <w:pPr>
        <w:bidi/>
        <w:spacing w:after="0"/>
        <w:jc w:val="both"/>
        <w:rPr>
          <w:rtl/>
          <w:lang w:bidi="ar-DZ"/>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2</w:t>
      </w:r>
      <w:r>
        <w:rPr>
          <w:rFonts w:asciiTheme="majorBidi" w:hAnsiTheme="majorBidi" w:cstheme="majorBidi" w:hint="cs"/>
          <w:sz w:val="22"/>
          <w:lang w:bidi="ar-DZ"/>
        </w:rPr>
        <w:t xml:space="preserve"> </w:t>
      </w:r>
      <w:r>
        <w:rPr>
          <w:rStyle w:val="Appelnotedebasdep"/>
          <w:rFonts w:asciiTheme="majorBidi" w:hAnsiTheme="majorBidi" w:cstheme="majorBidi"/>
          <w:sz w:val="22"/>
        </w:rPr>
        <w:t>(</w:t>
      </w:r>
      <w:r>
        <w:rPr>
          <w:rFonts w:asciiTheme="majorBidi" w:hAnsiTheme="majorBidi" w:cstheme="majorBidi" w:hint="cs"/>
          <w:sz w:val="22"/>
          <w:rtl/>
        </w:rPr>
        <w:t>سمير عبد السيد تناغو، مرجع سابق، ص64.</w:t>
      </w:r>
      <w:r>
        <w:rPr>
          <w:rStyle w:val="Appelnotedebasdep"/>
          <w:rFonts w:asciiTheme="majorBidi" w:hAnsiTheme="majorBidi" w:cstheme="majorBidi" w:hint="cs"/>
          <w:sz w:val="22"/>
        </w:rPr>
        <w:t xml:space="preserve"> </w:t>
      </w:r>
    </w:p>
  </w:footnote>
  <w:footnote w:id="35">
    <w:p w:rsidR="00304C81" w:rsidRDefault="00304C81" w:rsidP="00304C81">
      <w:pPr>
        <w:bidi/>
        <w:spacing w:after="0"/>
        <w:jc w:val="both"/>
        <w:rPr>
          <w:rFonts w:asciiTheme="majorBidi" w:hAnsiTheme="majorBidi" w:cstheme="majorBidi"/>
          <w:sz w:val="22"/>
          <w:rtl/>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3</w:t>
      </w:r>
      <w:r>
        <w:rPr>
          <w:rStyle w:val="Appelnotedebasdep"/>
          <w:rFonts w:asciiTheme="majorBidi" w:hAnsiTheme="majorBidi" w:cstheme="majorBidi"/>
          <w:sz w:val="22"/>
        </w:rPr>
        <w:t xml:space="preserve"> (</w:t>
      </w:r>
      <w:r>
        <w:rPr>
          <w:rFonts w:asciiTheme="majorBidi" w:hAnsiTheme="majorBidi" w:cstheme="majorBidi" w:hint="cs"/>
          <w:sz w:val="22"/>
          <w:rtl/>
        </w:rPr>
        <w:t>عبد الرزاق السنهوري، مرجع سابق، ص60.</w:t>
      </w:r>
    </w:p>
  </w:footnote>
  <w:footnote w:id="36">
    <w:p w:rsidR="00304C81" w:rsidRDefault="00304C81" w:rsidP="00304C81">
      <w:pPr>
        <w:bidi/>
        <w:spacing w:after="0"/>
        <w:jc w:val="both"/>
        <w:rPr>
          <w:rStyle w:val="Appelnotedebasdep"/>
          <w:rFonts w:asciiTheme="majorBidi" w:hAnsiTheme="majorBidi" w:cstheme="majorBidi"/>
          <w:sz w:val="22"/>
          <w:rtl/>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4</w:t>
      </w:r>
      <w:r>
        <w:rPr>
          <w:rStyle w:val="Appelnotedebasdep"/>
          <w:rFonts w:asciiTheme="majorBidi" w:hAnsiTheme="majorBidi" w:cstheme="majorBidi"/>
          <w:sz w:val="22"/>
        </w:rPr>
        <w:t xml:space="preserve"> (</w:t>
      </w:r>
      <w:r>
        <w:rPr>
          <w:rFonts w:asciiTheme="majorBidi" w:hAnsiTheme="majorBidi" w:cstheme="majorBidi" w:hint="cs"/>
          <w:sz w:val="22"/>
          <w:rtl/>
        </w:rPr>
        <w:t>عبد الرزاق السنهوري</w:t>
      </w:r>
      <w:r>
        <w:rPr>
          <w:rStyle w:val="Appelnotedebasdep"/>
          <w:rFonts w:asciiTheme="majorBidi" w:hAnsiTheme="majorBidi" w:cstheme="majorBidi" w:hint="cs"/>
          <w:sz w:val="22"/>
        </w:rPr>
        <w:t xml:space="preserve"> </w:t>
      </w:r>
      <w:r>
        <w:rPr>
          <w:rFonts w:asciiTheme="majorBidi" w:hAnsiTheme="majorBidi" w:cstheme="majorBidi" w:hint="cs"/>
          <w:sz w:val="22"/>
          <w:rtl/>
        </w:rPr>
        <w:t>، نفس المرجع، ص60-61.</w:t>
      </w:r>
    </w:p>
  </w:footnote>
  <w:footnote w:id="37">
    <w:p w:rsidR="00304C81" w:rsidRDefault="00304C81" w:rsidP="00304C81">
      <w:pPr>
        <w:bidi/>
        <w:spacing w:after="0"/>
        <w:jc w:val="both"/>
        <w:rPr>
          <w:rtl/>
        </w:rPr>
      </w:pPr>
      <w:r>
        <w:rPr>
          <w:rStyle w:val="Appelnotedebasdep"/>
          <w:rFonts w:asciiTheme="majorBidi" w:hAnsiTheme="majorBidi" w:cstheme="majorBidi"/>
          <w:sz w:val="22"/>
          <w:lang w:bidi="ar-DZ"/>
        </w:rPr>
        <w:t>)</w:t>
      </w:r>
      <w:r>
        <w:rPr>
          <w:rFonts w:asciiTheme="majorBidi" w:hAnsiTheme="majorBidi" w:cstheme="majorBidi" w:hint="cs"/>
          <w:sz w:val="22"/>
          <w:vertAlign w:val="superscript"/>
          <w:rtl/>
          <w:lang w:bidi="ar-DZ"/>
        </w:rPr>
        <w:t>5</w:t>
      </w:r>
      <w:r>
        <w:rPr>
          <w:rStyle w:val="Appelnotedebasdep"/>
          <w:rFonts w:asciiTheme="majorBidi" w:hAnsiTheme="majorBidi" w:cstheme="majorBidi"/>
          <w:sz w:val="22"/>
        </w:rPr>
        <w:t xml:space="preserve"> (</w:t>
      </w:r>
      <w:r>
        <w:rPr>
          <w:rFonts w:asciiTheme="majorBidi" w:hAnsiTheme="majorBidi" w:cstheme="majorBidi" w:hint="cs"/>
          <w:sz w:val="22"/>
          <w:rtl/>
        </w:rPr>
        <w:t>عبد المنعم فرج الصده، مرجع سابق، ص34.</w:t>
      </w:r>
    </w:p>
  </w:footnote>
  <w:footnote w:id="38">
    <w:p w:rsidR="00304C81" w:rsidRDefault="00304C81" w:rsidP="00304C81">
      <w:pPr>
        <w:bidi/>
        <w:spacing w:after="0"/>
        <w:jc w:val="both"/>
        <w:rPr>
          <w:rFonts w:asciiTheme="majorBidi" w:hAnsiTheme="majorBidi" w:cstheme="majorBidi"/>
          <w:sz w:val="22"/>
          <w:rtl/>
        </w:rPr>
      </w:pPr>
      <w:r>
        <w:rPr>
          <w:rStyle w:val="Appelnotedebasdep"/>
          <w:rFonts w:asciiTheme="majorBidi" w:hAnsiTheme="majorBidi" w:cstheme="majorBidi"/>
          <w:sz w:val="22"/>
        </w:rPr>
        <w:t>(6)</w:t>
      </w:r>
      <w:r>
        <w:rPr>
          <w:rFonts w:asciiTheme="majorBidi" w:hAnsiTheme="majorBidi" w:cstheme="majorBidi"/>
          <w:sz w:val="22"/>
          <w:rtl/>
          <w:lang w:bidi="ar-DZ"/>
        </w:rPr>
        <w:t xml:space="preserve"> </w:t>
      </w:r>
      <w:r>
        <w:rPr>
          <w:rFonts w:asciiTheme="majorBidi" w:hAnsiTheme="majorBidi" w:cstheme="majorBidi" w:hint="cs"/>
          <w:sz w:val="22"/>
          <w:rtl/>
        </w:rPr>
        <w:t xml:space="preserve">رمضان أبو السعود ، مبادئ الإثبات في المواد المدنية والتجارية، دار الجامعة الجديدة، 2007، ص117.  </w:t>
      </w:r>
    </w:p>
    <w:p w:rsidR="00FA4B5E" w:rsidRDefault="00FA4B5E" w:rsidP="00FA4B5E">
      <w:pPr>
        <w:bidi/>
        <w:spacing w:after="0"/>
        <w:jc w:val="both"/>
        <w:rPr>
          <w:rFonts w:asciiTheme="majorBidi" w:hAnsiTheme="majorBidi" w:cstheme="majorBidi"/>
          <w:sz w:val="22"/>
          <w:rtl/>
        </w:rPr>
      </w:pPr>
    </w:p>
    <w:p w:rsidR="00304C81" w:rsidRDefault="00304C81" w:rsidP="00304C81">
      <w:pPr>
        <w:bidi/>
        <w:spacing w:after="0"/>
        <w:jc w:val="both"/>
        <w:rPr>
          <w:rStyle w:val="Appelnotedebasdep"/>
          <w:rFonts w:asciiTheme="majorBidi" w:hAnsiTheme="majorBidi" w:cstheme="majorBidi"/>
          <w:sz w:val="22"/>
          <w:vertAlign w:val="baseline"/>
          <w:rtl/>
        </w:rPr>
      </w:pPr>
    </w:p>
  </w:footnote>
  <w:footnote w:id="39">
    <w:p w:rsidR="00304C81" w:rsidRDefault="00304C81" w:rsidP="00304C81">
      <w:pPr>
        <w:bidi/>
        <w:spacing w:after="0"/>
        <w:jc w:val="both"/>
        <w:rPr>
          <w:rtl/>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1</w:t>
      </w:r>
      <w:r>
        <w:rPr>
          <w:rStyle w:val="Appelnotedebasdep"/>
          <w:rFonts w:asciiTheme="majorBidi" w:hAnsiTheme="majorBidi" w:cstheme="majorBidi"/>
          <w:sz w:val="22"/>
        </w:rPr>
        <w:t xml:space="preserve"> (</w:t>
      </w:r>
      <w:r>
        <w:rPr>
          <w:rFonts w:asciiTheme="majorBidi" w:hAnsiTheme="majorBidi" w:cstheme="majorBidi" w:hint="cs"/>
          <w:sz w:val="22"/>
          <w:rtl/>
        </w:rPr>
        <w:t>أدم وهيب الندوي، الموجز في قانون الإثبات، بيت الحكمة جامعة بغداد، ط 1990، ص45.</w:t>
      </w:r>
    </w:p>
  </w:footnote>
  <w:footnote w:id="40">
    <w:p w:rsidR="00304C81" w:rsidRDefault="00304C81" w:rsidP="00304C81">
      <w:pPr>
        <w:bidi/>
        <w:spacing w:after="0"/>
        <w:jc w:val="both"/>
        <w:rPr>
          <w:rFonts w:asciiTheme="majorBidi" w:hAnsiTheme="majorBidi" w:cstheme="majorBidi"/>
          <w:sz w:val="22"/>
          <w:rtl/>
          <w:lang w:bidi="ar-DZ"/>
        </w:rPr>
      </w:pPr>
      <w:r>
        <w:rPr>
          <w:rStyle w:val="Appelnotedebasdep"/>
          <w:rFonts w:asciiTheme="majorBidi" w:hAnsiTheme="majorBidi" w:cstheme="majorBidi"/>
          <w:sz w:val="22"/>
          <w:lang w:bidi="ar-DZ"/>
        </w:rPr>
        <w:t>)</w:t>
      </w:r>
      <w:r>
        <w:rPr>
          <w:rStyle w:val="Appelnotedebasdep"/>
          <w:rFonts w:asciiTheme="majorBidi" w:hAnsiTheme="majorBidi" w:cstheme="majorBidi" w:hint="cs"/>
          <w:sz w:val="22"/>
          <w:rtl/>
          <w:lang w:bidi="ar-DZ"/>
        </w:rPr>
        <w:t>2</w:t>
      </w:r>
      <w:r>
        <w:rPr>
          <w:rStyle w:val="Appelnotedebasdep"/>
          <w:rFonts w:asciiTheme="majorBidi" w:hAnsiTheme="majorBidi" w:cstheme="majorBidi"/>
          <w:sz w:val="22"/>
          <w:lang w:bidi="ar-DZ"/>
        </w:rPr>
        <w:t xml:space="preserve"> (</w:t>
      </w:r>
      <w:r>
        <w:rPr>
          <w:rFonts w:asciiTheme="majorBidi" w:hAnsiTheme="majorBidi" w:cstheme="majorBidi"/>
          <w:sz w:val="22"/>
          <w:rtl/>
          <w:lang w:bidi="ar-DZ"/>
        </w:rPr>
        <w:t xml:space="preserve"> </w:t>
      </w:r>
      <w:r>
        <w:rPr>
          <w:rFonts w:asciiTheme="majorBidi" w:hAnsiTheme="majorBidi" w:cstheme="majorBidi" w:hint="cs"/>
          <w:sz w:val="22"/>
          <w:rtl/>
        </w:rPr>
        <w:t>سليمان مرقس، مرجع سابق، ص71.</w:t>
      </w:r>
    </w:p>
  </w:footnote>
  <w:footnote w:id="41">
    <w:p w:rsidR="00304C81" w:rsidRDefault="00304C81" w:rsidP="00304C81">
      <w:pPr>
        <w:bidi/>
        <w:spacing w:after="0"/>
        <w:jc w:val="both"/>
        <w:rPr>
          <w:rFonts w:asciiTheme="majorBidi" w:hAnsiTheme="majorBidi" w:cstheme="majorBidi"/>
          <w:sz w:val="22"/>
          <w:rtl/>
        </w:rPr>
      </w:pPr>
      <w:r>
        <w:rPr>
          <w:rStyle w:val="Appelnotedebasdep"/>
          <w:rFonts w:asciiTheme="majorBidi" w:hAnsiTheme="majorBidi" w:cstheme="majorBidi"/>
          <w:sz w:val="22"/>
          <w:lang w:bidi="ar-DZ"/>
        </w:rPr>
        <w:t>)</w:t>
      </w:r>
      <w:r>
        <w:rPr>
          <w:rStyle w:val="Appelnotedebasdep"/>
          <w:rFonts w:asciiTheme="majorBidi" w:hAnsiTheme="majorBidi" w:cstheme="majorBidi" w:hint="cs"/>
          <w:sz w:val="22"/>
          <w:rtl/>
          <w:lang w:bidi="ar-DZ"/>
        </w:rPr>
        <w:t>3</w:t>
      </w:r>
      <w:r>
        <w:rPr>
          <w:rFonts w:asciiTheme="majorBidi" w:hAnsiTheme="majorBidi" w:cstheme="majorBidi" w:hint="cs"/>
          <w:sz w:val="22"/>
          <w:lang w:bidi="ar-DZ"/>
        </w:rPr>
        <w:t xml:space="preserve"> </w:t>
      </w:r>
      <w:r>
        <w:rPr>
          <w:rStyle w:val="Appelnotedebasdep"/>
          <w:rFonts w:asciiTheme="majorBidi" w:hAnsiTheme="majorBidi" w:cstheme="majorBidi"/>
          <w:sz w:val="22"/>
          <w:lang w:bidi="ar-DZ"/>
        </w:rPr>
        <w:t>(</w:t>
      </w:r>
      <w:r>
        <w:rPr>
          <w:rFonts w:asciiTheme="majorBidi" w:hAnsiTheme="majorBidi" w:cstheme="majorBidi" w:hint="cs"/>
          <w:sz w:val="22"/>
          <w:rtl/>
        </w:rPr>
        <w:t>عبد العزيز المرسي، مرجع سابق، ص66.</w:t>
      </w:r>
    </w:p>
    <w:p w:rsidR="00FA4B5E" w:rsidRDefault="00FA4B5E" w:rsidP="00FA4B5E">
      <w:pPr>
        <w:bidi/>
        <w:spacing w:after="0"/>
        <w:jc w:val="both"/>
        <w:rPr>
          <w:rFonts w:asciiTheme="majorBidi" w:hAnsiTheme="majorBidi" w:cstheme="majorBidi"/>
          <w:sz w:val="22"/>
          <w:rtl/>
        </w:rPr>
      </w:pPr>
    </w:p>
  </w:footnote>
  <w:footnote w:id="42">
    <w:p w:rsidR="00304C81" w:rsidRDefault="00304C81" w:rsidP="00304C81">
      <w:pPr>
        <w:bidi/>
        <w:spacing w:after="0"/>
        <w:jc w:val="both"/>
        <w:rPr>
          <w:rFonts w:asciiTheme="majorBidi" w:hAnsiTheme="majorBidi" w:cstheme="majorBidi"/>
          <w:sz w:val="22"/>
          <w:rtl/>
          <w:lang w:bidi="ar-DZ"/>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1</w:t>
      </w:r>
      <w:r>
        <w:rPr>
          <w:rStyle w:val="Appelnotedebasdep"/>
          <w:rFonts w:asciiTheme="majorBidi" w:hAnsiTheme="majorBidi" w:cstheme="majorBidi"/>
          <w:sz w:val="22"/>
        </w:rPr>
        <w:t xml:space="preserve"> (</w:t>
      </w:r>
      <w:r>
        <w:rPr>
          <w:rFonts w:asciiTheme="majorBidi" w:hAnsiTheme="majorBidi" w:cstheme="majorBidi" w:hint="cs"/>
          <w:sz w:val="22"/>
          <w:rtl/>
        </w:rPr>
        <w:t>محمود جمال الدين زكي، مرجع سابق، ص133.</w:t>
      </w:r>
    </w:p>
  </w:footnote>
  <w:footnote w:id="43">
    <w:p w:rsidR="00304C81" w:rsidRDefault="00304C81" w:rsidP="00304C81">
      <w:pPr>
        <w:bidi/>
        <w:spacing w:after="0"/>
        <w:jc w:val="both"/>
        <w:rPr>
          <w:rFonts w:asciiTheme="majorBidi" w:hAnsiTheme="majorBidi" w:cstheme="majorBidi"/>
          <w:sz w:val="22"/>
          <w:rtl/>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2</w:t>
      </w:r>
      <w:r>
        <w:rPr>
          <w:rFonts w:asciiTheme="majorBidi" w:hAnsiTheme="majorBidi" w:cstheme="majorBidi" w:hint="cs"/>
          <w:sz w:val="22"/>
          <w:vertAlign w:val="superscript"/>
          <w:rtl/>
        </w:rPr>
        <w:t>)</w:t>
      </w:r>
      <w:r>
        <w:rPr>
          <w:rStyle w:val="Appelnotedebasdep"/>
          <w:rFonts w:asciiTheme="majorBidi" w:hAnsiTheme="majorBidi" w:cstheme="majorBidi" w:hint="cs"/>
          <w:sz w:val="22"/>
          <w:rtl/>
        </w:rPr>
        <w:t xml:space="preserve"> </w:t>
      </w:r>
      <w:r>
        <w:rPr>
          <w:rFonts w:asciiTheme="majorBidi" w:hAnsiTheme="majorBidi" w:cstheme="majorBidi" w:hint="cs"/>
          <w:sz w:val="22"/>
          <w:rtl/>
        </w:rPr>
        <w:t>عابد فايد عبد الفتاح فايد، مرجع سابق، ص41.</w:t>
      </w:r>
    </w:p>
  </w:footnote>
  <w:footnote w:id="44">
    <w:p w:rsidR="00304C81" w:rsidRDefault="00304C81" w:rsidP="00304C81">
      <w:pPr>
        <w:bidi/>
        <w:spacing w:after="0"/>
        <w:jc w:val="both"/>
        <w:rPr>
          <w:rFonts w:asciiTheme="majorBidi" w:hAnsiTheme="majorBidi" w:cstheme="majorBidi"/>
          <w:sz w:val="22"/>
          <w:rtl/>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3</w:t>
      </w:r>
      <w:r>
        <w:rPr>
          <w:rStyle w:val="Appelnotedebasdep"/>
          <w:rFonts w:asciiTheme="majorBidi" w:hAnsiTheme="majorBidi" w:cstheme="majorBidi"/>
          <w:sz w:val="22"/>
        </w:rPr>
        <w:t xml:space="preserve"> (</w:t>
      </w:r>
      <w:r>
        <w:rPr>
          <w:rFonts w:asciiTheme="majorBidi" w:hAnsiTheme="majorBidi" w:cstheme="majorBidi" w:hint="cs"/>
          <w:sz w:val="22"/>
          <w:rtl/>
        </w:rPr>
        <w:t>عبد الرزاق السنهوري،الجزء الثاني، مرجع سابق، ص57.</w:t>
      </w:r>
    </w:p>
    <w:p w:rsidR="00304C81" w:rsidRDefault="00304C81" w:rsidP="00304C81">
      <w:pPr>
        <w:bidi/>
        <w:spacing w:after="0"/>
        <w:jc w:val="both"/>
        <w:rPr>
          <w:rFonts w:asciiTheme="majorBidi" w:hAnsiTheme="majorBidi" w:cstheme="majorBidi"/>
          <w:sz w:val="22"/>
          <w:rtl/>
        </w:rPr>
      </w:pPr>
    </w:p>
  </w:footnote>
  <w:footnote w:id="45">
    <w:p w:rsidR="00304C81" w:rsidRDefault="00304C81" w:rsidP="00304C81">
      <w:pPr>
        <w:bidi/>
        <w:spacing w:after="0"/>
        <w:jc w:val="both"/>
        <w:rPr>
          <w:rFonts w:asciiTheme="majorBidi" w:hAnsiTheme="majorBidi" w:cstheme="majorBidi"/>
          <w:sz w:val="22"/>
          <w:rtl/>
        </w:rPr>
      </w:pPr>
      <w:r>
        <w:rPr>
          <w:rStyle w:val="Appelnotedebasdep"/>
          <w:rFonts w:asciiTheme="majorBidi" w:hAnsiTheme="majorBidi" w:cstheme="majorBidi"/>
          <w:sz w:val="22"/>
        </w:rPr>
        <w:t>)</w:t>
      </w:r>
      <w:r>
        <w:rPr>
          <w:rStyle w:val="Appelnotedebasdep"/>
          <w:rFonts w:asciiTheme="majorBidi" w:hAnsiTheme="majorBidi" w:cstheme="majorBidi" w:hint="cs"/>
          <w:sz w:val="22"/>
          <w:rtl/>
        </w:rPr>
        <w:t>1</w:t>
      </w:r>
      <w:r>
        <w:rPr>
          <w:rStyle w:val="Appelnotedebasdep"/>
          <w:rFonts w:asciiTheme="majorBidi" w:hAnsiTheme="majorBidi" w:cstheme="majorBidi"/>
          <w:sz w:val="22"/>
          <w:lang w:bidi="ar-DZ"/>
        </w:rPr>
        <w:t xml:space="preserve"> (</w:t>
      </w:r>
      <w:r>
        <w:rPr>
          <w:rFonts w:asciiTheme="majorBidi" w:hAnsiTheme="majorBidi" w:cstheme="majorBidi" w:hint="cs"/>
          <w:sz w:val="22"/>
          <w:rtl/>
          <w:lang w:bidi="ar-DZ"/>
        </w:rPr>
        <w:t>و</w:t>
      </w:r>
      <w:r>
        <w:rPr>
          <w:rFonts w:asciiTheme="majorBidi" w:hAnsiTheme="majorBidi" w:cstheme="majorBidi" w:hint="cs"/>
          <w:sz w:val="22"/>
          <w:rtl/>
        </w:rPr>
        <w:t>قد قرر الإسلام هذه القاعدة عن عبد الله بن عباس رضي الله عنه أن النبي صلى الله عليه وسلم قال:" لو يعطى الناس بدعواهم لأدعى دماء رجال وأموالهم ولكن البينة على المدعى". رواه البخاري ومسلم.</w:t>
      </w:r>
    </w:p>
  </w:footnote>
  <w:footnote w:id="46">
    <w:p w:rsidR="00304C81" w:rsidRDefault="00304C81" w:rsidP="00304C81">
      <w:pPr>
        <w:bidi/>
        <w:spacing w:after="0"/>
        <w:jc w:val="both"/>
        <w:rPr>
          <w:rStyle w:val="Appelnotedebasdep"/>
          <w:rFonts w:asciiTheme="majorBidi" w:hAnsiTheme="majorBidi" w:cstheme="majorBidi"/>
          <w:sz w:val="22"/>
          <w:rtl/>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2</w:t>
      </w:r>
      <w:r>
        <w:rPr>
          <w:rStyle w:val="Appelnotedebasdep"/>
          <w:rFonts w:asciiTheme="majorBidi" w:hAnsiTheme="majorBidi" w:cstheme="majorBidi"/>
          <w:sz w:val="22"/>
        </w:rPr>
        <w:t xml:space="preserve"> (</w:t>
      </w:r>
      <w:r>
        <w:rPr>
          <w:rFonts w:asciiTheme="majorBidi" w:hAnsiTheme="majorBidi" w:cstheme="majorBidi" w:hint="cs"/>
          <w:sz w:val="22"/>
          <w:rtl/>
        </w:rPr>
        <w:t xml:space="preserve">أحمد نشأت، مرجع سابق، ص47. </w:t>
      </w:r>
    </w:p>
  </w:footnote>
  <w:footnote w:id="47">
    <w:p w:rsidR="00304C81" w:rsidRDefault="00304C81" w:rsidP="00304C81">
      <w:pPr>
        <w:bidi/>
        <w:spacing w:after="0"/>
        <w:jc w:val="both"/>
        <w:rPr>
          <w:rtl/>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3</w:t>
      </w:r>
      <w:r>
        <w:rPr>
          <w:rStyle w:val="Appelnotedebasdep"/>
          <w:rFonts w:asciiTheme="majorBidi" w:hAnsiTheme="majorBidi" w:cstheme="majorBidi"/>
          <w:sz w:val="22"/>
        </w:rPr>
        <w:t xml:space="preserve"> (</w:t>
      </w:r>
      <w:r>
        <w:rPr>
          <w:rFonts w:asciiTheme="majorBidi" w:hAnsiTheme="majorBidi" w:cstheme="majorBidi" w:hint="cs"/>
          <w:sz w:val="22"/>
          <w:rtl/>
        </w:rPr>
        <w:t>عبد المنعم فرج الصده، مرجع سابق، ص 95.</w:t>
      </w:r>
    </w:p>
  </w:footnote>
  <w:footnote w:id="48">
    <w:p w:rsidR="00304C81" w:rsidRDefault="00304C81" w:rsidP="00304C81">
      <w:pPr>
        <w:bidi/>
        <w:spacing w:after="0"/>
        <w:jc w:val="both"/>
        <w:rPr>
          <w:rFonts w:asciiTheme="majorBidi" w:hAnsiTheme="majorBidi" w:cstheme="majorBidi"/>
          <w:sz w:val="22"/>
          <w:rtl/>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4</w:t>
      </w:r>
      <w:r>
        <w:rPr>
          <w:rFonts w:asciiTheme="majorBidi" w:hAnsiTheme="majorBidi" w:cstheme="majorBidi"/>
          <w:sz w:val="22"/>
          <w:vertAlign w:val="superscript"/>
        </w:rPr>
        <w:t xml:space="preserve"> (</w:t>
      </w:r>
      <w:r>
        <w:rPr>
          <w:rFonts w:asciiTheme="majorBidi" w:hAnsiTheme="majorBidi" w:cstheme="majorBidi" w:hint="cs"/>
          <w:sz w:val="22"/>
          <w:rtl/>
        </w:rPr>
        <w:t xml:space="preserve">ومن أمثلة ذلك الأصل أن كل شخص أهلا للتعاقد، والأصل أن العقد خاليا من العيوب، الأصل عدم إجازة العقد الباطل. </w:t>
      </w:r>
    </w:p>
    <w:p w:rsidR="00304C81" w:rsidRDefault="00304C81" w:rsidP="00304C81">
      <w:pPr>
        <w:bidi/>
        <w:spacing w:after="0"/>
        <w:jc w:val="both"/>
        <w:rPr>
          <w:rFonts w:asciiTheme="majorBidi" w:hAnsiTheme="majorBidi" w:cstheme="majorBidi"/>
          <w:sz w:val="22"/>
          <w:rtl/>
        </w:rPr>
      </w:pPr>
    </w:p>
  </w:footnote>
  <w:footnote w:id="49">
    <w:p w:rsidR="00304C81" w:rsidRDefault="00304C81" w:rsidP="00304C81">
      <w:pPr>
        <w:bidi/>
        <w:spacing w:after="0"/>
        <w:jc w:val="both"/>
        <w:rPr>
          <w:rFonts w:asciiTheme="majorBidi" w:hAnsiTheme="majorBidi" w:cstheme="majorBidi"/>
          <w:sz w:val="22"/>
          <w:rtl/>
          <w:lang w:bidi="ar-DZ"/>
        </w:rPr>
      </w:pPr>
      <w:r>
        <w:rPr>
          <w:rStyle w:val="Appelnotedebasdep"/>
          <w:rFonts w:asciiTheme="majorBidi" w:hAnsiTheme="majorBidi" w:cstheme="majorBidi"/>
          <w:sz w:val="22"/>
          <w:lang w:bidi="ar-DZ"/>
        </w:rPr>
        <w:t>)</w:t>
      </w:r>
      <w:r>
        <w:rPr>
          <w:rStyle w:val="Appelnotedebasdep"/>
          <w:rFonts w:asciiTheme="majorBidi" w:hAnsiTheme="majorBidi" w:cstheme="majorBidi" w:hint="cs"/>
          <w:sz w:val="22"/>
          <w:rtl/>
          <w:lang w:bidi="ar-DZ"/>
        </w:rPr>
        <w:t>1</w:t>
      </w:r>
      <w:r>
        <w:rPr>
          <w:rStyle w:val="Appelnotedebasdep"/>
          <w:rFonts w:asciiTheme="majorBidi" w:hAnsiTheme="majorBidi" w:cstheme="majorBidi"/>
          <w:sz w:val="22"/>
          <w:lang w:bidi="ar-DZ"/>
        </w:rPr>
        <w:t xml:space="preserve"> (</w:t>
      </w:r>
      <w:r>
        <w:rPr>
          <w:rFonts w:asciiTheme="majorBidi" w:hAnsiTheme="majorBidi" w:cstheme="majorBidi" w:hint="cs"/>
          <w:sz w:val="22"/>
          <w:rtl/>
        </w:rPr>
        <w:t>سليمان مرقس، مرجع سابق، ص93.</w:t>
      </w:r>
    </w:p>
  </w:footnote>
  <w:footnote w:id="50">
    <w:p w:rsidR="00304C81" w:rsidRDefault="00304C81" w:rsidP="00304C81">
      <w:pPr>
        <w:bidi/>
        <w:spacing w:after="0"/>
        <w:jc w:val="both"/>
        <w:rPr>
          <w:rStyle w:val="Appelnotedebasdep"/>
          <w:rFonts w:asciiTheme="majorBidi" w:hAnsiTheme="majorBidi" w:cstheme="majorBidi"/>
          <w:sz w:val="22"/>
          <w:rtl/>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2</w:t>
      </w:r>
      <w:r>
        <w:rPr>
          <w:rStyle w:val="Appelnotedebasdep"/>
          <w:rFonts w:asciiTheme="majorBidi" w:hAnsiTheme="majorBidi" w:cstheme="majorBidi"/>
          <w:sz w:val="22"/>
        </w:rPr>
        <w:t xml:space="preserve"> (</w:t>
      </w:r>
      <w:r>
        <w:rPr>
          <w:rFonts w:asciiTheme="majorBidi" w:hAnsiTheme="majorBidi" w:cstheme="majorBidi" w:hint="cs"/>
          <w:sz w:val="22"/>
          <w:rtl/>
        </w:rPr>
        <w:t>ويسمى الدكتور عبد الرزاق السنهوري في مرجعه السابق، الصفحة،: 54، الثابت أصلا وعرضا</w:t>
      </w:r>
      <w:r>
        <w:rPr>
          <w:rFonts w:asciiTheme="majorBidi" w:hAnsiTheme="majorBidi" w:cstheme="majorBidi" w:hint="cs"/>
          <w:sz w:val="22"/>
        </w:rPr>
        <w:t xml:space="preserve"> </w:t>
      </w:r>
      <w:r>
        <w:rPr>
          <w:rFonts w:asciiTheme="majorBidi" w:hAnsiTheme="majorBidi" w:cstheme="majorBidi" w:hint="cs"/>
          <w:sz w:val="22"/>
          <w:rtl/>
        </w:rPr>
        <w:t>بالثابت حكما كما يسمي الثابت عرضا بالثابت فعلا ً.</w:t>
      </w:r>
    </w:p>
  </w:footnote>
  <w:footnote w:id="51">
    <w:p w:rsidR="00304C81" w:rsidRDefault="00304C81" w:rsidP="00304C81">
      <w:pPr>
        <w:bidi/>
        <w:spacing w:after="0"/>
        <w:jc w:val="both"/>
        <w:rPr>
          <w:rtl/>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3</w:t>
      </w:r>
      <w:r>
        <w:rPr>
          <w:rStyle w:val="Appelnotedebasdep"/>
          <w:rFonts w:asciiTheme="majorBidi" w:hAnsiTheme="majorBidi" w:cstheme="majorBidi"/>
          <w:sz w:val="22"/>
        </w:rPr>
        <w:t>(</w:t>
      </w:r>
      <w:r>
        <w:rPr>
          <w:rFonts w:asciiTheme="majorBidi" w:hAnsiTheme="majorBidi" w:cstheme="majorBidi" w:hint="cs"/>
          <w:sz w:val="22"/>
          <w:rtl/>
        </w:rPr>
        <w:t xml:space="preserve"> عبد العزيز المرسي، مرجع سابق، ص 38 .</w:t>
      </w:r>
    </w:p>
    <w:p w:rsidR="00304C81" w:rsidRDefault="00304C81" w:rsidP="00304C81">
      <w:pPr>
        <w:bidi/>
        <w:spacing w:after="0"/>
        <w:jc w:val="both"/>
        <w:rPr>
          <w:rFonts w:asciiTheme="majorBidi" w:hAnsiTheme="majorBidi" w:cstheme="majorBidi"/>
          <w:sz w:val="22"/>
          <w:rtl/>
        </w:rPr>
      </w:pPr>
    </w:p>
    <w:p w:rsidR="00304C81" w:rsidRDefault="00304C81" w:rsidP="00304C81">
      <w:pPr>
        <w:bidi/>
        <w:spacing w:after="0"/>
        <w:jc w:val="both"/>
        <w:rPr>
          <w:rStyle w:val="Appelnotedebasdep"/>
          <w:rFonts w:asciiTheme="majorBidi" w:hAnsiTheme="majorBidi" w:cstheme="majorBidi"/>
          <w:sz w:val="22"/>
          <w:rtl/>
        </w:rPr>
      </w:pPr>
    </w:p>
  </w:footnote>
  <w:footnote w:id="52">
    <w:p w:rsidR="00304C81" w:rsidRDefault="00304C81" w:rsidP="00304C81">
      <w:pPr>
        <w:bidi/>
        <w:spacing w:after="0"/>
        <w:jc w:val="both"/>
        <w:rPr>
          <w:rtl/>
        </w:rPr>
      </w:pPr>
      <w:r>
        <w:rPr>
          <w:rStyle w:val="Appelnotedebasdep"/>
          <w:rFonts w:asciiTheme="majorBidi" w:hAnsiTheme="majorBidi" w:cstheme="majorBidi"/>
          <w:sz w:val="22"/>
          <w:lang w:bidi="ar-DZ"/>
        </w:rPr>
        <w:t>)</w:t>
      </w:r>
      <w:r>
        <w:rPr>
          <w:rStyle w:val="Appelnotedebasdep"/>
          <w:rFonts w:asciiTheme="majorBidi" w:hAnsiTheme="majorBidi" w:cstheme="majorBidi" w:hint="cs"/>
          <w:sz w:val="22"/>
          <w:rtl/>
          <w:lang w:bidi="ar-DZ"/>
        </w:rPr>
        <w:t>1</w:t>
      </w:r>
      <w:r>
        <w:rPr>
          <w:rFonts w:asciiTheme="majorBidi" w:hAnsiTheme="majorBidi" w:cstheme="majorBidi"/>
          <w:sz w:val="22"/>
          <w:vertAlign w:val="superscript"/>
        </w:rPr>
        <w:t xml:space="preserve"> (</w:t>
      </w:r>
      <w:r>
        <w:rPr>
          <w:rFonts w:asciiTheme="majorBidi" w:hAnsiTheme="majorBidi" w:cstheme="majorBidi" w:hint="cs"/>
          <w:sz w:val="22"/>
          <w:rtl/>
        </w:rPr>
        <w:t>عبد العزيز المرسي، مرجع سابق، ص39.</w:t>
      </w:r>
    </w:p>
    <w:p w:rsidR="00304C81" w:rsidRDefault="00304C81" w:rsidP="00304C81">
      <w:pPr>
        <w:bidi/>
        <w:spacing w:after="0"/>
        <w:jc w:val="both"/>
        <w:rPr>
          <w:rFonts w:asciiTheme="majorBidi" w:hAnsiTheme="majorBidi" w:cstheme="majorBidi"/>
          <w:sz w:val="22"/>
          <w:rtl/>
        </w:rPr>
      </w:pPr>
    </w:p>
  </w:footnote>
  <w:footnote w:id="53">
    <w:p w:rsidR="00304C81" w:rsidRDefault="00304C81" w:rsidP="00304C81">
      <w:pPr>
        <w:bidi/>
        <w:spacing w:after="0"/>
        <w:jc w:val="both"/>
        <w:rPr>
          <w:rFonts w:asciiTheme="majorBidi" w:hAnsiTheme="majorBidi" w:cstheme="majorBidi"/>
          <w:sz w:val="22"/>
          <w:rtl/>
          <w:lang w:bidi="ar-DZ"/>
        </w:rPr>
      </w:pPr>
      <w:r>
        <w:rPr>
          <w:rStyle w:val="Appelnotedebasdep"/>
          <w:rFonts w:asciiTheme="majorBidi" w:hAnsiTheme="majorBidi" w:cstheme="majorBidi"/>
          <w:sz w:val="22"/>
          <w:lang w:bidi="ar-DZ"/>
        </w:rPr>
        <w:t>)</w:t>
      </w:r>
      <w:r>
        <w:rPr>
          <w:rStyle w:val="Appelnotedebasdep"/>
          <w:rFonts w:asciiTheme="majorBidi" w:hAnsiTheme="majorBidi" w:cstheme="majorBidi" w:hint="cs"/>
          <w:sz w:val="22"/>
          <w:rtl/>
          <w:lang w:bidi="ar-DZ"/>
        </w:rPr>
        <w:t>1</w:t>
      </w:r>
      <w:r>
        <w:rPr>
          <w:rStyle w:val="Appelnotedebasdep"/>
          <w:rFonts w:asciiTheme="majorBidi" w:hAnsiTheme="majorBidi" w:cstheme="majorBidi"/>
          <w:sz w:val="22"/>
          <w:lang w:bidi="ar-DZ"/>
        </w:rPr>
        <w:t xml:space="preserve"> (</w:t>
      </w:r>
      <w:r>
        <w:rPr>
          <w:rFonts w:asciiTheme="majorBidi" w:hAnsiTheme="majorBidi" w:cstheme="majorBidi" w:hint="cs"/>
          <w:sz w:val="22"/>
          <w:rtl/>
        </w:rPr>
        <w:t>أنظر في ذلك:</w:t>
      </w:r>
      <w:r>
        <w:rPr>
          <w:rFonts w:asciiTheme="majorBidi" w:hAnsiTheme="majorBidi" w:cstheme="majorBidi" w:hint="cs"/>
          <w:sz w:val="22"/>
          <w:rtl/>
          <w:lang w:bidi="ar-DZ"/>
        </w:rPr>
        <w:t xml:space="preserve"> </w:t>
      </w:r>
      <w:r>
        <w:rPr>
          <w:rFonts w:asciiTheme="majorBidi" w:hAnsiTheme="majorBidi" w:cstheme="majorBidi" w:hint="cs"/>
          <w:sz w:val="22"/>
          <w:rtl/>
        </w:rPr>
        <w:t>سليمان مرقس، مرجع سابق، ص97.</w:t>
      </w:r>
    </w:p>
  </w:footnote>
  <w:footnote w:id="54">
    <w:p w:rsidR="00304C81" w:rsidRDefault="00304C81" w:rsidP="00304C81">
      <w:pPr>
        <w:bidi/>
        <w:spacing w:after="0"/>
        <w:jc w:val="both"/>
        <w:rPr>
          <w:rFonts w:asciiTheme="majorBidi" w:hAnsiTheme="majorBidi" w:cstheme="majorBidi"/>
          <w:sz w:val="22"/>
          <w:rtl/>
        </w:rPr>
      </w:pPr>
      <w:r>
        <w:rPr>
          <w:rStyle w:val="Appelnotedebasdep"/>
          <w:rFonts w:asciiTheme="majorBidi" w:hAnsiTheme="majorBidi" w:cstheme="majorBidi"/>
          <w:sz w:val="22"/>
        </w:rPr>
        <w:t>)</w:t>
      </w:r>
      <w:r>
        <w:rPr>
          <w:rFonts w:asciiTheme="majorBidi" w:hAnsiTheme="majorBidi" w:cstheme="majorBidi" w:hint="cs"/>
          <w:sz w:val="22"/>
          <w:vertAlign w:val="superscript"/>
          <w:rtl/>
        </w:rPr>
        <w:t>2</w:t>
      </w:r>
      <w:r>
        <w:rPr>
          <w:rStyle w:val="Appelnotedebasdep"/>
          <w:rFonts w:asciiTheme="majorBidi" w:hAnsiTheme="majorBidi" w:cstheme="majorBidi"/>
          <w:sz w:val="22"/>
          <w:lang w:bidi="ar-DZ"/>
        </w:rPr>
        <w:t>(</w:t>
      </w:r>
      <w:r>
        <w:rPr>
          <w:rFonts w:asciiTheme="majorBidi" w:hAnsiTheme="majorBidi" w:cstheme="majorBidi" w:hint="cs"/>
          <w:sz w:val="22"/>
          <w:rtl/>
        </w:rPr>
        <w:t xml:space="preserve"> القواعد الإجرائية. للإثبات هي فقط التي تتعلق بالنظام العام لأنها تتصل بنظام التقاضي أما القواعد الموضوعية وهي القواعد التي تتناول محل الإثبات وعبئه وطرقه فلا تتعلق بالنظام العام، ومن ثم يمكن الأتفاق على ما يخالف تلك القول.</w:t>
      </w:r>
    </w:p>
  </w:footnote>
  <w:footnote w:id="55">
    <w:p w:rsidR="00304C81" w:rsidRDefault="00304C81" w:rsidP="00304C81">
      <w:pPr>
        <w:bidi/>
        <w:spacing w:after="0"/>
        <w:jc w:val="both"/>
        <w:rPr>
          <w:rFonts w:asciiTheme="majorBidi" w:hAnsiTheme="majorBidi" w:cstheme="majorBidi"/>
          <w:sz w:val="22"/>
          <w:rtl/>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3</w:t>
      </w:r>
      <w:r>
        <w:rPr>
          <w:rStyle w:val="Appelnotedebasdep"/>
          <w:rFonts w:asciiTheme="majorBidi" w:hAnsiTheme="majorBidi" w:cstheme="majorBidi"/>
          <w:sz w:val="22"/>
        </w:rPr>
        <w:t xml:space="preserve"> (</w:t>
      </w:r>
      <w:r>
        <w:rPr>
          <w:rFonts w:asciiTheme="majorBidi" w:hAnsiTheme="majorBidi" w:cstheme="majorBidi" w:hint="cs"/>
          <w:sz w:val="22"/>
          <w:rtl/>
        </w:rPr>
        <w:t xml:space="preserve"> سليمان مرقس، مرجع سابق، ص102.</w:t>
      </w:r>
    </w:p>
  </w:footnote>
  <w:footnote w:id="56">
    <w:p w:rsidR="00304C81" w:rsidRDefault="00304C81" w:rsidP="00304C81">
      <w:pPr>
        <w:bidi/>
        <w:spacing w:after="0"/>
        <w:jc w:val="both"/>
        <w:rPr>
          <w:rStyle w:val="Appelnotedebasdep"/>
          <w:rFonts w:asciiTheme="majorBidi" w:hAnsiTheme="majorBidi" w:cstheme="majorBidi"/>
          <w:sz w:val="22"/>
          <w:vertAlign w:val="baseline"/>
          <w:rtl/>
        </w:rPr>
      </w:pPr>
      <w:r>
        <w:rPr>
          <w:rStyle w:val="Appelnotedebasdep"/>
          <w:rFonts w:asciiTheme="majorBidi" w:hAnsiTheme="majorBidi" w:cstheme="majorBidi"/>
          <w:sz w:val="22"/>
        </w:rPr>
        <w:t>)</w:t>
      </w:r>
      <w:r>
        <w:rPr>
          <w:rStyle w:val="Appelnotedebasdep"/>
          <w:rFonts w:asciiTheme="majorBidi" w:hAnsiTheme="majorBidi" w:cstheme="majorBidi" w:hint="cs"/>
          <w:sz w:val="22"/>
          <w:rtl/>
        </w:rPr>
        <w:t>4</w:t>
      </w:r>
      <w:r>
        <w:rPr>
          <w:rStyle w:val="Appelnotedebasdep"/>
          <w:rFonts w:asciiTheme="majorBidi" w:hAnsiTheme="majorBidi" w:cstheme="majorBidi"/>
          <w:sz w:val="22"/>
        </w:rPr>
        <w:t xml:space="preserve"> (</w:t>
      </w:r>
      <w:r>
        <w:rPr>
          <w:rFonts w:asciiTheme="majorBidi" w:hAnsiTheme="majorBidi" w:cstheme="majorBidi" w:hint="cs"/>
          <w:sz w:val="22"/>
          <w:rtl/>
        </w:rPr>
        <w:t>عبد الرزاق السنهوري، مرجع سابق، ص79</w:t>
      </w:r>
      <w:r>
        <w:rPr>
          <w:rStyle w:val="Appelnotedebasdep"/>
          <w:rFonts w:asciiTheme="majorBidi" w:hAnsiTheme="majorBidi" w:cstheme="majorBidi"/>
          <w:sz w:val="22"/>
          <w:rtl/>
        </w:rPr>
        <w:t>.</w:t>
      </w:r>
      <w:r>
        <w:rPr>
          <w:rStyle w:val="Appelnotedebasdep"/>
          <w:rFonts w:asciiTheme="majorBidi" w:hAnsiTheme="majorBidi" w:cstheme="majorBidi" w:hint="cs"/>
          <w:sz w:val="22"/>
        </w:rPr>
        <w:t xml:space="preserve"> </w:t>
      </w:r>
      <w:r>
        <w:rPr>
          <w:rFonts w:asciiTheme="majorBidi" w:hAnsiTheme="majorBidi" w:cstheme="majorBidi" w:hint="cs"/>
          <w:sz w:val="22"/>
          <w:rtl/>
        </w:rPr>
        <w:t xml:space="preserve">   </w:t>
      </w:r>
    </w:p>
  </w:footnote>
  <w:footnote w:id="57">
    <w:p w:rsidR="00304C81" w:rsidRDefault="00304C81" w:rsidP="00304C81">
      <w:pPr>
        <w:bidi/>
        <w:spacing w:after="0"/>
        <w:jc w:val="both"/>
        <w:rPr>
          <w:rtl/>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5</w:t>
      </w:r>
      <w:r>
        <w:rPr>
          <w:rStyle w:val="Appelnotedebasdep"/>
          <w:rFonts w:asciiTheme="majorBidi" w:hAnsiTheme="majorBidi" w:cstheme="majorBidi"/>
          <w:sz w:val="22"/>
          <w:lang w:bidi="ar-DZ"/>
        </w:rPr>
        <w:t xml:space="preserve"> (</w:t>
      </w:r>
      <w:r>
        <w:rPr>
          <w:rFonts w:asciiTheme="majorBidi" w:hAnsiTheme="majorBidi" w:cstheme="majorBidi" w:hint="cs"/>
          <w:sz w:val="22"/>
          <w:rtl/>
        </w:rPr>
        <w:t>في الواقع: تستعمل المحكمة هذه السلطة في إلقاء عبء الإثبات على المدعى عليه حتى لا يَكتفي هذا، بأن يقف من الدعوى موقفا سلبيا ينظر في اغتباط إلى المدعى يرنح تحت هذا العبء ويتخبط في محاولة النهوض به، راجع في ذلك:</w:t>
      </w:r>
      <w:r>
        <w:rPr>
          <w:rFonts w:asciiTheme="majorBidi" w:hAnsiTheme="majorBidi" w:cstheme="majorBidi" w:hint="cs"/>
          <w:sz w:val="22"/>
          <w:rtl/>
          <w:lang w:bidi="ar-DZ"/>
        </w:rPr>
        <w:t xml:space="preserve"> </w:t>
      </w:r>
      <w:r>
        <w:rPr>
          <w:rFonts w:asciiTheme="majorBidi" w:hAnsiTheme="majorBidi" w:cstheme="majorBidi" w:hint="cs"/>
          <w:sz w:val="22"/>
          <w:rtl/>
        </w:rPr>
        <w:t>سليمان مرقس، مرجع سابق، ص103</w:t>
      </w:r>
    </w:p>
    <w:p w:rsidR="00304C81" w:rsidRDefault="00304C81" w:rsidP="00304C81">
      <w:pPr>
        <w:bidi/>
        <w:spacing w:after="0"/>
        <w:jc w:val="both"/>
        <w:rPr>
          <w:rFonts w:asciiTheme="majorBidi" w:hAnsiTheme="majorBidi" w:cstheme="majorBidi"/>
          <w:sz w:val="10"/>
          <w:szCs w:val="10"/>
          <w:rtl/>
        </w:rPr>
      </w:pPr>
    </w:p>
  </w:footnote>
  <w:footnote w:id="58">
    <w:p w:rsidR="00304C81" w:rsidRDefault="00304C81" w:rsidP="00304C81">
      <w:pPr>
        <w:bidi/>
        <w:spacing w:after="0"/>
        <w:jc w:val="both"/>
        <w:rPr>
          <w:rFonts w:asciiTheme="majorBidi" w:hAnsiTheme="majorBidi" w:cstheme="majorBidi"/>
          <w:sz w:val="22"/>
          <w:rtl/>
        </w:rPr>
      </w:pPr>
      <w:r>
        <w:rPr>
          <w:rStyle w:val="Appelnotedebasdep"/>
          <w:rFonts w:asciiTheme="majorBidi" w:hAnsiTheme="majorBidi" w:cstheme="majorBidi"/>
          <w:sz w:val="22"/>
        </w:rPr>
        <w:t>)</w:t>
      </w:r>
      <w:r>
        <w:rPr>
          <w:rStyle w:val="Appelnotedebasdep"/>
          <w:rFonts w:asciiTheme="majorBidi" w:hAnsiTheme="majorBidi" w:cstheme="majorBidi" w:hint="cs"/>
          <w:sz w:val="22"/>
          <w:rtl/>
          <w:lang w:bidi="ar-DZ"/>
        </w:rPr>
        <w:t>1</w:t>
      </w:r>
      <w:r>
        <w:rPr>
          <w:rStyle w:val="Appelnotedebasdep"/>
          <w:rFonts w:asciiTheme="majorBidi" w:hAnsiTheme="majorBidi" w:cstheme="majorBidi"/>
          <w:sz w:val="22"/>
        </w:rPr>
        <w:t>(</w:t>
      </w:r>
      <w:r>
        <w:rPr>
          <w:rFonts w:asciiTheme="majorBidi" w:hAnsiTheme="majorBidi" w:cstheme="majorBidi" w:hint="cs"/>
          <w:sz w:val="22"/>
          <w:rtl/>
        </w:rPr>
        <w:t>عبد الرزاق السنهوري، مرجع سابق، ص114.</w:t>
      </w:r>
    </w:p>
    <w:p w:rsidR="00304C81" w:rsidRDefault="00304C81" w:rsidP="00304C81">
      <w:pPr>
        <w:bidi/>
        <w:spacing w:after="0"/>
        <w:jc w:val="both"/>
        <w:rPr>
          <w:rFonts w:asciiTheme="majorBidi" w:hAnsiTheme="majorBidi" w:cstheme="majorBidi"/>
          <w:sz w:val="22"/>
          <w:rtl/>
        </w:rPr>
      </w:pPr>
    </w:p>
    <w:p w:rsidR="00304C81" w:rsidRDefault="00304C81" w:rsidP="00304C81">
      <w:pPr>
        <w:bidi/>
        <w:spacing w:after="0"/>
        <w:jc w:val="both"/>
        <w:rPr>
          <w:rStyle w:val="Appelnotedebasdep"/>
          <w:rFonts w:asciiTheme="majorBidi" w:hAnsiTheme="majorBidi" w:cstheme="majorBidi"/>
          <w:sz w:val="22"/>
          <w:rt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931" w:rsidRPr="00CD6BD4" w:rsidRDefault="006068A3" w:rsidP="006068A3">
    <w:pPr>
      <w:pStyle w:val="En-tte"/>
      <w:pBdr>
        <w:bottom w:val="thickThinSmallGap" w:sz="24" w:space="1" w:color="622423" w:themeColor="accent2" w:themeShade="7F"/>
      </w:pBdr>
      <w:bidi/>
      <w:jc w:val="both"/>
      <w:rPr>
        <w:rFonts w:asciiTheme="majorHAnsi" w:eastAsiaTheme="majorEastAsia" w:hAnsiTheme="majorHAnsi" w:cs="Simplified Arabic"/>
        <w:b/>
        <w:bCs/>
        <w:sz w:val="28"/>
        <w:szCs w:val="28"/>
      </w:rPr>
    </w:pPr>
    <w:r>
      <w:rPr>
        <w:rFonts w:asciiTheme="majorHAnsi" w:eastAsiaTheme="majorEastAsia" w:hAnsiTheme="majorHAnsi" w:cs="Simplified Arabic" w:hint="cs"/>
        <w:b/>
        <w:bCs/>
        <w:sz w:val="28"/>
        <w:szCs w:val="28"/>
        <w:rtl/>
      </w:rPr>
      <w:t xml:space="preserve">الباب الأول:                                                                   القواعد العامة للإثبات </w:t>
    </w:r>
  </w:p>
  <w:p w:rsidR="006F2931" w:rsidRDefault="006F293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0B95"/>
    <w:multiLevelType w:val="hybridMultilevel"/>
    <w:tmpl w:val="D27C8822"/>
    <w:lvl w:ilvl="0" w:tplc="C99E2E82">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03CB2E91"/>
    <w:multiLevelType w:val="hybridMultilevel"/>
    <w:tmpl w:val="67E640F2"/>
    <w:lvl w:ilvl="0" w:tplc="57CCB4E6">
      <w:start w:val="1"/>
      <w:numFmt w:val="decimal"/>
      <w:lvlText w:val="%1-"/>
      <w:lvlJc w:val="left"/>
      <w:pPr>
        <w:ind w:left="1143" w:hanging="360"/>
      </w:pPr>
      <w:rPr>
        <w:rFonts w:hint="default"/>
        <w:b w:val="0"/>
        <w:bCs/>
      </w:rPr>
    </w:lvl>
    <w:lvl w:ilvl="1" w:tplc="040C0019" w:tentative="1">
      <w:start w:val="1"/>
      <w:numFmt w:val="lowerLetter"/>
      <w:lvlText w:val="%2."/>
      <w:lvlJc w:val="left"/>
      <w:pPr>
        <w:ind w:left="1863" w:hanging="360"/>
      </w:pPr>
    </w:lvl>
    <w:lvl w:ilvl="2" w:tplc="040C001B" w:tentative="1">
      <w:start w:val="1"/>
      <w:numFmt w:val="lowerRoman"/>
      <w:lvlText w:val="%3."/>
      <w:lvlJc w:val="right"/>
      <w:pPr>
        <w:ind w:left="2583" w:hanging="180"/>
      </w:pPr>
    </w:lvl>
    <w:lvl w:ilvl="3" w:tplc="040C000F" w:tentative="1">
      <w:start w:val="1"/>
      <w:numFmt w:val="decimal"/>
      <w:lvlText w:val="%4."/>
      <w:lvlJc w:val="left"/>
      <w:pPr>
        <w:ind w:left="3303" w:hanging="360"/>
      </w:pPr>
    </w:lvl>
    <w:lvl w:ilvl="4" w:tplc="040C0019" w:tentative="1">
      <w:start w:val="1"/>
      <w:numFmt w:val="lowerLetter"/>
      <w:lvlText w:val="%5."/>
      <w:lvlJc w:val="left"/>
      <w:pPr>
        <w:ind w:left="4023" w:hanging="360"/>
      </w:pPr>
    </w:lvl>
    <w:lvl w:ilvl="5" w:tplc="040C001B" w:tentative="1">
      <w:start w:val="1"/>
      <w:numFmt w:val="lowerRoman"/>
      <w:lvlText w:val="%6."/>
      <w:lvlJc w:val="right"/>
      <w:pPr>
        <w:ind w:left="4743" w:hanging="180"/>
      </w:pPr>
    </w:lvl>
    <w:lvl w:ilvl="6" w:tplc="040C000F" w:tentative="1">
      <w:start w:val="1"/>
      <w:numFmt w:val="decimal"/>
      <w:lvlText w:val="%7."/>
      <w:lvlJc w:val="left"/>
      <w:pPr>
        <w:ind w:left="5463" w:hanging="360"/>
      </w:pPr>
    </w:lvl>
    <w:lvl w:ilvl="7" w:tplc="040C0019" w:tentative="1">
      <w:start w:val="1"/>
      <w:numFmt w:val="lowerLetter"/>
      <w:lvlText w:val="%8."/>
      <w:lvlJc w:val="left"/>
      <w:pPr>
        <w:ind w:left="6183" w:hanging="360"/>
      </w:pPr>
    </w:lvl>
    <w:lvl w:ilvl="8" w:tplc="040C001B" w:tentative="1">
      <w:start w:val="1"/>
      <w:numFmt w:val="lowerRoman"/>
      <w:lvlText w:val="%9."/>
      <w:lvlJc w:val="right"/>
      <w:pPr>
        <w:ind w:left="6903" w:hanging="180"/>
      </w:pPr>
    </w:lvl>
  </w:abstractNum>
  <w:abstractNum w:abstractNumId="2">
    <w:nsid w:val="04962A30"/>
    <w:multiLevelType w:val="hybridMultilevel"/>
    <w:tmpl w:val="4412E3F8"/>
    <w:lvl w:ilvl="0" w:tplc="C99E2E82">
      <w:start w:val="1"/>
      <w:numFmt w:val="bullet"/>
      <w:lvlText w:val=""/>
      <w:lvlJc w:val="left"/>
      <w:pPr>
        <w:ind w:left="1143"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0D1B6BE8"/>
    <w:multiLevelType w:val="hybridMultilevel"/>
    <w:tmpl w:val="53707CDA"/>
    <w:lvl w:ilvl="0" w:tplc="34EA6EFE">
      <w:start w:val="1"/>
      <w:numFmt w:val="bullet"/>
      <w:lvlText w:val=""/>
      <w:lvlJc w:val="left"/>
      <w:pPr>
        <w:ind w:left="502" w:hanging="360"/>
      </w:pPr>
      <w:rPr>
        <w:rFonts w:ascii="Symbol" w:hAnsi="Symbol" w:hint="default"/>
        <w:lang w:bidi="ar-DZ"/>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0F0450DC"/>
    <w:multiLevelType w:val="hybridMultilevel"/>
    <w:tmpl w:val="86E0E202"/>
    <w:lvl w:ilvl="0" w:tplc="57CCB4E6">
      <w:start w:val="1"/>
      <w:numFmt w:val="decimal"/>
      <w:lvlText w:val="%1-"/>
      <w:lvlJc w:val="left"/>
      <w:pPr>
        <w:ind w:left="718" w:hanging="360"/>
      </w:pPr>
      <w:rPr>
        <w:b w:val="0"/>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1C256E6E"/>
    <w:multiLevelType w:val="hybridMultilevel"/>
    <w:tmpl w:val="F2CC2D3E"/>
    <w:lvl w:ilvl="0" w:tplc="34EA6EFE">
      <w:start w:val="1"/>
      <w:numFmt w:val="bullet"/>
      <w:lvlText w:val=""/>
      <w:lvlJc w:val="left"/>
      <w:pPr>
        <w:ind w:left="720" w:hanging="360"/>
      </w:pPr>
      <w:rPr>
        <w:rFonts w:ascii="Symbol" w:hAnsi="Symbol" w:hint="default"/>
        <w:lang w:bidi="ar-DZ"/>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265257B8"/>
    <w:multiLevelType w:val="hybridMultilevel"/>
    <w:tmpl w:val="0A104A38"/>
    <w:lvl w:ilvl="0" w:tplc="1F4C149A">
      <w:start w:val="1"/>
      <w:numFmt w:val="bullet"/>
      <w:lvlText w:val="-"/>
      <w:lvlJc w:val="left"/>
      <w:pPr>
        <w:ind w:left="815" w:hanging="360"/>
      </w:pPr>
      <w:rPr>
        <w:rFonts w:ascii="Symbol" w:hAnsi="Symbol" w:hint="default"/>
      </w:rPr>
    </w:lvl>
    <w:lvl w:ilvl="1" w:tplc="040C0003" w:tentative="1">
      <w:start w:val="1"/>
      <w:numFmt w:val="bullet"/>
      <w:lvlText w:val="o"/>
      <w:lvlJc w:val="left"/>
      <w:pPr>
        <w:ind w:left="1535" w:hanging="360"/>
      </w:pPr>
      <w:rPr>
        <w:rFonts w:ascii="Courier New" w:hAnsi="Courier New" w:cs="Courier New" w:hint="default"/>
      </w:rPr>
    </w:lvl>
    <w:lvl w:ilvl="2" w:tplc="040C0005" w:tentative="1">
      <w:start w:val="1"/>
      <w:numFmt w:val="bullet"/>
      <w:lvlText w:val=""/>
      <w:lvlJc w:val="left"/>
      <w:pPr>
        <w:ind w:left="2255" w:hanging="360"/>
      </w:pPr>
      <w:rPr>
        <w:rFonts w:ascii="Wingdings" w:hAnsi="Wingdings" w:hint="default"/>
      </w:rPr>
    </w:lvl>
    <w:lvl w:ilvl="3" w:tplc="040C0001" w:tentative="1">
      <w:start w:val="1"/>
      <w:numFmt w:val="bullet"/>
      <w:lvlText w:val=""/>
      <w:lvlJc w:val="left"/>
      <w:pPr>
        <w:ind w:left="2975" w:hanging="360"/>
      </w:pPr>
      <w:rPr>
        <w:rFonts w:ascii="Symbol" w:hAnsi="Symbol" w:hint="default"/>
      </w:rPr>
    </w:lvl>
    <w:lvl w:ilvl="4" w:tplc="040C0003" w:tentative="1">
      <w:start w:val="1"/>
      <w:numFmt w:val="bullet"/>
      <w:lvlText w:val="o"/>
      <w:lvlJc w:val="left"/>
      <w:pPr>
        <w:ind w:left="3695" w:hanging="360"/>
      </w:pPr>
      <w:rPr>
        <w:rFonts w:ascii="Courier New" w:hAnsi="Courier New" w:cs="Courier New" w:hint="default"/>
      </w:rPr>
    </w:lvl>
    <w:lvl w:ilvl="5" w:tplc="040C0005" w:tentative="1">
      <w:start w:val="1"/>
      <w:numFmt w:val="bullet"/>
      <w:lvlText w:val=""/>
      <w:lvlJc w:val="left"/>
      <w:pPr>
        <w:ind w:left="4415" w:hanging="360"/>
      </w:pPr>
      <w:rPr>
        <w:rFonts w:ascii="Wingdings" w:hAnsi="Wingdings" w:hint="default"/>
      </w:rPr>
    </w:lvl>
    <w:lvl w:ilvl="6" w:tplc="040C0001" w:tentative="1">
      <w:start w:val="1"/>
      <w:numFmt w:val="bullet"/>
      <w:lvlText w:val=""/>
      <w:lvlJc w:val="left"/>
      <w:pPr>
        <w:ind w:left="5135" w:hanging="360"/>
      </w:pPr>
      <w:rPr>
        <w:rFonts w:ascii="Symbol" w:hAnsi="Symbol" w:hint="default"/>
      </w:rPr>
    </w:lvl>
    <w:lvl w:ilvl="7" w:tplc="040C0003" w:tentative="1">
      <w:start w:val="1"/>
      <w:numFmt w:val="bullet"/>
      <w:lvlText w:val="o"/>
      <w:lvlJc w:val="left"/>
      <w:pPr>
        <w:ind w:left="5855" w:hanging="360"/>
      </w:pPr>
      <w:rPr>
        <w:rFonts w:ascii="Courier New" w:hAnsi="Courier New" w:cs="Courier New" w:hint="default"/>
      </w:rPr>
    </w:lvl>
    <w:lvl w:ilvl="8" w:tplc="040C0005" w:tentative="1">
      <w:start w:val="1"/>
      <w:numFmt w:val="bullet"/>
      <w:lvlText w:val=""/>
      <w:lvlJc w:val="left"/>
      <w:pPr>
        <w:ind w:left="6575" w:hanging="360"/>
      </w:pPr>
      <w:rPr>
        <w:rFonts w:ascii="Wingdings" w:hAnsi="Wingdings" w:hint="default"/>
      </w:rPr>
    </w:lvl>
  </w:abstractNum>
  <w:abstractNum w:abstractNumId="7">
    <w:nsid w:val="3429589A"/>
    <w:multiLevelType w:val="hybridMultilevel"/>
    <w:tmpl w:val="B66274AC"/>
    <w:lvl w:ilvl="0" w:tplc="57CCB4E6">
      <w:start w:val="1"/>
      <w:numFmt w:val="decimal"/>
      <w:lvlText w:val="%1-"/>
      <w:lvlJc w:val="left"/>
      <w:pPr>
        <w:ind w:left="1233" w:hanging="360"/>
      </w:pPr>
      <w:rPr>
        <w:rFonts w:hint="default"/>
        <w:b w:val="0"/>
        <w:bCs/>
      </w:rPr>
    </w:lvl>
    <w:lvl w:ilvl="1" w:tplc="040C0019" w:tentative="1">
      <w:start w:val="1"/>
      <w:numFmt w:val="lowerLetter"/>
      <w:lvlText w:val="%2."/>
      <w:lvlJc w:val="left"/>
      <w:pPr>
        <w:ind w:left="1953" w:hanging="360"/>
      </w:pPr>
    </w:lvl>
    <w:lvl w:ilvl="2" w:tplc="040C001B" w:tentative="1">
      <w:start w:val="1"/>
      <w:numFmt w:val="lowerRoman"/>
      <w:lvlText w:val="%3."/>
      <w:lvlJc w:val="right"/>
      <w:pPr>
        <w:ind w:left="2673" w:hanging="180"/>
      </w:pPr>
    </w:lvl>
    <w:lvl w:ilvl="3" w:tplc="040C000F" w:tentative="1">
      <w:start w:val="1"/>
      <w:numFmt w:val="decimal"/>
      <w:lvlText w:val="%4."/>
      <w:lvlJc w:val="left"/>
      <w:pPr>
        <w:ind w:left="3393" w:hanging="360"/>
      </w:pPr>
    </w:lvl>
    <w:lvl w:ilvl="4" w:tplc="040C0019" w:tentative="1">
      <w:start w:val="1"/>
      <w:numFmt w:val="lowerLetter"/>
      <w:lvlText w:val="%5."/>
      <w:lvlJc w:val="left"/>
      <w:pPr>
        <w:ind w:left="4113" w:hanging="360"/>
      </w:pPr>
    </w:lvl>
    <w:lvl w:ilvl="5" w:tplc="040C001B" w:tentative="1">
      <w:start w:val="1"/>
      <w:numFmt w:val="lowerRoman"/>
      <w:lvlText w:val="%6."/>
      <w:lvlJc w:val="right"/>
      <w:pPr>
        <w:ind w:left="4833" w:hanging="180"/>
      </w:pPr>
    </w:lvl>
    <w:lvl w:ilvl="6" w:tplc="040C000F" w:tentative="1">
      <w:start w:val="1"/>
      <w:numFmt w:val="decimal"/>
      <w:lvlText w:val="%7."/>
      <w:lvlJc w:val="left"/>
      <w:pPr>
        <w:ind w:left="5553" w:hanging="360"/>
      </w:pPr>
    </w:lvl>
    <w:lvl w:ilvl="7" w:tplc="040C0019" w:tentative="1">
      <w:start w:val="1"/>
      <w:numFmt w:val="lowerLetter"/>
      <w:lvlText w:val="%8."/>
      <w:lvlJc w:val="left"/>
      <w:pPr>
        <w:ind w:left="6273" w:hanging="360"/>
      </w:pPr>
    </w:lvl>
    <w:lvl w:ilvl="8" w:tplc="040C001B" w:tentative="1">
      <w:start w:val="1"/>
      <w:numFmt w:val="lowerRoman"/>
      <w:lvlText w:val="%9."/>
      <w:lvlJc w:val="right"/>
      <w:pPr>
        <w:ind w:left="6993" w:hanging="180"/>
      </w:pPr>
    </w:lvl>
  </w:abstractNum>
  <w:abstractNum w:abstractNumId="8">
    <w:nsid w:val="39437851"/>
    <w:multiLevelType w:val="hybridMultilevel"/>
    <w:tmpl w:val="068A3864"/>
    <w:lvl w:ilvl="0" w:tplc="6C402D04">
      <w:start w:val="1"/>
      <w:numFmt w:val="decimal"/>
      <w:lvlText w:val="%1-"/>
      <w:lvlJc w:val="left"/>
      <w:pPr>
        <w:ind w:left="1994" w:hanging="360"/>
      </w:pPr>
      <w:rPr>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nsid w:val="3DDB32C6"/>
    <w:multiLevelType w:val="hybridMultilevel"/>
    <w:tmpl w:val="9792612A"/>
    <w:lvl w:ilvl="0" w:tplc="CA247A42">
      <w:start w:val="1"/>
      <w:numFmt w:val="decimal"/>
      <w:lvlText w:val="%1-"/>
      <w:lvlJc w:val="left"/>
      <w:pPr>
        <w:ind w:left="1994" w:hanging="360"/>
      </w:pPr>
      <w:rPr>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
    <w:nsid w:val="3E6B6077"/>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4DEE79EC"/>
    <w:multiLevelType w:val="hybridMultilevel"/>
    <w:tmpl w:val="F2B24074"/>
    <w:lvl w:ilvl="0" w:tplc="E5E66810">
      <w:start w:val="1"/>
      <w:numFmt w:val="decimal"/>
      <w:lvlText w:val="%1)"/>
      <w:lvlJc w:val="left"/>
      <w:pPr>
        <w:ind w:left="1095" w:hanging="360"/>
      </w:pPr>
      <w:rPr>
        <w:b w:val="0"/>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2">
    <w:nsid w:val="51514CFB"/>
    <w:multiLevelType w:val="hybridMultilevel"/>
    <w:tmpl w:val="FA424EBE"/>
    <w:lvl w:ilvl="0" w:tplc="0CFC6B1C">
      <w:start w:val="1"/>
      <w:numFmt w:val="decimal"/>
      <w:lvlText w:val="%1-"/>
      <w:lvlJc w:val="left"/>
      <w:pPr>
        <w:ind w:left="1994" w:hanging="360"/>
      </w:pPr>
      <w:rPr>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
    <w:nsid w:val="52875B8E"/>
    <w:multiLevelType w:val="hybridMultilevel"/>
    <w:tmpl w:val="82A43EAE"/>
    <w:lvl w:ilvl="0" w:tplc="C99E2E82">
      <w:start w:val="1"/>
      <w:numFmt w:val="bullet"/>
      <w:lvlText w:val=""/>
      <w:lvlJc w:val="left"/>
      <w:pPr>
        <w:ind w:left="1285"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nsid w:val="546F6D2D"/>
    <w:multiLevelType w:val="hybridMultilevel"/>
    <w:tmpl w:val="5428E0B2"/>
    <w:lvl w:ilvl="0" w:tplc="B9547B82">
      <w:start w:val="1"/>
      <w:numFmt w:val="bullet"/>
      <w:lvlText w:val=""/>
      <w:lvlJc w:val="left"/>
      <w:pPr>
        <w:ind w:left="1438" w:hanging="360"/>
      </w:pPr>
      <w:rPr>
        <w:rFonts w:ascii="Symbol" w:hAnsi="Symbol" w:hint="default"/>
      </w:rPr>
    </w:lvl>
    <w:lvl w:ilvl="1" w:tplc="040C0003" w:tentative="1">
      <w:start w:val="1"/>
      <w:numFmt w:val="bullet"/>
      <w:lvlText w:val="o"/>
      <w:lvlJc w:val="left"/>
      <w:pPr>
        <w:ind w:left="2158" w:hanging="360"/>
      </w:pPr>
      <w:rPr>
        <w:rFonts w:ascii="Courier New" w:hAnsi="Courier New" w:cs="Courier New" w:hint="default"/>
      </w:rPr>
    </w:lvl>
    <w:lvl w:ilvl="2" w:tplc="040C0005" w:tentative="1">
      <w:start w:val="1"/>
      <w:numFmt w:val="bullet"/>
      <w:lvlText w:val=""/>
      <w:lvlJc w:val="left"/>
      <w:pPr>
        <w:ind w:left="2878" w:hanging="360"/>
      </w:pPr>
      <w:rPr>
        <w:rFonts w:ascii="Wingdings" w:hAnsi="Wingdings" w:hint="default"/>
      </w:rPr>
    </w:lvl>
    <w:lvl w:ilvl="3" w:tplc="040C0001" w:tentative="1">
      <w:start w:val="1"/>
      <w:numFmt w:val="bullet"/>
      <w:lvlText w:val=""/>
      <w:lvlJc w:val="left"/>
      <w:pPr>
        <w:ind w:left="3598" w:hanging="360"/>
      </w:pPr>
      <w:rPr>
        <w:rFonts w:ascii="Symbol" w:hAnsi="Symbol" w:hint="default"/>
      </w:rPr>
    </w:lvl>
    <w:lvl w:ilvl="4" w:tplc="040C0003" w:tentative="1">
      <w:start w:val="1"/>
      <w:numFmt w:val="bullet"/>
      <w:lvlText w:val="o"/>
      <w:lvlJc w:val="left"/>
      <w:pPr>
        <w:ind w:left="4318" w:hanging="360"/>
      </w:pPr>
      <w:rPr>
        <w:rFonts w:ascii="Courier New" w:hAnsi="Courier New" w:cs="Courier New" w:hint="default"/>
      </w:rPr>
    </w:lvl>
    <w:lvl w:ilvl="5" w:tplc="040C0005" w:tentative="1">
      <w:start w:val="1"/>
      <w:numFmt w:val="bullet"/>
      <w:lvlText w:val=""/>
      <w:lvlJc w:val="left"/>
      <w:pPr>
        <w:ind w:left="5038" w:hanging="360"/>
      </w:pPr>
      <w:rPr>
        <w:rFonts w:ascii="Wingdings" w:hAnsi="Wingdings" w:hint="default"/>
      </w:rPr>
    </w:lvl>
    <w:lvl w:ilvl="6" w:tplc="040C0001" w:tentative="1">
      <w:start w:val="1"/>
      <w:numFmt w:val="bullet"/>
      <w:lvlText w:val=""/>
      <w:lvlJc w:val="left"/>
      <w:pPr>
        <w:ind w:left="5758" w:hanging="360"/>
      </w:pPr>
      <w:rPr>
        <w:rFonts w:ascii="Symbol" w:hAnsi="Symbol" w:hint="default"/>
      </w:rPr>
    </w:lvl>
    <w:lvl w:ilvl="7" w:tplc="040C0003" w:tentative="1">
      <w:start w:val="1"/>
      <w:numFmt w:val="bullet"/>
      <w:lvlText w:val="o"/>
      <w:lvlJc w:val="left"/>
      <w:pPr>
        <w:ind w:left="6478" w:hanging="360"/>
      </w:pPr>
      <w:rPr>
        <w:rFonts w:ascii="Courier New" w:hAnsi="Courier New" w:cs="Courier New" w:hint="default"/>
      </w:rPr>
    </w:lvl>
    <w:lvl w:ilvl="8" w:tplc="040C0005" w:tentative="1">
      <w:start w:val="1"/>
      <w:numFmt w:val="bullet"/>
      <w:lvlText w:val=""/>
      <w:lvlJc w:val="left"/>
      <w:pPr>
        <w:ind w:left="7198" w:hanging="360"/>
      </w:pPr>
      <w:rPr>
        <w:rFonts w:ascii="Wingdings" w:hAnsi="Wingdings" w:hint="default"/>
      </w:rPr>
    </w:lvl>
  </w:abstractNum>
  <w:abstractNum w:abstractNumId="15">
    <w:nsid w:val="5CF438AE"/>
    <w:multiLevelType w:val="multilevel"/>
    <w:tmpl w:val="C75803D2"/>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E647DAD"/>
    <w:multiLevelType w:val="hybridMultilevel"/>
    <w:tmpl w:val="79B48F44"/>
    <w:lvl w:ilvl="0" w:tplc="B2727738">
      <w:start w:val="1"/>
      <w:numFmt w:val="arabicAbjad"/>
      <w:lvlText w:val="%1-"/>
      <w:lvlJc w:val="left"/>
      <w:pPr>
        <w:ind w:left="1410" w:hanging="360"/>
      </w:pPr>
      <w:rPr>
        <w:rFonts w:hint="default"/>
        <w:b w:val="0"/>
        <w:bCs/>
      </w:rPr>
    </w:lvl>
    <w:lvl w:ilvl="1" w:tplc="040C0019" w:tentative="1">
      <w:start w:val="1"/>
      <w:numFmt w:val="lowerLetter"/>
      <w:lvlText w:val="%2."/>
      <w:lvlJc w:val="left"/>
      <w:pPr>
        <w:ind w:left="2130" w:hanging="360"/>
      </w:pPr>
    </w:lvl>
    <w:lvl w:ilvl="2" w:tplc="040C001B" w:tentative="1">
      <w:start w:val="1"/>
      <w:numFmt w:val="lowerRoman"/>
      <w:lvlText w:val="%3."/>
      <w:lvlJc w:val="right"/>
      <w:pPr>
        <w:ind w:left="2850" w:hanging="180"/>
      </w:pPr>
    </w:lvl>
    <w:lvl w:ilvl="3" w:tplc="040C000F" w:tentative="1">
      <w:start w:val="1"/>
      <w:numFmt w:val="decimal"/>
      <w:lvlText w:val="%4."/>
      <w:lvlJc w:val="left"/>
      <w:pPr>
        <w:ind w:left="3570" w:hanging="360"/>
      </w:pPr>
    </w:lvl>
    <w:lvl w:ilvl="4" w:tplc="040C0019" w:tentative="1">
      <w:start w:val="1"/>
      <w:numFmt w:val="lowerLetter"/>
      <w:lvlText w:val="%5."/>
      <w:lvlJc w:val="left"/>
      <w:pPr>
        <w:ind w:left="4290" w:hanging="360"/>
      </w:pPr>
    </w:lvl>
    <w:lvl w:ilvl="5" w:tplc="040C001B" w:tentative="1">
      <w:start w:val="1"/>
      <w:numFmt w:val="lowerRoman"/>
      <w:lvlText w:val="%6."/>
      <w:lvlJc w:val="right"/>
      <w:pPr>
        <w:ind w:left="5010" w:hanging="180"/>
      </w:pPr>
    </w:lvl>
    <w:lvl w:ilvl="6" w:tplc="040C000F" w:tentative="1">
      <w:start w:val="1"/>
      <w:numFmt w:val="decimal"/>
      <w:lvlText w:val="%7."/>
      <w:lvlJc w:val="left"/>
      <w:pPr>
        <w:ind w:left="5730" w:hanging="360"/>
      </w:pPr>
    </w:lvl>
    <w:lvl w:ilvl="7" w:tplc="040C0019" w:tentative="1">
      <w:start w:val="1"/>
      <w:numFmt w:val="lowerLetter"/>
      <w:lvlText w:val="%8."/>
      <w:lvlJc w:val="left"/>
      <w:pPr>
        <w:ind w:left="6450" w:hanging="360"/>
      </w:pPr>
    </w:lvl>
    <w:lvl w:ilvl="8" w:tplc="040C001B" w:tentative="1">
      <w:start w:val="1"/>
      <w:numFmt w:val="lowerRoman"/>
      <w:lvlText w:val="%9."/>
      <w:lvlJc w:val="right"/>
      <w:pPr>
        <w:ind w:left="7170" w:hanging="180"/>
      </w:pPr>
    </w:lvl>
  </w:abstractNum>
  <w:abstractNum w:abstractNumId="17">
    <w:nsid w:val="66C97090"/>
    <w:multiLevelType w:val="hybridMultilevel"/>
    <w:tmpl w:val="2AC06EF8"/>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8">
    <w:nsid w:val="77D3249A"/>
    <w:multiLevelType w:val="hybridMultilevel"/>
    <w:tmpl w:val="8FB82356"/>
    <w:lvl w:ilvl="0" w:tplc="1F4C149A">
      <w:start w:val="1"/>
      <w:numFmt w:val="bullet"/>
      <w:lvlText w:val="-"/>
      <w:lvlJc w:val="left"/>
      <w:pPr>
        <w:ind w:left="1285"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0"/>
  </w:num>
  <w:num w:numId="2">
    <w:abstractNumId w:val="6"/>
  </w:num>
  <w:num w:numId="3">
    <w:abstractNumId w:val="1"/>
  </w:num>
  <w:num w:numId="4">
    <w:abstractNumId w:val="7"/>
  </w:num>
  <w:num w:numId="5">
    <w:abstractNumId w:val="16"/>
  </w:num>
  <w:num w:numId="6">
    <w:abstractNumId w:val="17"/>
  </w:num>
  <w:num w:numId="7">
    <w:abstractNumId w:val="1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45058"/>
    <o:shapelayout v:ext="edit">
      <o:idmap v:ext="edit" data="2"/>
    </o:shapelayout>
  </w:hdrShapeDefaults>
  <w:footnotePr>
    <w:numRestart w:val="eachPage"/>
    <w:footnote w:id="0"/>
    <w:footnote w:id="1"/>
  </w:footnotePr>
  <w:endnotePr>
    <w:endnote w:id="0"/>
    <w:endnote w:id="1"/>
  </w:endnotePr>
  <w:compat/>
  <w:rsids>
    <w:rsidRoot w:val="006F2931"/>
    <w:rsid w:val="000012C8"/>
    <w:rsid w:val="00003A0F"/>
    <w:rsid w:val="000074BE"/>
    <w:rsid w:val="0001426D"/>
    <w:rsid w:val="00015D26"/>
    <w:rsid w:val="00016937"/>
    <w:rsid w:val="00025682"/>
    <w:rsid w:val="00027440"/>
    <w:rsid w:val="0002747C"/>
    <w:rsid w:val="00075817"/>
    <w:rsid w:val="00076183"/>
    <w:rsid w:val="00086B81"/>
    <w:rsid w:val="00086CE0"/>
    <w:rsid w:val="00087174"/>
    <w:rsid w:val="000A1716"/>
    <w:rsid w:val="000A2896"/>
    <w:rsid w:val="000A693C"/>
    <w:rsid w:val="000B2000"/>
    <w:rsid w:val="000C5BC1"/>
    <w:rsid w:val="000D0935"/>
    <w:rsid w:val="000D51CA"/>
    <w:rsid w:val="000F0933"/>
    <w:rsid w:val="000F333A"/>
    <w:rsid w:val="0010110F"/>
    <w:rsid w:val="0010140E"/>
    <w:rsid w:val="0013029B"/>
    <w:rsid w:val="00141665"/>
    <w:rsid w:val="001530DB"/>
    <w:rsid w:val="00155854"/>
    <w:rsid w:val="0015660C"/>
    <w:rsid w:val="00171B91"/>
    <w:rsid w:val="00191340"/>
    <w:rsid w:val="001B2609"/>
    <w:rsid w:val="001B31F2"/>
    <w:rsid w:val="001B41C8"/>
    <w:rsid w:val="001D04EB"/>
    <w:rsid w:val="001D304B"/>
    <w:rsid w:val="001D383A"/>
    <w:rsid w:val="001E1D5F"/>
    <w:rsid w:val="001F209C"/>
    <w:rsid w:val="001F26ED"/>
    <w:rsid w:val="001F5892"/>
    <w:rsid w:val="00260C06"/>
    <w:rsid w:val="00265221"/>
    <w:rsid w:val="002769BB"/>
    <w:rsid w:val="002802BD"/>
    <w:rsid w:val="00281B96"/>
    <w:rsid w:val="00290D1B"/>
    <w:rsid w:val="00293F62"/>
    <w:rsid w:val="00297950"/>
    <w:rsid w:val="002B0528"/>
    <w:rsid w:val="002B07EE"/>
    <w:rsid w:val="002B0FE1"/>
    <w:rsid w:val="002B3295"/>
    <w:rsid w:val="002D4A33"/>
    <w:rsid w:val="002F176B"/>
    <w:rsid w:val="002F5A08"/>
    <w:rsid w:val="00304C81"/>
    <w:rsid w:val="00304F6F"/>
    <w:rsid w:val="00313D8C"/>
    <w:rsid w:val="0031799D"/>
    <w:rsid w:val="00325178"/>
    <w:rsid w:val="00335EFA"/>
    <w:rsid w:val="00337789"/>
    <w:rsid w:val="00340068"/>
    <w:rsid w:val="00342445"/>
    <w:rsid w:val="00346B53"/>
    <w:rsid w:val="00350167"/>
    <w:rsid w:val="00360EFE"/>
    <w:rsid w:val="003633C6"/>
    <w:rsid w:val="00363EAD"/>
    <w:rsid w:val="00382E3D"/>
    <w:rsid w:val="0039014C"/>
    <w:rsid w:val="00390C54"/>
    <w:rsid w:val="00393734"/>
    <w:rsid w:val="003B4D71"/>
    <w:rsid w:val="003B7CE3"/>
    <w:rsid w:val="003C39B2"/>
    <w:rsid w:val="003C6DA6"/>
    <w:rsid w:val="003D69D0"/>
    <w:rsid w:val="003E46E7"/>
    <w:rsid w:val="003E476C"/>
    <w:rsid w:val="003E5C4B"/>
    <w:rsid w:val="003F3406"/>
    <w:rsid w:val="0040524B"/>
    <w:rsid w:val="004109D9"/>
    <w:rsid w:val="00423D43"/>
    <w:rsid w:val="0042448A"/>
    <w:rsid w:val="004364F6"/>
    <w:rsid w:val="004425B9"/>
    <w:rsid w:val="00452286"/>
    <w:rsid w:val="00453745"/>
    <w:rsid w:val="00457AB2"/>
    <w:rsid w:val="0046006D"/>
    <w:rsid w:val="00473874"/>
    <w:rsid w:val="00480402"/>
    <w:rsid w:val="004866C4"/>
    <w:rsid w:val="00490023"/>
    <w:rsid w:val="00497207"/>
    <w:rsid w:val="004B07B4"/>
    <w:rsid w:val="004B35BC"/>
    <w:rsid w:val="004C25AD"/>
    <w:rsid w:val="004C61CB"/>
    <w:rsid w:val="004D56F7"/>
    <w:rsid w:val="004D57F9"/>
    <w:rsid w:val="004E1282"/>
    <w:rsid w:val="0050031F"/>
    <w:rsid w:val="00502485"/>
    <w:rsid w:val="00515FD3"/>
    <w:rsid w:val="00520B05"/>
    <w:rsid w:val="00523CD7"/>
    <w:rsid w:val="00526D21"/>
    <w:rsid w:val="00530103"/>
    <w:rsid w:val="00530B8C"/>
    <w:rsid w:val="00543C72"/>
    <w:rsid w:val="0055604A"/>
    <w:rsid w:val="005651E4"/>
    <w:rsid w:val="0058410F"/>
    <w:rsid w:val="00593AE5"/>
    <w:rsid w:val="005A1717"/>
    <w:rsid w:val="005A4C6E"/>
    <w:rsid w:val="005B3CFC"/>
    <w:rsid w:val="005B61D5"/>
    <w:rsid w:val="005B671D"/>
    <w:rsid w:val="005B6C33"/>
    <w:rsid w:val="005D3A3C"/>
    <w:rsid w:val="005E77E8"/>
    <w:rsid w:val="006068A3"/>
    <w:rsid w:val="00611083"/>
    <w:rsid w:val="00624063"/>
    <w:rsid w:val="00625851"/>
    <w:rsid w:val="00637690"/>
    <w:rsid w:val="006466A5"/>
    <w:rsid w:val="006523F6"/>
    <w:rsid w:val="0068444A"/>
    <w:rsid w:val="00687FE2"/>
    <w:rsid w:val="006A204D"/>
    <w:rsid w:val="006A2548"/>
    <w:rsid w:val="006A6B52"/>
    <w:rsid w:val="006B5557"/>
    <w:rsid w:val="006C031B"/>
    <w:rsid w:val="006C47BC"/>
    <w:rsid w:val="006D79F5"/>
    <w:rsid w:val="006F2931"/>
    <w:rsid w:val="00721E8A"/>
    <w:rsid w:val="0072601E"/>
    <w:rsid w:val="00734F7D"/>
    <w:rsid w:val="00776242"/>
    <w:rsid w:val="00780EE6"/>
    <w:rsid w:val="00782FE4"/>
    <w:rsid w:val="00791DB0"/>
    <w:rsid w:val="007A6923"/>
    <w:rsid w:val="007B1327"/>
    <w:rsid w:val="007C2C71"/>
    <w:rsid w:val="007C7F64"/>
    <w:rsid w:val="0080343E"/>
    <w:rsid w:val="008255E6"/>
    <w:rsid w:val="00830AB4"/>
    <w:rsid w:val="0083194E"/>
    <w:rsid w:val="00834914"/>
    <w:rsid w:val="00874796"/>
    <w:rsid w:val="00875D6D"/>
    <w:rsid w:val="008A45B1"/>
    <w:rsid w:val="008A6124"/>
    <w:rsid w:val="008B4831"/>
    <w:rsid w:val="008B4B48"/>
    <w:rsid w:val="008B679F"/>
    <w:rsid w:val="008D6C49"/>
    <w:rsid w:val="008F5EAF"/>
    <w:rsid w:val="009339E4"/>
    <w:rsid w:val="00941619"/>
    <w:rsid w:val="0094747C"/>
    <w:rsid w:val="00954F3B"/>
    <w:rsid w:val="00965F51"/>
    <w:rsid w:val="00984890"/>
    <w:rsid w:val="00986F44"/>
    <w:rsid w:val="009955D4"/>
    <w:rsid w:val="00995C4D"/>
    <w:rsid w:val="009A6033"/>
    <w:rsid w:val="009E74B7"/>
    <w:rsid w:val="00A0063E"/>
    <w:rsid w:val="00A06AD5"/>
    <w:rsid w:val="00A115D5"/>
    <w:rsid w:val="00A42CFB"/>
    <w:rsid w:val="00A52ED2"/>
    <w:rsid w:val="00A57003"/>
    <w:rsid w:val="00A63479"/>
    <w:rsid w:val="00A71389"/>
    <w:rsid w:val="00A774E1"/>
    <w:rsid w:val="00A905CE"/>
    <w:rsid w:val="00A97604"/>
    <w:rsid w:val="00A978AB"/>
    <w:rsid w:val="00AB7977"/>
    <w:rsid w:val="00AE0F00"/>
    <w:rsid w:val="00AE18B8"/>
    <w:rsid w:val="00AF229B"/>
    <w:rsid w:val="00AF773C"/>
    <w:rsid w:val="00B128CD"/>
    <w:rsid w:val="00B219C1"/>
    <w:rsid w:val="00B23C60"/>
    <w:rsid w:val="00B40896"/>
    <w:rsid w:val="00B4326C"/>
    <w:rsid w:val="00B439B0"/>
    <w:rsid w:val="00B6149E"/>
    <w:rsid w:val="00B6538E"/>
    <w:rsid w:val="00B70422"/>
    <w:rsid w:val="00B74550"/>
    <w:rsid w:val="00B760AB"/>
    <w:rsid w:val="00BA676F"/>
    <w:rsid w:val="00BB6A11"/>
    <w:rsid w:val="00BC0901"/>
    <w:rsid w:val="00BE0B40"/>
    <w:rsid w:val="00BE799C"/>
    <w:rsid w:val="00BF63DF"/>
    <w:rsid w:val="00C0008E"/>
    <w:rsid w:val="00C10A1B"/>
    <w:rsid w:val="00C17E0F"/>
    <w:rsid w:val="00C431E8"/>
    <w:rsid w:val="00C56208"/>
    <w:rsid w:val="00C7784A"/>
    <w:rsid w:val="00C77938"/>
    <w:rsid w:val="00C813CE"/>
    <w:rsid w:val="00C972EE"/>
    <w:rsid w:val="00CB3B4E"/>
    <w:rsid w:val="00CB6744"/>
    <w:rsid w:val="00CC07A1"/>
    <w:rsid w:val="00CD6BD4"/>
    <w:rsid w:val="00CE28B3"/>
    <w:rsid w:val="00D002F1"/>
    <w:rsid w:val="00D05CAE"/>
    <w:rsid w:val="00D43247"/>
    <w:rsid w:val="00D67A3E"/>
    <w:rsid w:val="00D744F4"/>
    <w:rsid w:val="00D745D3"/>
    <w:rsid w:val="00D827BD"/>
    <w:rsid w:val="00D8451E"/>
    <w:rsid w:val="00D90766"/>
    <w:rsid w:val="00D90770"/>
    <w:rsid w:val="00D97E73"/>
    <w:rsid w:val="00DA4815"/>
    <w:rsid w:val="00DB0A77"/>
    <w:rsid w:val="00DE3BBE"/>
    <w:rsid w:val="00DE7113"/>
    <w:rsid w:val="00E0182F"/>
    <w:rsid w:val="00E03970"/>
    <w:rsid w:val="00E1765C"/>
    <w:rsid w:val="00E25EC0"/>
    <w:rsid w:val="00E465A7"/>
    <w:rsid w:val="00E620B6"/>
    <w:rsid w:val="00E76FE3"/>
    <w:rsid w:val="00E83915"/>
    <w:rsid w:val="00E84AA8"/>
    <w:rsid w:val="00EA3A69"/>
    <w:rsid w:val="00EC0ED8"/>
    <w:rsid w:val="00EC0F29"/>
    <w:rsid w:val="00EC2A44"/>
    <w:rsid w:val="00EC49CA"/>
    <w:rsid w:val="00EC5CC8"/>
    <w:rsid w:val="00ED580A"/>
    <w:rsid w:val="00ED73E6"/>
    <w:rsid w:val="00EE6086"/>
    <w:rsid w:val="00F00637"/>
    <w:rsid w:val="00F11951"/>
    <w:rsid w:val="00F1442C"/>
    <w:rsid w:val="00F277E2"/>
    <w:rsid w:val="00F33778"/>
    <w:rsid w:val="00F55E5A"/>
    <w:rsid w:val="00F93640"/>
    <w:rsid w:val="00FA4B5E"/>
    <w:rsid w:val="00FE5A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796"/>
    <w:pPr>
      <w:spacing w:line="240" w:lineRule="auto"/>
      <w:jc w:val="right"/>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2931"/>
    <w:pPr>
      <w:tabs>
        <w:tab w:val="center" w:pos="4536"/>
        <w:tab w:val="right" w:pos="9072"/>
      </w:tabs>
      <w:spacing w:after="0"/>
    </w:pPr>
  </w:style>
  <w:style w:type="character" w:customStyle="1" w:styleId="En-tteCar">
    <w:name w:val="En-tête Car"/>
    <w:basedOn w:val="Policepardfaut"/>
    <w:link w:val="En-tte"/>
    <w:uiPriority w:val="99"/>
    <w:rsid w:val="006F2931"/>
  </w:style>
  <w:style w:type="paragraph" w:styleId="Pieddepage">
    <w:name w:val="footer"/>
    <w:basedOn w:val="Normal"/>
    <w:link w:val="PieddepageCar"/>
    <w:uiPriority w:val="99"/>
    <w:semiHidden/>
    <w:unhideWhenUsed/>
    <w:rsid w:val="006F2931"/>
    <w:pPr>
      <w:tabs>
        <w:tab w:val="center" w:pos="4536"/>
        <w:tab w:val="right" w:pos="9072"/>
      </w:tabs>
      <w:spacing w:after="0"/>
    </w:pPr>
  </w:style>
  <w:style w:type="character" w:customStyle="1" w:styleId="PieddepageCar">
    <w:name w:val="Pied de page Car"/>
    <w:basedOn w:val="Policepardfaut"/>
    <w:link w:val="Pieddepage"/>
    <w:uiPriority w:val="99"/>
    <w:semiHidden/>
    <w:rsid w:val="006F2931"/>
  </w:style>
  <w:style w:type="paragraph" w:styleId="Textedebulles">
    <w:name w:val="Balloon Text"/>
    <w:basedOn w:val="Normal"/>
    <w:link w:val="TextedebullesCar"/>
    <w:uiPriority w:val="99"/>
    <w:semiHidden/>
    <w:unhideWhenUsed/>
    <w:rsid w:val="006F2931"/>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F2931"/>
    <w:rPr>
      <w:rFonts w:ascii="Tahoma" w:hAnsi="Tahoma" w:cs="Tahoma"/>
      <w:sz w:val="16"/>
      <w:szCs w:val="16"/>
    </w:rPr>
  </w:style>
  <w:style w:type="paragraph" w:styleId="Notedebasdepage">
    <w:name w:val="footnote text"/>
    <w:basedOn w:val="Normal"/>
    <w:link w:val="NotedebasdepageCar"/>
    <w:uiPriority w:val="99"/>
    <w:semiHidden/>
    <w:unhideWhenUsed/>
    <w:rsid w:val="006A6B52"/>
    <w:pPr>
      <w:spacing w:after="0"/>
    </w:pPr>
    <w:rPr>
      <w:sz w:val="20"/>
      <w:szCs w:val="20"/>
    </w:rPr>
  </w:style>
  <w:style w:type="character" w:customStyle="1" w:styleId="NotedebasdepageCar">
    <w:name w:val="Note de bas de page Car"/>
    <w:basedOn w:val="Policepardfaut"/>
    <w:link w:val="Notedebasdepage"/>
    <w:uiPriority w:val="99"/>
    <w:semiHidden/>
    <w:rsid w:val="006A6B52"/>
    <w:rPr>
      <w:sz w:val="20"/>
      <w:szCs w:val="20"/>
    </w:rPr>
  </w:style>
  <w:style w:type="character" w:styleId="Appelnotedebasdep">
    <w:name w:val="footnote reference"/>
    <w:basedOn w:val="Policepardfaut"/>
    <w:uiPriority w:val="99"/>
    <w:unhideWhenUsed/>
    <w:rsid w:val="004425B9"/>
    <w:rPr>
      <w:rFonts w:ascii="Simplified Arabic" w:hAnsi="Simplified Arabic"/>
      <w:sz w:val="24"/>
      <w:vertAlign w:val="superscript"/>
    </w:rPr>
  </w:style>
  <w:style w:type="paragraph" w:styleId="Paragraphedeliste">
    <w:name w:val="List Paragraph"/>
    <w:basedOn w:val="Normal"/>
    <w:uiPriority w:val="34"/>
    <w:qFormat/>
    <w:rsid w:val="00776242"/>
    <w:pPr>
      <w:ind w:left="720"/>
      <w:contextualSpacing/>
    </w:pPr>
  </w:style>
  <w:style w:type="numbering" w:customStyle="1" w:styleId="Style1">
    <w:name w:val="Style1"/>
    <w:uiPriority w:val="99"/>
    <w:rsid w:val="00304C81"/>
    <w:pPr>
      <w:numPr>
        <w:numId w:val="32"/>
      </w:numPr>
    </w:pPr>
  </w:style>
</w:styles>
</file>

<file path=word/webSettings.xml><?xml version="1.0" encoding="utf-8"?>
<w:webSettings xmlns:r="http://schemas.openxmlformats.org/officeDocument/2006/relationships" xmlns:w="http://schemas.openxmlformats.org/wordprocessingml/2006/main">
  <w:divs>
    <w:div w:id="605966717">
      <w:bodyDiv w:val="1"/>
      <w:marLeft w:val="0"/>
      <w:marRight w:val="0"/>
      <w:marTop w:val="0"/>
      <w:marBottom w:val="0"/>
      <w:divBdr>
        <w:top w:val="none" w:sz="0" w:space="0" w:color="auto"/>
        <w:left w:val="none" w:sz="0" w:space="0" w:color="auto"/>
        <w:bottom w:val="none" w:sz="0" w:space="0" w:color="auto"/>
        <w:right w:val="none" w:sz="0" w:space="0" w:color="auto"/>
      </w:divBdr>
    </w:div>
    <w:div w:id="889341959">
      <w:bodyDiv w:val="1"/>
      <w:marLeft w:val="0"/>
      <w:marRight w:val="0"/>
      <w:marTop w:val="0"/>
      <w:marBottom w:val="0"/>
      <w:divBdr>
        <w:top w:val="none" w:sz="0" w:space="0" w:color="auto"/>
        <w:left w:val="none" w:sz="0" w:space="0" w:color="auto"/>
        <w:bottom w:val="none" w:sz="0" w:space="0" w:color="auto"/>
        <w:right w:val="none" w:sz="0" w:space="0" w:color="auto"/>
      </w:divBdr>
    </w:div>
    <w:div w:id="158842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09C4F-4B37-4727-A194-E17EB22FF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19</Pages>
  <Words>3779</Words>
  <Characters>21545</Characters>
  <Application>Microsoft Office Word</Application>
  <DocSecurity>0</DocSecurity>
  <Lines>179</Lines>
  <Paragraphs>50</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elathir</dc:creator>
  <cp:keywords/>
  <dc:description/>
  <cp:lastModifiedBy>1</cp:lastModifiedBy>
  <cp:revision>154</cp:revision>
  <cp:lastPrinted>2015-05-12T05:28:00Z</cp:lastPrinted>
  <dcterms:created xsi:type="dcterms:W3CDTF">2015-04-06T10:08:00Z</dcterms:created>
  <dcterms:modified xsi:type="dcterms:W3CDTF">2020-12-27T07:13:00Z</dcterms:modified>
</cp:coreProperties>
</file>