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1C" w:rsidRDefault="006D7AB1" w:rsidP="006D7AB1">
      <w:pPr>
        <w:spacing w:line="360" w:lineRule="auto"/>
        <w:jc w:val="center"/>
        <w:rPr>
          <w:rFonts w:ascii="Times New Roman" w:hAnsi="Times New Roman" w:cs="Times New Roman" w:hint="cs"/>
          <w:b/>
          <w:bCs/>
          <w:sz w:val="40"/>
          <w:szCs w:val="40"/>
          <w:rtl/>
          <w:lang w:bidi="ar-DZ"/>
        </w:rPr>
      </w:pPr>
      <w:proofErr w:type="gramStart"/>
      <w:r w:rsidRPr="006D7AB1">
        <w:rPr>
          <w:rFonts w:ascii="Times New Roman" w:hAnsi="Times New Roman" w:cs="Times New Roman" w:hint="cs"/>
          <w:b/>
          <w:bCs/>
          <w:sz w:val="40"/>
          <w:szCs w:val="40"/>
          <w:rtl/>
          <w:lang w:bidi="ar-DZ"/>
        </w:rPr>
        <w:t>ال</w:t>
      </w:r>
      <w:r>
        <w:rPr>
          <w:rFonts w:ascii="Times New Roman" w:hAnsi="Times New Roman" w:cs="Times New Roman" w:hint="cs"/>
          <w:b/>
          <w:bCs/>
          <w:sz w:val="40"/>
          <w:szCs w:val="40"/>
          <w:rtl/>
          <w:lang w:bidi="ar-DZ"/>
        </w:rPr>
        <w:t>ـــ</w:t>
      </w:r>
      <w:r w:rsidRPr="006D7AB1">
        <w:rPr>
          <w:rFonts w:ascii="Times New Roman" w:hAnsi="Times New Roman" w:cs="Times New Roman" w:hint="cs"/>
          <w:b/>
          <w:bCs/>
          <w:sz w:val="40"/>
          <w:szCs w:val="40"/>
          <w:rtl/>
          <w:lang w:bidi="ar-DZ"/>
        </w:rPr>
        <w:t>مق</w:t>
      </w:r>
      <w:r>
        <w:rPr>
          <w:rFonts w:ascii="Times New Roman" w:hAnsi="Times New Roman" w:cs="Times New Roman" w:hint="cs"/>
          <w:b/>
          <w:bCs/>
          <w:sz w:val="40"/>
          <w:szCs w:val="40"/>
          <w:rtl/>
          <w:lang w:bidi="ar-DZ"/>
        </w:rPr>
        <w:t>ـــ</w:t>
      </w:r>
      <w:r w:rsidRPr="006D7AB1">
        <w:rPr>
          <w:rFonts w:ascii="Times New Roman" w:hAnsi="Times New Roman" w:cs="Times New Roman" w:hint="cs"/>
          <w:b/>
          <w:bCs/>
          <w:sz w:val="40"/>
          <w:szCs w:val="40"/>
          <w:rtl/>
          <w:lang w:bidi="ar-DZ"/>
        </w:rPr>
        <w:t>دم</w:t>
      </w:r>
      <w:proofErr w:type="gramEnd"/>
    </w:p>
    <w:p w:rsidR="006D7AB1" w:rsidRDefault="006D7AB1" w:rsidP="006D7AB1">
      <w:pPr>
        <w:spacing w:line="360" w:lineRule="auto"/>
        <w:jc w:val="right"/>
        <w:rPr>
          <w:rFonts w:ascii="Times New Roman" w:hAnsi="Times New Roman" w:cs="Times New Roman" w:hint="cs"/>
          <w:sz w:val="32"/>
          <w:szCs w:val="32"/>
          <w:rtl/>
          <w:lang w:bidi="ar-DZ"/>
        </w:rPr>
      </w:pPr>
    </w:p>
    <w:p w:rsidR="0003442A" w:rsidRDefault="006D7AB1" w:rsidP="006D7AB1">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نظم</w:t>
      </w:r>
      <w:proofErr w:type="gramEnd"/>
      <w:r>
        <w:rPr>
          <w:rFonts w:ascii="Times New Roman" w:hAnsi="Times New Roman" w:cs="Times New Roman" w:hint="cs"/>
          <w:sz w:val="32"/>
          <w:szCs w:val="32"/>
          <w:rtl/>
          <w:lang w:bidi="ar-DZ"/>
        </w:rPr>
        <w:t xml:space="preserve"> قانون الأسرة الجزائري الأحكام المتعلقة بالمقدم في المادة 99 المادة 100،</w:t>
      </w:r>
      <w:r w:rsidR="0003442A">
        <w:rPr>
          <w:rFonts w:ascii="Times New Roman" w:hAnsi="Times New Roman" w:cs="Times New Roman" w:hint="cs"/>
          <w:sz w:val="32"/>
          <w:szCs w:val="32"/>
          <w:rtl/>
          <w:lang w:bidi="ar-DZ"/>
        </w:rPr>
        <w:t xml:space="preserve"> وسنتناول موضوع المقدم في ثلاث نقاط رئيسية نتناول في الأولى عن تعيين المقدم، وفي الثانية نتناول تصرفات المقدم، وأخيرا نتحدث عن شروط المقدم.</w:t>
      </w:r>
    </w:p>
    <w:p w:rsidR="0003442A" w:rsidRPr="0003442A" w:rsidRDefault="0003442A" w:rsidP="006D7AB1">
      <w:pPr>
        <w:spacing w:line="360" w:lineRule="auto"/>
        <w:jc w:val="right"/>
        <w:rPr>
          <w:rFonts w:ascii="Times New Roman" w:hAnsi="Times New Roman" w:cs="Times New Roman" w:hint="cs"/>
          <w:b/>
          <w:bCs/>
          <w:sz w:val="32"/>
          <w:szCs w:val="32"/>
          <w:rtl/>
          <w:lang w:bidi="ar-DZ"/>
        </w:rPr>
      </w:pPr>
      <w:r w:rsidRPr="0003442A">
        <w:rPr>
          <w:rFonts w:ascii="Times New Roman" w:hAnsi="Times New Roman" w:cs="Times New Roman" w:hint="cs"/>
          <w:b/>
          <w:bCs/>
          <w:sz w:val="32"/>
          <w:szCs w:val="32"/>
          <w:rtl/>
          <w:lang w:bidi="ar-DZ"/>
        </w:rPr>
        <w:t xml:space="preserve">   1/ تعيين المقدم:</w:t>
      </w:r>
    </w:p>
    <w:p w:rsidR="00884EAC" w:rsidRDefault="0003442A" w:rsidP="006D7AB1">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w:t>
      </w:r>
      <w:r w:rsidR="006D7AB1">
        <w:rPr>
          <w:rFonts w:ascii="Times New Roman" w:hAnsi="Times New Roman" w:cs="Times New Roman" w:hint="cs"/>
          <w:sz w:val="32"/>
          <w:szCs w:val="32"/>
          <w:rtl/>
          <w:lang w:bidi="ar-DZ"/>
        </w:rPr>
        <w:t xml:space="preserve"> حيث بينت المادة 99 أن المقدم هو من تعينه المحكمة في حالة عدم وجود ولي أو وصي ليتولى شؤون فاقد الأهلية أو منقوصها، بناء على طلب أحد أقاربه، أو ممن له مصلحة، أو من النيابة، فالمقدم إذن </w:t>
      </w:r>
      <w:proofErr w:type="spellStart"/>
      <w:r w:rsidR="006D7AB1">
        <w:rPr>
          <w:rFonts w:ascii="Times New Roman" w:hAnsi="Times New Roman" w:cs="Times New Roman" w:hint="cs"/>
          <w:sz w:val="32"/>
          <w:szCs w:val="32"/>
          <w:rtl/>
          <w:lang w:bidi="ar-DZ"/>
        </w:rPr>
        <w:t>ينوب</w:t>
      </w:r>
      <w:proofErr w:type="spellEnd"/>
      <w:r w:rsidR="006D7AB1">
        <w:rPr>
          <w:rFonts w:ascii="Times New Roman" w:hAnsi="Times New Roman" w:cs="Times New Roman" w:hint="cs"/>
          <w:sz w:val="32"/>
          <w:szCs w:val="32"/>
          <w:rtl/>
          <w:lang w:bidi="ar-DZ"/>
        </w:rPr>
        <w:t xml:space="preserve"> عن القاضي لأن الأصل في الفقه الإسلامي أن الولاية تؤول إلى القاضي، والقاعدة عندهم أن "القاضي ولي من لا ولي له"، وبناء عليه يمكن للقاضي أن يباشر الولاية عن القاصر بنفسه، كما يمكنه أن يعين من </w:t>
      </w:r>
      <w:proofErr w:type="spellStart"/>
      <w:r w:rsidR="006D7AB1">
        <w:rPr>
          <w:rFonts w:ascii="Times New Roman" w:hAnsi="Times New Roman" w:cs="Times New Roman" w:hint="cs"/>
          <w:sz w:val="32"/>
          <w:szCs w:val="32"/>
          <w:rtl/>
          <w:lang w:bidi="ar-DZ"/>
        </w:rPr>
        <w:t>ينوب</w:t>
      </w:r>
      <w:proofErr w:type="spellEnd"/>
      <w:r w:rsidR="006D7AB1">
        <w:rPr>
          <w:rFonts w:ascii="Times New Roman" w:hAnsi="Times New Roman" w:cs="Times New Roman" w:hint="cs"/>
          <w:sz w:val="32"/>
          <w:szCs w:val="32"/>
          <w:rtl/>
          <w:lang w:bidi="ar-DZ"/>
        </w:rPr>
        <w:t xml:space="preserve"> عنه فيسمى مقدما، ويسمى عند الفقهاء بالوصي المعين</w:t>
      </w:r>
      <w:r w:rsidR="00884EAC">
        <w:rPr>
          <w:rFonts w:ascii="Times New Roman" w:hAnsi="Times New Roman" w:cs="Times New Roman" w:hint="cs"/>
          <w:sz w:val="32"/>
          <w:szCs w:val="32"/>
          <w:rtl/>
          <w:lang w:bidi="ar-DZ"/>
        </w:rPr>
        <w:t>، وقد نصت المادة 469 من قانون الإجراءات المدنية والإدارية بأن يعين القاضي مقدما من بين أقارب القاصر، فالأولية تكون للأقارب كالإخوة، أو الأعمام، أو الأخوال، أو الجد وغيرهم، وفي حالة تعذر ذلك يعين شخصا آخر يختاره حتى وإن لم يكن له صلة قرابة بالقاصر، ويتم ذلك بنفس الإجراء الذي بيناه عند الحديث عن الوصي، وذلك بتقديم طلب لتعيين المقدم في شكل عريضة من قبل الأشخاص المؤهلين وهم:</w:t>
      </w:r>
    </w:p>
    <w:p w:rsidR="006D7AB1" w:rsidRDefault="0003442A" w:rsidP="0003442A">
      <w:pPr>
        <w:spacing w:line="360" w:lineRule="auto"/>
        <w:jc w:val="right"/>
        <w:rPr>
          <w:rFonts w:ascii="Times New Roman" w:hAnsi="Times New Roman" w:cs="Times New Roman" w:hint="cs"/>
          <w:sz w:val="32"/>
          <w:szCs w:val="32"/>
          <w:rtl/>
          <w:lang w:bidi="ar-DZ"/>
        </w:rPr>
      </w:pPr>
      <w:r w:rsidRPr="0003442A">
        <w:rPr>
          <w:rFonts w:ascii="Times New Roman" w:hAnsi="Times New Roman" w:cs="Times New Roman" w:hint="cs"/>
          <w:b/>
          <w:bCs/>
          <w:sz w:val="32"/>
          <w:szCs w:val="32"/>
          <w:rtl/>
          <w:lang w:bidi="ar-DZ"/>
        </w:rPr>
        <w:t xml:space="preserve">   أ/ الأقارب:</w:t>
      </w:r>
      <w:r>
        <w:rPr>
          <w:rFonts w:ascii="Times New Roman" w:hAnsi="Times New Roman" w:cs="Times New Roman" w:hint="cs"/>
          <w:sz w:val="32"/>
          <w:szCs w:val="32"/>
          <w:rtl/>
          <w:lang w:bidi="ar-DZ"/>
        </w:rPr>
        <w:t xml:space="preserve"> وهم من تربطهم بالقاصر رابطة قرابة من غير الأولياء، سواء كانوا من الأصول البعيدة كالجد والجدة، أو من الحواشي القريبة كالإخوة، أو من الحواشي البعيدة كالأعمام، وهم معنيون أصلا بالتقديم، حيث أن قانون الإجراءات المدنية منحهم الأولية، وقد وجه القاضي إلى أنه لا يلجأ إلى شخص آخر إلا عند تعذر وجود من هو أهل من الأقارب لتولي شؤون قريبه القاصر، وما دام الأمر كذلك فبالتأكيد أن لهم الصفة والمصلحة في تقديم طلب تعيين أحدهم على شؤون القاصر.</w:t>
      </w:r>
    </w:p>
    <w:p w:rsidR="0003442A" w:rsidRDefault="0003442A" w:rsidP="0003442A">
      <w:pPr>
        <w:spacing w:line="360" w:lineRule="auto"/>
        <w:jc w:val="right"/>
        <w:rPr>
          <w:rFonts w:ascii="Times New Roman" w:hAnsi="Times New Roman" w:cs="Times New Roman" w:hint="cs"/>
          <w:sz w:val="32"/>
          <w:szCs w:val="32"/>
          <w:rtl/>
          <w:lang w:bidi="ar-DZ"/>
        </w:rPr>
      </w:pPr>
      <w:r w:rsidRPr="0003442A">
        <w:rPr>
          <w:rFonts w:ascii="Times New Roman" w:hAnsi="Times New Roman" w:cs="Times New Roman" w:hint="cs"/>
          <w:b/>
          <w:bCs/>
          <w:sz w:val="32"/>
          <w:szCs w:val="32"/>
          <w:rtl/>
          <w:lang w:bidi="ar-DZ"/>
        </w:rPr>
        <w:lastRenderedPageBreak/>
        <w:t xml:space="preserve">   ب/ من له مصلحة:</w:t>
      </w:r>
      <w:r>
        <w:rPr>
          <w:rFonts w:ascii="Times New Roman" w:hAnsi="Times New Roman" w:cs="Times New Roman" w:hint="cs"/>
          <w:sz w:val="32"/>
          <w:szCs w:val="32"/>
          <w:rtl/>
          <w:lang w:bidi="ar-DZ"/>
        </w:rPr>
        <w:t xml:space="preserve"> وهم إما أن يكونوا من الأقارب الذين </w:t>
      </w:r>
      <w:r w:rsidR="00BA721C">
        <w:rPr>
          <w:rFonts w:ascii="Times New Roman" w:hAnsi="Times New Roman" w:cs="Times New Roman" w:hint="cs"/>
          <w:sz w:val="32"/>
          <w:szCs w:val="32"/>
          <w:rtl/>
          <w:lang w:bidi="ar-DZ"/>
        </w:rPr>
        <w:t>ليس لهم أولوية في التقديم، ولكنهم معنيون بمصلحة القاصر كالأخوال وغيرهم من ذوي الأرحام، كأبناء العمة، أو الخالة ،وغيرهم، كما يكون صاحب مصلحة من كان شريكا في أموال القصر، أو كأن يكون له حق في أموال القاصر كالدائن، مهما كانت طبيعة المال،</w:t>
      </w:r>
      <w:r w:rsidR="00EE73D2">
        <w:rPr>
          <w:rFonts w:ascii="Times New Roman" w:hAnsi="Times New Roman" w:cs="Times New Roman" w:hint="cs"/>
          <w:sz w:val="32"/>
          <w:szCs w:val="32"/>
          <w:rtl/>
          <w:lang w:bidi="ar-DZ"/>
        </w:rPr>
        <w:t xml:space="preserve"> فهؤلاء الأشخاص يحق لهم بحكم المصلحة أن يطالبوا المحكمة بتعيين مقدم يسهر على أموال القاصر وذلك حتى لا تتعطل مصالحهم، أو تتعرض للضرر.</w:t>
      </w:r>
    </w:p>
    <w:p w:rsidR="00EE73D2" w:rsidRDefault="00EE73D2" w:rsidP="0003442A">
      <w:pPr>
        <w:spacing w:line="360" w:lineRule="auto"/>
        <w:jc w:val="right"/>
        <w:rPr>
          <w:rFonts w:ascii="Times New Roman" w:hAnsi="Times New Roman" w:cs="Times New Roman" w:hint="cs"/>
          <w:sz w:val="32"/>
          <w:szCs w:val="32"/>
          <w:rtl/>
          <w:lang w:bidi="ar-DZ"/>
        </w:rPr>
      </w:pPr>
      <w:r w:rsidRPr="00EE73D2">
        <w:rPr>
          <w:rFonts w:ascii="Times New Roman" w:hAnsi="Times New Roman" w:cs="Times New Roman" w:hint="cs"/>
          <w:b/>
          <w:bCs/>
          <w:sz w:val="32"/>
          <w:szCs w:val="32"/>
          <w:rtl/>
          <w:lang w:bidi="ar-DZ"/>
        </w:rPr>
        <w:t xml:space="preserve">   </w:t>
      </w:r>
      <w:proofErr w:type="spellStart"/>
      <w:r w:rsidRPr="00EE73D2">
        <w:rPr>
          <w:rFonts w:ascii="Times New Roman" w:hAnsi="Times New Roman" w:cs="Times New Roman" w:hint="cs"/>
          <w:b/>
          <w:bCs/>
          <w:sz w:val="32"/>
          <w:szCs w:val="32"/>
          <w:rtl/>
          <w:lang w:bidi="ar-DZ"/>
        </w:rPr>
        <w:t>جـ</w:t>
      </w:r>
      <w:proofErr w:type="spellEnd"/>
      <w:r w:rsidRPr="00EE73D2">
        <w:rPr>
          <w:rFonts w:ascii="Times New Roman" w:hAnsi="Times New Roman" w:cs="Times New Roman" w:hint="cs"/>
          <w:b/>
          <w:bCs/>
          <w:sz w:val="32"/>
          <w:szCs w:val="32"/>
          <w:rtl/>
          <w:lang w:bidi="ar-DZ"/>
        </w:rPr>
        <w:t xml:space="preserve">/ </w:t>
      </w:r>
      <w:proofErr w:type="gramStart"/>
      <w:r w:rsidRPr="00EE73D2">
        <w:rPr>
          <w:rFonts w:ascii="Times New Roman" w:hAnsi="Times New Roman" w:cs="Times New Roman" w:hint="cs"/>
          <w:b/>
          <w:bCs/>
          <w:sz w:val="32"/>
          <w:szCs w:val="32"/>
          <w:rtl/>
          <w:lang w:bidi="ar-DZ"/>
        </w:rPr>
        <w:t>النيابة</w:t>
      </w:r>
      <w:proofErr w:type="gramEnd"/>
      <w:r w:rsidRPr="00EE73D2">
        <w:rPr>
          <w:rFonts w:ascii="Times New Roman" w:hAnsi="Times New Roman" w:cs="Times New Roman" w:hint="cs"/>
          <w:b/>
          <w:bCs/>
          <w:sz w:val="32"/>
          <w:szCs w:val="32"/>
          <w:rtl/>
          <w:lang w:bidi="ar-DZ"/>
        </w:rPr>
        <w:t>:</w:t>
      </w:r>
      <w:r>
        <w:rPr>
          <w:rFonts w:ascii="Times New Roman" w:hAnsi="Times New Roman" w:cs="Times New Roman" w:hint="cs"/>
          <w:b/>
          <w:bCs/>
          <w:sz w:val="32"/>
          <w:szCs w:val="32"/>
          <w:rtl/>
          <w:lang w:bidi="ar-DZ"/>
        </w:rPr>
        <w:t xml:space="preserve"> </w:t>
      </w:r>
      <w:r w:rsidRPr="00EE73D2">
        <w:rPr>
          <w:rFonts w:ascii="Times New Roman" w:hAnsi="Times New Roman" w:cs="Times New Roman" w:hint="cs"/>
          <w:sz w:val="32"/>
          <w:szCs w:val="32"/>
          <w:rtl/>
          <w:lang w:bidi="ar-DZ"/>
        </w:rPr>
        <w:t>النيابة في قانون الأسرة هي طرف أصلي في جميع القضايا الرا</w:t>
      </w:r>
      <w:r>
        <w:rPr>
          <w:rFonts w:ascii="Times New Roman" w:hAnsi="Times New Roman" w:cs="Times New Roman" w:hint="cs"/>
          <w:sz w:val="32"/>
          <w:szCs w:val="32"/>
          <w:rtl/>
          <w:lang w:bidi="ar-DZ"/>
        </w:rPr>
        <w:t>مية إلى تطبيق أحكام هذا القانون كما ورد في نص المادة 3 مكرر،</w:t>
      </w:r>
      <w:r w:rsidRPr="00EE73D2">
        <w:rPr>
          <w:rFonts w:ascii="Times New Roman" w:hAnsi="Times New Roman" w:cs="Times New Roman" w:hint="cs"/>
          <w:sz w:val="32"/>
          <w:szCs w:val="32"/>
          <w:rtl/>
          <w:lang w:bidi="ar-DZ"/>
        </w:rPr>
        <w:t xml:space="preserve"> وما دامت طرفا أصيلا فهي تملك الصفة</w:t>
      </w:r>
      <w:r>
        <w:rPr>
          <w:rFonts w:ascii="Times New Roman" w:hAnsi="Times New Roman" w:cs="Times New Roman" w:hint="cs"/>
          <w:sz w:val="32"/>
          <w:szCs w:val="32"/>
          <w:rtl/>
          <w:lang w:bidi="ar-DZ"/>
        </w:rPr>
        <w:t xml:space="preserve"> والمصلحة في طاب تعيين من يتكفل بشؤون القاصر.</w:t>
      </w:r>
    </w:p>
    <w:p w:rsidR="00434A97" w:rsidRDefault="00EE73D2" w:rsidP="0003442A">
      <w:pPr>
        <w:spacing w:line="360" w:lineRule="auto"/>
        <w:jc w:val="right"/>
        <w:rPr>
          <w:rFonts w:ascii="Times New Roman" w:hAnsi="Times New Roman" w:cs="Times New Roman" w:hint="cs"/>
          <w:sz w:val="32"/>
          <w:szCs w:val="32"/>
          <w:rtl/>
          <w:lang w:bidi="ar-DZ"/>
        </w:rPr>
      </w:pPr>
      <w:r w:rsidRPr="00EE73D2">
        <w:rPr>
          <w:rFonts w:ascii="Times New Roman" w:hAnsi="Times New Roman" w:cs="Times New Roman" w:hint="cs"/>
          <w:b/>
          <w:bCs/>
          <w:sz w:val="32"/>
          <w:szCs w:val="32"/>
          <w:rtl/>
          <w:lang w:bidi="ar-DZ"/>
        </w:rPr>
        <w:t xml:space="preserve">   د/ القاصر الذي بلغ سن التمييز:</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وفقا للمادة 472 من قانون الإجراءات المدنية والإدارية </w:t>
      </w:r>
      <w:r w:rsidR="00434A97">
        <w:rPr>
          <w:rFonts w:ascii="Times New Roman" w:hAnsi="Times New Roman" w:cs="Times New Roman" w:hint="cs"/>
          <w:sz w:val="32"/>
          <w:szCs w:val="32"/>
          <w:rtl/>
          <w:lang w:bidi="ar-DZ"/>
        </w:rPr>
        <w:t xml:space="preserve">يحق للصبي المميز أن يطلب تثبيت </w:t>
      </w:r>
      <w:proofErr w:type="spellStart"/>
      <w:r w:rsidR="00434A97">
        <w:rPr>
          <w:rFonts w:ascii="Times New Roman" w:hAnsi="Times New Roman" w:cs="Times New Roman" w:hint="cs"/>
          <w:sz w:val="32"/>
          <w:szCs w:val="32"/>
          <w:rtl/>
          <w:lang w:bidi="ar-DZ"/>
        </w:rPr>
        <w:t>الوصابة</w:t>
      </w:r>
      <w:proofErr w:type="spellEnd"/>
      <w:r w:rsidR="00434A97">
        <w:rPr>
          <w:rFonts w:ascii="Times New Roman" w:hAnsi="Times New Roman" w:cs="Times New Roman" w:hint="cs"/>
          <w:sz w:val="32"/>
          <w:szCs w:val="32"/>
          <w:rtl/>
          <w:lang w:bidi="ar-DZ"/>
        </w:rPr>
        <w:t xml:space="preserve"> أو رفضها، وهو بذلك أيضا يملك الصفة لطلب تعيين من يقوم على شؤونه المالية، لأنه لا فرق بين الوصي والمقدم.</w:t>
      </w:r>
    </w:p>
    <w:p w:rsidR="00EE73D2" w:rsidRDefault="00434A97" w:rsidP="0003442A">
      <w:pPr>
        <w:spacing w:line="360" w:lineRule="auto"/>
        <w:jc w:val="right"/>
        <w:rPr>
          <w:rFonts w:ascii="Times New Roman" w:hAnsi="Times New Roman" w:cs="Times New Roman" w:hint="cs"/>
          <w:b/>
          <w:bCs/>
          <w:sz w:val="32"/>
          <w:szCs w:val="32"/>
          <w:rtl/>
          <w:lang w:bidi="ar-DZ"/>
        </w:rPr>
      </w:pPr>
      <w:r w:rsidRPr="00434A97">
        <w:rPr>
          <w:rFonts w:ascii="Times New Roman" w:hAnsi="Times New Roman" w:cs="Times New Roman" w:hint="cs"/>
          <w:b/>
          <w:bCs/>
          <w:sz w:val="32"/>
          <w:szCs w:val="32"/>
          <w:rtl/>
          <w:lang w:bidi="ar-DZ"/>
        </w:rPr>
        <w:t xml:space="preserve">   2/ </w:t>
      </w:r>
      <w:proofErr w:type="gramStart"/>
      <w:r>
        <w:rPr>
          <w:rFonts w:ascii="Times New Roman" w:hAnsi="Times New Roman" w:cs="Times New Roman" w:hint="cs"/>
          <w:b/>
          <w:bCs/>
          <w:sz w:val="32"/>
          <w:szCs w:val="32"/>
          <w:rtl/>
          <w:lang w:bidi="ar-DZ"/>
        </w:rPr>
        <w:t>أحكام</w:t>
      </w:r>
      <w:proofErr w:type="gramEnd"/>
      <w:r>
        <w:rPr>
          <w:rFonts w:ascii="Times New Roman" w:hAnsi="Times New Roman" w:cs="Times New Roman" w:hint="cs"/>
          <w:b/>
          <w:bCs/>
          <w:sz w:val="32"/>
          <w:szCs w:val="32"/>
          <w:rtl/>
          <w:lang w:bidi="ar-DZ"/>
        </w:rPr>
        <w:t xml:space="preserve"> </w:t>
      </w:r>
      <w:r w:rsidRPr="00434A97">
        <w:rPr>
          <w:rFonts w:ascii="Times New Roman" w:hAnsi="Times New Roman" w:cs="Times New Roman" w:hint="cs"/>
          <w:b/>
          <w:bCs/>
          <w:sz w:val="32"/>
          <w:szCs w:val="32"/>
          <w:rtl/>
          <w:lang w:bidi="ar-DZ"/>
        </w:rPr>
        <w:t>تصرفات المقدم:</w:t>
      </w:r>
      <w:r w:rsidR="00EE73D2" w:rsidRPr="00434A97">
        <w:rPr>
          <w:rFonts w:ascii="Times New Roman" w:hAnsi="Times New Roman" w:cs="Times New Roman" w:hint="cs"/>
          <w:b/>
          <w:bCs/>
          <w:sz w:val="32"/>
          <w:szCs w:val="32"/>
          <w:rtl/>
          <w:lang w:bidi="ar-DZ"/>
        </w:rPr>
        <w:t xml:space="preserve"> </w:t>
      </w:r>
    </w:p>
    <w:p w:rsidR="00434A97" w:rsidRDefault="00434A97" w:rsidP="0003442A">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نظم</w:t>
      </w:r>
      <w:proofErr w:type="gramEnd"/>
      <w:r>
        <w:rPr>
          <w:rFonts w:ascii="Times New Roman" w:hAnsi="Times New Roman" w:cs="Times New Roman" w:hint="cs"/>
          <w:sz w:val="32"/>
          <w:szCs w:val="32"/>
          <w:rtl/>
          <w:lang w:bidi="ar-DZ"/>
        </w:rPr>
        <w:t xml:space="preserve"> المشرع في قانون الأسرة أحكام تصرفات المقدم في نص المادة 100، والتي جاء فيها أن:" المقدم يقوم مقام الوصي ويخضع لنفس أحكامه."</w:t>
      </w:r>
    </w:p>
    <w:p w:rsidR="00434A97" w:rsidRDefault="00434A97" w:rsidP="0003442A">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ومن خلال هذا يتبين لنا أن المشرع لم يميز فعليا بين الولي الأصلي والولي بالنيابة شواء كان وصيا، أو مقدما، فالكل يخضع لنفس الأحكام، ما عدا </w:t>
      </w:r>
      <w:r w:rsidR="00ED4DAC">
        <w:rPr>
          <w:rFonts w:ascii="Times New Roman" w:hAnsi="Times New Roman" w:cs="Times New Roman" w:hint="cs"/>
          <w:sz w:val="32"/>
          <w:szCs w:val="32"/>
          <w:rtl/>
          <w:lang w:bidi="ar-DZ"/>
        </w:rPr>
        <w:t xml:space="preserve">ما تعلق بتقديم حسابات بعد انتهاء ولايته مدعمة بالمستندات والوثائق اللازمة، أو تحميل الولي بالنيابة المسؤولية </w:t>
      </w:r>
      <w:proofErr w:type="spellStart"/>
      <w:r w:rsidR="00ED4DAC">
        <w:rPr>
          <w:rFonts w:ascii="Times New Roman" w:hAnsi="Times New Roman" w:cs="Times New Roman" w:hint="cs"/>
          <w:sz w:val="32"/>
          <w:szCs w:val="32"/>
          <w:rtl/>
          <w:lang w:bidi="ar-DZ"/>
        </w:rPr>
        <w:t>التقصيرية</w:t>
      </w:r>
      <w:proofErr w:type="spellEnd"/>
      <w:r w:rsidR="00ED4DAC">
        <w:rPr>
          <w:rFonts w:ascii="Times New Roman" w:hAnsi="Times New Roman" w:cs="Times New Roman" w:hint="cs"/>
          <w:sz w:val="32"/>
          <w:szCs w:val="32"/>
          <w:rtl/>
          <w:lang w:bidi="ar-DZ"/>
        </w:rPr>
        <w:t xml:space="preserve"> عن الأضرار التي تلحق أموال القاصر جراء إهماله، لكن الفقه </w:t>
      </w:r>
      <w:r w:rsidR="000B564F">
        <w:rPr>
          <w:rFonts w:ascii="Times New Roman" w:hAnsi="Times New Roman" w:cs="Times New Roman" w:hint="cs"/>
          <w:sz w:val="32"/>
          <w:szCs w:val="32"/>
          <w:rtl/>
          <w:lang w:bidi="ar-DZ"/>
        </w:rPr>
        <w:t xml:space="preserve">الإسلامي </w:t>
      </w:r>
      <w:r w:rsidR="00ED4DAC">
        <w:rPr>
          <w:rFonts w:ascii="Times New Roman" w:hAnsi="Times New Roman" w:cs="Times New Roman" w:hint="cs"/>
          <w:sz w:val="32"/>
          <w:szCs w:val="32"/>
          <w:rtl/>
          <w:lang w:bidi="ar-DZ"/>
        </w:rPr>
        <w:t>ميز</w:t>
      </w:r>
      <w:r w:rsidR="000B564F">
        <w:rPr>
          <w:rFonts w:ascii="Times New Roman" w:hAnsi="Times New Roman" w:cs="Times New Roman" w:hint="cs"/>
          <w:sz w:val="32"/>
          <w:szCs w:val="32"/>
          <w:rtl/>
          <w:lang w:bidi="ar-DZ"/>
        </w:rPr>
        <w:t xml:space="preserve"> بين الولي والوصي والمقدم، حيث أن الولي في تصرفاته غير مقيد أصلا بالإذن المسبق من القاضي، ويمكنه أن يتولى العقد بنفسه عن الطرفين البائع والمشتري، الأولى أصالة عن نفسه والثانية نيابة عن ابنه القاصر، ولا ضير في ذلك، بينما الوصي يمكنه أن يبتاع لنفسه لكن بشرط أن لا يقل الثمن عن سعر المثل، ولا يصح للمقدم أن يتصرف بأموال من عين عليهم بالبيع </w:t>
      </w:r>
      <w:r w:rsidR="000B564F">
        <w:rPr>
          <w:rFonts w:ascii="Times New Roman" w:hAnsi="Times New Roman" w:cs="Times New Roman" w:hint="cs"/>
          <w:sz w:val="32"/>
          <w:szCs w:val="32"/>
          <w:rtl/>
          <w:lang w:bidi="ar-DZ"/>
        </w:rPr>
        <w:lastRenderedPageBreak/>
        <w:t>لنفسه، ولا حتى لمن لا يحق له</w:t>
      </w:r>
      <w:r w:rsidR="00ED4DAC">
        <w:rPr>
          <w:rFonts w:ascii="Times New Roman" w:hAnsi="Times New Roman" w:cs="Times New Roman" w:hint="cs"/>
          <w:sz w:val="32"/>
          <w:szCs w:val="32"/>
          <w:rtl/>
          <w:lang w:bidi="ar-DZ"/>
        </w:rPr>
        <w:t xml:space="preserve">  </w:t>
      </w:r>
      <w:r w:rsidR="000B564F">
        <w:rPr>
          <w:rFonts w:ascii="Times New Roman" w:hAnsi="Times New Roman" w:cs="Times New Roman" w:hint="cs"/>
          <w:sz w:val="32"/>
          <w:szCs w:val="32"/>
          <w:rtl/>
          <w:lang w:bidi="ar-DZ"/>
        </w:rPr>
        <w:t xml:space="preserve">الشهادة عليهم، كأبنائه وغيرهم، والحقيقة أن التمييز قد يكون أفضل لأنه في كل الأحوال لا يمكن أن نضع الأب أو الأم في مقام غيرهما في حق أبنائهما، لأنه لا أحد أحرص منهما على مصلحة الأبناء القصر، وقد جاء في حديث عن النبي صلى الله عليه وسلم:"أنت ومالك لأبيك"، </w:t>
      </w:r>
      <w:r w:rsidR="0043397E">
        <w:rPr>
          <w:rFonts w:ascii="Times New Roman" w:hAnsi="Times New Roman" w:cs="Times New Roman" w:hint="cs"/>
          <w:sz w:val="32"/>
          <w:szCs w:val="32"/>
          <w:rtl/>
          <w:lang w:bidi="ar-DZ"/>
        </w:rPr>
        <w:t>أخرجه الإمام أحمد، وقد قال العلماء أنه صحيح وللأب أن يأخذ لنفسه من مال أبنه بشرط عدم الإضرار به وإلا يأخذ من أحد أبنائه ويعطي للآخر وألا يكون للابن حاجة بذلك المال.</w:t>
      </w:r>
    </w:p>
    <w:p w:rsidR="0043397E" w:rsidRDefault="0043397E" w:rsidP="0003442A">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كما</w:t>
      </w:r>
      <w:proofErr w:type="gramEnd"/>
      <w:r>
        <w:rPr>
          <w:rFonts w:ascii="Times New Roman" w:hAnsi="Times New Roman" w:cs="Times New Roman" w:hint="cs"/>
          <w:sz w:val="32"/>
          <w:szCs w:val="32"/>
          <w:rtl/>
          <w:lang w:bidi="ar-DZ"/>
        </w:rPr>
        <w:t xml:space="preserve"> يجب التنبيه أيضا أن المقدم له ولاية مالية على القاصر ولا يملك عليه ولاية في نفسه، كالتزويج والتربية وغيرها.</w:t>
      </w:r>
    </w:p>
    <w:p w:rsidR="0043397E" w:rsidRDefault="0043397E" w:rsidP="0003442A">
      <w:pPr>
        <w:spacing w:line="360" w:lineRule="auto"/>
        <w:jc w:val="right"/>
        <w:rPr>
          <w:rFonts w:ascii="Times New Roman" w:hAnsi="Times New Roman" w:cs="Times New Roman" w:hint="cs"/>
          <w:sz w:val="32"/>
          <w:szCs w:val="32"/>
          <w:rtl/>
          <w:lang w:bidi="ar-DZ"/>
        </w:rPr>
      </w:pPr>
      <w:r w:rsidRPr="0043397E">
        <w:rPr>
          <w:rFonts w:ascii="Times New Roman" w:hAnsi="Times New Roman" w:cs="Times New Roman" w:hint="cs"/>
          <w:b/>
          <w:bCs/>
          <w:sz w:val="32"/>
          <w:szCs w:val="32"/>
          <w:rtl/>
          <w:lang w:bidi="ar-DZ"/>
        </w:rPr>
        <w:t xml:space="preserve">   3/ </w:t>
      </w:r>
      <w:proofErr w:type="gramStart"/>
      <w:r w:rsidRPr="0043397E">
        <w:rPr>
          <w:rFonts w:ascii="Times New Roman" w:hAnsi="Times New Roman" w:cs="Times New Roman" w:hint="cs"/>
          <w:b/>
          <w:bCs/>
          <w:sz w:val="32"/>
          <w:szCs w:val="32"/>
          <w:rtl/>
          <w:lang w:bidi="ar-DZ"/>
        </w:rPr>
        <w:t>شروط</w:t>
      </w:r>
      <w:proofErr w:type="gramEnd"/>
      <w:r w:rsidRPr="0043397E">
        <w:rPr>
          <w:rFonts w:ascii="Times New Roman" w:hAnsi="Times New Roman" w:cs="Times New Roman" w:hint="cs"/>
          <w:b/>
          <w:bCs/>
          <w:sz w:val="32"/>
          <w:szCs w:val="32"/>
          <w:rtl/>
          <w:lang w:bidi="ar-DZ"/>
        </w:rPr>
        <w:t xml:space="preserve"> المقدم والوصي:</w:t>
      </w:r>
    </w:p>
    <w:p w:rsidR="0043397E" w:rsidRDefault="0043397E" w:rsidP="0003442A">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نصت المادة 93 من قانون الأسرة على شروط الوصي حيث ورد فيها:"يشترط في الوصي أن يكون مسلما، عاقلا، بالغا، قادرا</w:t>
      </w:r>
      <w:proofErr w:type="gramStart"/>
      <w:r>
        <w:rPr>
          <w:rFonts w:ascii="Times New Roman" w:hAnsi="Times New Roman" w:cs="Times New Roman" w:hint="cs"/>
          <w:sz w:val="32"/>
          <w:szCs w:val="32"/>
          <w:rtl/>
          <w:lang w:bidi="ar-DZ"/>
        </w:rPr>
        <w:t>،،</w:t>
      </w:r>
      <w:proofErr w:type="gramEnd"/>
      <w:r>
        <w:rPr>
          <w:rFonts w:ascii="Times New Roman" w:hAnsi="Times New Roman" w:cs="Times New Roman" w:hint="cs"/>
          <w:sz w:val="32"/>
          <w:szCs w:val="32"/>
          <w:rtl/>
          <w:lang w:bidi="ar-DZ"/>
        </w:rPr>
        <w:t xml:space="preserve"> أمينا، حسن التصرف، وللقاضي عزله إذا لم تتوفر فيه الشروط المذكورة".</w:t>
      </w:r>
    </w:p>
    <w:p w:rsidR="0043397E" w:rsidRDefault="0043397E" w:rsidP="0003442A">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وظاهر</w:t>
      </w:r>
      <w:proofErr w:type="gramEnd"/>
      <w:r>
        <w:rPr>
          <w:rFonts w:ascii="Times New Roman" w:hAnsi="Times New Roman" w:cs="Times New Roman" w:hint="cs"/>
          <w:sz w:val="32"/>
          <w:szCs w:val="32"/>
          <w:rtl/>
          <w:lang w:bidi="ar-DZ"/>
        </w:rPr>
        <w:t xml:space="preserve"> النص أنه يجب أن تتوفر هذه الشروط مجتمعة في الوصي أو المقدم، وإذا تخلف شرط منها حق للقاضي عزله، أو رفض الوصية وعدم تعيين المقدم.</w:t>
      </w:r>
    </w:p>
    <w:p w:rsidR="0043397E" w:rsidRDefault="0043397E" w:rsidP="0003442A">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وسنتناول هذه الشروط التي سبق وأن أشرنا إليها عند تعرضنا لشروط الولي، لكن نحاول أن نبين هنا هذه الشروط لأهميتها وتميزها عن شروط الولي، لذلك ذكرها المشع بتفصيل أكير</w:t>
      </w:r>
      <w:r w:rsidR="001E1C38">
        <w:rPr>
          <w:rFonts w:ascii="Times New Roman" w:hAnsi="Times New Roman" w:cs="Times New Roman" w:hint="cs"/>
          <w:sz w:val="32"/>
          <w:szCs w:val="32"/>
          <w:rtl/>
          <w:lang w:bidi="ar-DZ"/>
        </w:rPr>
        <w:t>، ذلك أن الولي لا يحتاج فيه القاضي لاختيار بين عدة أشخاص مؤهلين فبعد الأب تأتي الأم، وبالتالي لا يحتاج إلى تدقيق في الشروط، كما هو الشأن بالنسبة لغير الولي الأصلي.</w:t>
      </w:r>
    </w:p>
    <w:p w:rsidR="001E1C38" w:rsidRPr="001E1C38" w:rsidRDefault="001E1C38" w:rsidP="001E1C38">
      <w:pPr>
        <w:spacing w:line="360" w:lineRule="auto"/>
        <w:jc w:val="right"/>
        <w:rPr>
          <w:rFonts w:ascii="Times New Roman" w:hAnsi="Times New Roman" w:cs="Times New Roman"/>
          <w:sz w:val="32"/>
          <w:szCs w:val="32"/>
          <w:rtl/>
          <w:lang w:bidi="ar-DZ"/>
        </w:rPr>
      </w:pPr>
      <w:r w:rsidRPr="001E1C38">
        <w:rPr>
          <w:rFonts w:ascii="Times New Roman" w:hAnsi="Times New Roman" w:cs="Times New Roman" w:hint="cs"/>
          <w:b/>
          <w:bCs/>
          <w:sz w:val="32"/>
          <w:szCs w:val="32"/>
          <w:rtl/>
          <w:lang w:bidi="ar-DZ"/>
        </w:rPr>
        <w:t xml:space="preserve">   أ/ الإسلام:</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الوصاية هي نوع من الولاية، وقد بينا أن الإسلام شرط لا يمكن أن يتأخر عن كل من يتولى شؤون المسلم، ذلك أن الله نفى الولاية بين المسلم والكافر، وأثبتها بين المسلمين، كما بين أن الكفار يمكن أن يتولى بعضهم شؤون بعض، فلو أوصى الأب لغير المسلم على أبنه القاصر لم تنعقد وصايته وفقا لهذا الشرط</w:t>
      </w:r>
    </w:p>
    <w:sectPr w:rsidR="001E1C38" w:rsidRPr="001E1C38" w:rsidSect="006367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D7AB1"/>
    <w:rsid w:val="0003442A"/>
    <w:rsid w:val="000B564F"/>
    <w:rsid w:val="001E1C38"/>
    <w:rsid w:val="003B2E72"/>
    <w:rsid w:val="0043397E"/>
    <w:rsid w:val="00434A97"/>
    <w:rsid w:val="0063671C"/>
    <w:rsid w:val="006D7AB1"/>
    <w:rsid w:val="00884EAC"/>
    <w:rsid w:val="00BA721C"/>
    <w:rsid w:val="00ED4DAC"/>
    <w:rsid w:val="00EE73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Pages>
  <Words>727</Words>
  <Characters>4000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Dr.Debebech</dc:creator>
  <cp:lastModifiedBy>Dr.Debebech</cp:lastModifiedBy>
  <cp:revision>2</cp:revision>
  <dcterms:created xsi:type="dcterms:W3CDTF">2021-03-03T07:06:00Z</dcterms:created>
  <dcterms:modified xsi:type="dcterms:W3CDTF">2021-03-03T13:31:00Z</dcterms:modified>
</cp:coreProperties>
</file>