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6265" w:rsidRDefault="009F6265" w:rsidP="009F6265">
      <w:pPr>
        <w:bidi/>
        <w:spacing w:after="0" w:line="360" w:lineRule="auto"/>
        <w:jc w:val="center"/>
        <w:rPr>
          <w:rFonts w:ascii="Arabic Typesetting" w:eastAsia="Times New Roman" w:hAnsi="Arabic Typesetting" w:cs="Arabic Typesetting"/>
          <w:sz w:val="96"/>
          <w:szCs w:val="96"/>
          <w:rtl/>
          <w:lang w:eastAsia="fr-FR" w:bidi="ar-MA"/>
        </w:rPr>
      </w:pPr>
      <w:proofErr w:type="gramStart"/>
      <w:r w:rsidRPr="00D0753E">
        <w:rPr>
          <w:rFonts w:ascii="Arabic Typesetting" w:eastAsia="Times New Roman" w:hAnsi="Arabic Typesetting" w:cs="Arabic Typesetting"/>
          <w:sz w:val="96"/>
          <w:szCs w:val="96"/>
          <w:rtl/>
          <w:lang w:eastAsia="fr-FR" w:bidi="ar-MA"/>
        </w:rPr>
        <w:t>المحاضرة</w:t>
      </w:r>
      <w:proofErr w:type="gramEnd"/>
      <w:r w:rsidRPr="00D0753E">
        <w:rPr>
          <w:rFonts w:ascii="Arabic Typesetting" w:eastAsia="Times New Roman" w:hAnsi="Arabic Typesetting" w:cs="Arabic Typesetting"/>
          <w:sz w:val="96"/>
          <w:szCs w:val="96"/>
          <w:rtl/>
          <w:lang w:eastAsia="fr-FR" w:bidi="ar-MA"/>
        </w:rPr>
        <w:t xml:space="preserve"> الثامنة</w:t>
      </w:r>
    </w:p>
    <w:p w:rsidR="009F6265" w:rsidRDefault="009F6265" w:rsidP="009F6265">
      <w:pPr>
        <w:bidi/>
        <w:spacing w:after="0" w:line="360" w:lineRule="auto"/>
        <w:jc w:val="center"/>
        <w:rPr>
          <w:rFonts w:ascii="Arabic Typesetting" w:eastAsia="Times New Roman" w:hAnsi="Arabic Typesetting" w:cs="Arabic Typesetting"/>
          <w:sz w:val="96"/>
          <w:szCs w:val="96"/>
          <w:rtl/>
          <w:lang w:eastAsia="fr-FR" w:bidi="ar-MA"/>
        </w:rPr>
      </w:pPr>
    </w:p>
    <w:p w:rsidR="009F6265" w:rsidRPr="00D0753E" w:rsidRDefault="009F6265" w:rsidP="009F6265">
      <w:pPr>
        <w:bidi/>
        <w:spacing w:after="0" w:line="360" w:lineRule="auto"/>
        <w:jc w:val="center"/>
        <w:rPr>
          <w:rFonts w:ascii="Arabic Typesetting" w:eastAsia="Times New Roman" w:hAnsi="Arabic Typesetting" w:cs="Arabic Typesetting"/>
          <w:sz w:val="72"/>
          <w:szCs w:val="72"/>
          <w:rtl/>
          <w:lang w:eastAsia="fr-FR" w:bidi="ar-MA"/>
        </w:rPr>
      </w:pPr>
      <w:r>
        <w:rPr>
          <w:rFonts w:ascii="Arabic Typesetting" w:eastAsia="Times New Roman" w:hAnsi="Arabic Typesetting" w:cs="Arabic Typesetting" w:hint="cs"/>
          <w:sz w:val="72"/>
          <w:szCs w:val="72"/>
          <w:rtl/>
          <w:lang w:eastAsia="fr-FR" w:bidi="ar-MA"/>
        </w:rPr>
        <w:t>النقد</w:t>
      </w:r>
      <w:r w:rsidRPr="00D0753E">
        <w:rPr>
          <w:rFonts w:ascii="Arabic Typesetting" w:eastAsia="Times New Roman" w:hAnsi="Arabic Typesetting" w:cs="Arabic Typesetting"/>
          <w:sz w:val="72"/>
          <w:szCs w:val="72"/>
          <w:rtl/>
          <w:lang w:eastAsia="fr-FR" w:bidi="ar-MA"/>
        </w:rPr>
        <w:t xml:space="preserve"> الموضوعاتي</w:t>
      </w:r>
    </w:p>
    <w:p w:rsidR="009F6265" w:rsidRPr="00D0753E" w:rsidRDefault="009F6265" w:rsidP="009F6265">
      <w:pPr>
        <w:bidi/>
        <w:spacing w:after="0" w:line="360" w:lineRule="auto"/>
        <w:jc w:val="center"/>
        <w:rPr>
          <w:rFonts w:ascii="Simplified Arabic" w:eastAsia="Times New Roman" w:hAnsi="Simplified Arabic" w:cs="Simplified Arabic"/>
          <w:b/>
          <w:bCs/>
          <w:sz w:val="36"/>
          <w:szCs w:val="36"/>
          <w:rtl/>
          <w:lang w:eastAsia="fr-FR" w:bidi="ar-MA"/>
        </w:rPr>
      </w:pPr>
      <w:r>
        <w:rPr>
          <w:rFonts w:ascii="Simplified Arabic" w:eastAsia="Times New Roman" w:hAnsi="Simplified Arabic" w:cs="Simplified Arabic" w:hint="cs"/>
          <w:b/>
          <w:bCs/>
          <w:sz w:val="32"/>
          <w:szCs w:val="32"/>
          <w:rtl/>
          <w:lang w:eastAsia="fr-FR" w:bidi="ar-MA"/>
        </w:rPr>
        <w:t>(</w:t>
      </w:r>
      <w:r w:rsidRPr="00D0753E">
        <w:rPr>
          <w:rFonts w:ascii="Simplified Arabic" w:eastAsia="Times New Roman" w:hAnsi="Simplified Arabic" w:cs="Simplified Arabic"/>
          <w:b/>
          <w:bCs/>
          <w:sz w:val="32"/>
          <w:szCs w:val="32"/>
          <w:rtl/>
          <w:lang w:eastAsia="fr-FR" w:bidi="ar-MA"/>
        </w:rPr>
        <w:t>المقاربة الموضوعاتية</w:t>
      </w:r>
      <w:r>
        <w:rPr>
          <w:rFonts w:ascii="Simplified Arabic" w:eastAsia="Times New Roman" w:hAnsi="Simplified Arabic" w:cs="Simplified Arabic" w:hint="cs"/>
          <w:b/>
          <w:bCs/>
          <w:sz w:val="32"/>
          <w:szCs w:val="32"/>
          <w:rtl/>
          <w:lang w:eastAsia="fr-FR" w:bidi="ar-MA"/>
        </w:rPr>
        <w:t>)</w:t>
      </w:r>
    </w:p>
    <w:p w:rsidR="009F6265" w:rsidRDefault="009F6265" w:rsidP="009F6265">
      <w:pPr>
        <w:bidi/>
        <w:spacing w:after="0" w:line="360" w:lineRule="auto"/>
        <w:rPr>
          <w:rFonts w:ascii="Simplified Arabic" w:eastAsia="Times New Roman" w:hAnsi="Simplified Arabic" w:cs="Simplified Arabic"/>
          <w:b/>
          <w:bCs/>
          <w:sz w:val="36"/>
          <w:szCs w:val="36"/>
          <w:rtl/>
          <w:lang w:eastAsia="fr-FR" w:bidi="ar-MA"/>
        </w:rPr>
      </w:pPr>
    </w:p>
    <w:p w:rsidR="009F6265" w:rsidRDefault="009F6265" w:rsidP="009F6265">
      <w:pPr>
        <w:bidi/>
        <w:spacing w:after="0" w:line="360" w:lineRule="auto"/>
        <w:rPr>
          <w:rFonts w:ascii="Simplified Arabic" w:eastAsia="Times New Roman" w:hAnsi="Simplified Arabic" w:cs="Simplified Arabic"/>
          <w:b/>
          <w:bCs/>
          <w:sz w:val="36"/>
          <w:szCs w:val="36"/>
          <w:rtl/>
          <w:lang w:eastAsia="fr-FR" w:bidi="ar-MA"/>
        </w:rPr>
      </w:pPr>
    </w:p>
    <w:p w:rsidR="009F6265" w:rsidRDefault="009F6265" w:rsidP="009F6265">
      <w:pPr>
        <w:bidi/>
        <w:spacing w:after="0" w:line="360" w:lineRule="auto"/>
        <w:rPr>
          <w:rFonts w:ascii="Simplified Arabic" w:eastAsia="Times New Roman" w:hAnsi="Simplified Arabic" w:cs="Simplified Arabic"/>
          <w:b/>
          <w:bCs/>
          <w:sz w:val="36"/>
          <w:szCs w:val="36"/>
          <w:rtl/>
          <w:lang w:eastAsia="fr-FR" w:bidi="ar-MA"/>
        </w:rPr>
      </w:pPr>
    </w:p>
    <w:p w:rsidR="009F6265" w:rsidRDefault="009F6265" w:rsidP="009F6265">
      <w:pPr>
        <w:bidi/>
        <w:spacing w:after="0" w:line="360" w:lineRule="auto"/>
        <w:rPr>
          <w:rFonts w:ascii="Simplified Arabic" w:eastAsia="Times New Roman" w:hAnsi="Simplified Arabic" w:cs="Simplified Arabic"/>
          <w:b/>
          <w:bCs/>
          <w:sz w:val="36"/>
          <w:szCs w:val="36"/>
          <w:rtl/>
          <w:lang w:eastAsia="fr-FR" w:bidi="ar-MA"/>
        </w:rPr>
      </w:pPr>
    </w:p>
    <w:p w:rsidR="009F6265" w:rsidRDefault="009F6265" w:rsidP="009F6265">
      <w:pPr>
        <w:bidi/>
        <w:spacing w:after="0" w:line="360" w:lineRule="auto"/>
        <w:rPr>
          <w:rFonts w:ascii="Simplified Arabic" w:eastAsia="Times New Roman" w:hAnsi="Simplified Arabic" w:cs="Simplified Arabic"/>
          <w:b/>
          <w:bCs/>
          <w:sz w:val="36"/>
          <w:szCs w:val="36"/>
          <w:rtl/>
          <w:lang w:eastAsia="fr-FR" w:bidi="ar-MA"/>
        </w:rPr>
      </w:pPr>
    </w:p>
    <w:p w:rsidR="009F6265" w:rsidRDefault="009F6265" w:rsidP="009F6265">
      <w:pPr>
        <w:bidi/>
        <w:spacing w:after="0" w:line="360" w:lineRule="auto"/>
        <w:rPr>
          <w:rFonts w:ascii="Simplified Arabic" w:eastAsia="Times New Roman" w:hAnsi="Simplified Arabic" w:cs="Simplified Arabic"/>
          <w:b/>
          <w:bCs/>
          <w:sz w:val="36"/>
          <w:szCs w:val="36"/>
          <w:rtl/>
          <w:lang w:eastAsia="fr-FR" w:bidi="ar-MA"/>
        </w:rPr>
      </w:pPr>
    </w:p>
    <w:p w:rsidR="009F6265" w:rsidRDefault="009F6265" w:rsidP="009F6265">
      <w:pPr>
        <w:bidi/>
        <w:spacing w:after="0" w:line="360" w:lineRule="auto"/>
        <w:rPr>
          <w:rFonts w:ascii="Simplified Arabic" w:eastAsia="Times New Roman" w:hAnsi="Simplified Arabic" w:cs="Simplified Arabic"/>
          <w:b/>
          <w:bCs/>
          <w:sz w:val="36"/>
          <w:szCs w:val="36"/>
          <w:rtl/>
          <w:lang w:eastAsia="fr-FR" w:bidi="ar-MA"/>
        </w:rPr>
      </w:pPr>
    </w:p>
    <w:p w:rsidR="009F6265" w:rsidRDefault="009F6265" w:rsidP="009F6265">
      <w:pPr>
        <w:bidi/>
        <w:spacing w:after="0" w:line="360" w:lineRule="auto"/>
        <w:rPr>
          <w:rFonts w:ascii="Simplified Arabic" w:eastAsia="Times New Roman" w:hAnsi="Simplified Arabic" w:cs="Simplified Arabic"/>
          <w:b/>
          <w:bCs/>
          <w:sz w:val="36"/>
          <w:szCs w:val="36"/>
          <w:rtl/>
          <w:lang w:eastAsia="fr-FR" w:bidi="ar-MA"/>
        </w:rPr>
      </w:pPr>
    </w:p>
    <w:p w:rsidR="009F6265" w:rsidRPr="00D0753E" w:rsidRDefault="009F6265" w:rsidP="009F6265">
      <w:pPr>
        <w:bidi/>
        <w:spacing w:after="0" w:line="360" w:lineRule="auto"/>
        <w:rPr>
          <w:rFonts w:ascii="Simplified Arabic" w:eastAsia="Times New Roman" w:hAnsi="Simplified Arabic" w:cs="Simplified Arabic"/>
          <w:b/>
          <w:bCs/>
          <w:sz w:val="36"/>
          <w:szCs w:val="36"/>
          <w:lang w:eastAsia="fr-FR"/>
        </w:rPr>
      </w:pPr>
      <w:r w:rsidRPr="00D0753E">
        <w:rPr>
          <w:rFonts w:ascii="Simplified Arabic" w:eastAsia="Times New Roman" w:hAnsi="Simplified Arabic" w:cs="Simplified Arabic"/>
          <w:b/>
          <w:bCs/>
          <w:sz w:val="36"/>
          <w:szCs w:val="36"/>
          <w:rtl/>
          <w:lang w:eastAsia="fr-FR" w:bidi="ar-MA"/>
        </w:rPr>
        <w:t>مقدمـــة:</w:t>
      </w:r>
    </w:p>
    <w:p w:rsidR="009F6265" w:rsidRPr="00D0753E" w:rsidRDefault="009F6265" w:rsidP="009F6265">
      <w:pPr>
        <w:bidi/>
        <w:spacing w:after="0" w:line="360" w:lineRule="auto"/>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lastRenderedPageBreak/>
        <w:t xml:space="preserve">تعد المقاربة الموضوعاتية من أهم المقاربات النقدية في التعامل مع النص الأدبي شعرا ونثرا، فقد ظهرت في أوربا إبان ستينيات القرن </w:t>
      </w:r>
      <w:r w:rsidRPr="00D0753E">
        <w:rPr>
          <w:rFonts w:ascii="Simplified Arabic" w:eastAsia="Times New Roman" w:hAnsi="Simplified Arabic" w:cs="Simplified Arabic" w:hint="cs"/>
          <w:sz w:val="32"/>
          <w:szCs w:val="32"/>
          <w:rtl/>
          <w:lang w:eastAsia="fr-FR" w:bidi="ar-MA"/>
        </w:rPr>
        <w:t>العشرين مع</w:t>
      </w:r>
      <w:r w:rsidRPr="00D0753E">
        <w:rPr>
          <w:rFonts w:ascii="Simplified Arabic" w:eastAsia="Times New Roman" w:hAnsi="Simplified Arabic" w:cs="Simplified Arabic"/>
          <w:sz w:val="32"/>
          <w:szCs w:val="32"/>
          <w:rtl/>
          <w:lang w:eastAsia="fr-FR" w:bidi="ar-MA"/>
        </w:rPr>
        <w:t xml:space="preserve"> موجة النقد </w:t>
      </w:r>
      <w:r w:rsidRPr="00D0753E">
        <w:rPr>
          <w:rFonts w:ascii="Simplified Arabic" w:eastAsia="Times New Roman" w:hAnsi="Simplified Arabic" w:cs="Simplified Arabic" w:hint="cs"/>
          <w:sz w:val="32"/>
          <w:szCs w:val="32"/>
          <w:rtl/>
          <w:lang w:eastAsia="fr-FR" w:bidi="ar-MA"/>
        </w:rPr>
        <w:t>الجديد،</w:t>
      </w:r>
      <w:r w:rsidRPr="00D0753E">
        <w:rPr>
          <w:rFonts w:ascii="Simplified Arabic" w:eastAsia="Times New Roman" w:hAnsi="Simplified Arabic" w:cs="Simplified Arabic"/>
          <w:sz w:val="32"/>
          <w:szCs w:val="32"/>
          <w:rtl/>
          <w:lang w:eastAsia="fr-FR" w:bidi="ar-MA"/>
        </w:rPr>
        <w:t xml:space="preserve"> كما ظهرت في العالم العربي متأخرة عن نظيرتها الأوربية بعقد من السنوات مع تصاعد النقد المضموني وانتشار القراءات التأويلية و الإيديولوجية وولادة التحليل الوصفي البنيوي واللساني.</w:t>
      </w:r>
    </w:p>
    <w:p w:rsidR="009F6265" w:rsidRPr="00D0753E" w:rsidRDefault="009F6265" w:rsidP="009F6265">
      <w:pPr>
        <w:bidi/>
        <w:spacing w:after="0" w:line="360" w:lineRule="auto"/>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 ويهدف النقد الموضوعاتي إلى استقراء التيمات الأساسية الواعية واللاواعية للنصوص الإبداعية المتميزة ، وتحديد محاورها الدلالية المتكررة والمتواترة ، واستخلاص بنياتها العنوانية المدارية تفكيكا وتشريحا وتحليلا عبر عمليات التجميع المعجمي والإحصاء الدلالي لكل القيم والسمات المعنوية المهيمنة التي تتحكم في البنى المضمونية للنصوص الإبداعية.</w:t>
      </w:r>
    </w:p>
    <w:p w:rsidR="009F6265" w:rsidRPr="00D0753E" w:rsidRDefault="009F6265" w:rsidP="009F6265">
      <w:pPr>
        <w:bidi/>
        <w:spacing w:after="0" w:line="360" w:lineRule="auto"/>
        <w:rPr>
          <w:rFonts w:ascii="Simplified Arabic" w:eastAsia="Times New Roman" w:hAnsi="Simplified Arabic" w:cs="Simplified Arabic"/>
          <w:sz w:val="32"/>
          <w:szCs w:val="32"/>
          <w:rtl/>
          <w:lang w:eastAsia="fr-FR" w:bidi="ar-MA"/>
        </w:rPr>
      </w:pPr>
      <w:r w:rsidRPr="00D0753E">
        <w:rPr>
          <w:rFonts w:ascii="Simplified Arabic" w:eastAsia="Times New Roman" w:hAnsi="Simplified Arabic" w:cs="Simplified Arabic"/>
          <w:sz w:val="32"/>
          <w:szCs w:val="32"/>
          <w:rtl/>
          <w:lang w:eastAsia="fr-FR" w:bidi="ar-MA"/>
        </w:rPr>
        <w:t> </w:t>
      </w:r>
    </w:p>
    <w:p w:rsidR="009F6265" w:rsidRPr="00D0753E" w:rsidRDefault="009F6265" w:rsidP="009F6265">
      <w:pPr>
        <w:bidi/>
        <w:spacing w:after="0" w:line="360" w:lineRule="auto"/>
        <w:rPr>
          <w:rFonts w:ascii="Simplified Arabic" w:eastAsia="Times New Roman" w:hAnsi="Simplified Arabic" w:cs="Simplified Arabic"/>
          <w:sz w:val="32"/>
          <w:szCs w:val="32"/>
          <w:rtl/>
          <w:lang w:eastAsia="fr-FR" w:bidi="ar-MA"/>
        </w:rPr>
      </w:pPr>
    </w:p>
    <w:p w:rsidR="009F6265" w:rsidRPr="00D0753E" w:rsidRDefault="009F6265" w:rsidP="009F6265">
      <w:pPr>
        <w:bidi/>
        <w:spacing w:after="0" w:line="360" w:lineRule="auto"/>
        <w:rPr>
          <w:rFonts w:ascii="Simplified Arabic" w:eastAsia="Times New Roman" w:hAnsi="Simplified Arabic" w:cs="Simplified Arabic"/>
          <w:sz w:val="32"/>
          <w:szCs w:val="32"/>
          <w:rtl/>
          <w:lang w:eastAsia="fr-FR" w:bidi="ar-MA"/>
        </w:rPr>
      </w:pPr>
    </w:p>
    <w:p w:rsidR="009F6265" w:rsidRPr="00D0753E" w:rsidRDefault="009F6265" w:rsidP="009F6265">
      <w:pPr>
        <w:bidi/>
        <w:spacing w:after="0" w:line="360" w:lineRule="auto"/>
        <w:rPr>
          <w:rFonts w:ascii="Simplified Arabic" w:eastAsia="Times New Roman" w:hAnsi="Simplified Arabic" w:cs="Simplified Arabic"/>
          <w:sz w:val="32"/>
          <w:szCs w:val="32"/>
          <w:rtl/>
          <w:lang w:eastAsia="fr-FR" w:bidi="ar-MA"/>
        </w:rPr>
      </w:pPr>
    </w:p>
    <w:p w:rsidR="009F6265" w:rsidRDefault="009F6265" w:rsidP="009F6265">
      <w:pPr>
        <w:bidi/>
        <w:spacing w:after="0" w:line="360" w:lineRule="auto"/>
        <w:rPr>
          <w:rFonts w:ascii="Simplified Arabic" w:eastAsia="Times New Roman" w:hAnsi="Simplified Arabic" w:cs="Simplified Arabic"/>
          <w:sz w:val="32"/>
          <w:szCs w:val="32"/>
          <w:rtl/>
          <w:lang w:eastAsia="fr-FR" w:bidi="ar-MA"/>
        </w:rPr>
      </w:pPr>
    </w:p>
    <w:p w:rsidR="009F6265" w:rsidRPr="00D0753E" w:rsidRDefault="009F6265" w:rsidP="009F6265">
      <w:pPr>
        <w:bidi/>
        <w:spacing w:after="0" w:line="360" w:lineRule="auto"/>
        <w:rPr>
          <w:rFonts w:ascii="Simplified Arabic" w:eastAsia="Times New Roman" w:hAnsi="Simplified Arabic" w:cs="Simplified Arabic"/>
          <w:sz w:val="32"/>
          <w:szCs w:val="32"/>
          <w:rtl/>
          <w:lang w:eastAsia="fr-FR" w:bidi="ar-MA"/>
        </w:rPr>
      </w:pPr>
    </w:p>
    <w:p w:rsidR="009F6265" w:rsidRPr="00D0753E" w:rsidRDefault="009F6265" w:rsidP="009F6265">
      <w:pPr>
        <w:bidi/>
        <w:spacing w:after="0" w:line="360" w:lineRule="auto"/>
        <w:rPr>
          <w:rFonts w:ascii="Simplified Arabic" w:eastAsia="Times New Roman" w:hAnsi="Simplified Arabic" w:cs="Simplified Arabic"/>
          <w:sz w:val="32"/>
          <w:szCs w:val="32"/>
          <w:rtl/>
          <w:lang w:eastAsia="fr-FR"/>
        </w:rPr>
      </w:pPr>
    </w:p>
    <w:p w:rsidR="009F6265" w:rsidRPr="00D0753E" w:rsidRDefault="009F6265" w:rsidP="009F6265">
      <w:pPr>
        <w:bidi/>
        <w:spacing w:after="0" w:line="360" w:lineRule="auto"/>
        <w:ind w:hanging="480"/>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rPr>
        <w:t>1</w:t>
      </w:r>
      <w:r w:rsidRPr="00D0753E">
        <w:rPr>
          <w:rFonts w:ascii="Simplified Arabic" w:eastAsia="Times New Roman" w:hAnsi="Simplified Arabic" w:cs="Simplified Arabic"/>
          <w:b/>
          <w:bCs/>
          <w:sz w:val="32"/>
          <w:szCs w:val="32"/>
          <w:rtl/>
          <w:lang w:eastAsia="fr-FR"/>
        </w:rPr>
        <w:t xml:space="preserve">- </w:t>
      </w:r>
      <w:r w:rsidRPr="00D0753E">
        <w:rPr>
          <w:rFonts w:ascii="Simplified Arabic" w:eastAsia="Times New Roman" w:hAnsi="Simplified Arabic" w:cs="Simplified Arabic"/>
          <w:b/>
          <w:bCs/>
          <w:sz w:val="32"/>
          <w:szCs w:val="32"/>
          <w:rtl/>
          <w:lang w:eastAsia="fr-FR" w:bidi="ar-MA"/>
        </w:rPr>
        <w:t xml:space="preserve"> مفهوم المقاربة الموضوعاتية: </w:t>
      </w:r>
    </w:p>
    <w:p w:rsidR="009F6265" w:rsidRPr="00D0753E" w:rsidRDefault="009F6265" w:rsidP="009F6265">
      <w:pPr>
        <w:bidi/>
        <w:spacing w:after="0" w:line="360" w:lineRule="auto"/>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 </w:t>
      </w:r>
    </w:p>
    <w:p w:rsidR="009F6265" w:rsidRPr="00D0753E" w:rsidRDefault="009F6265" w:rsidP="009F6265">
      <w:pPr>
        <w:bidi/>
        <w:spacing w:after="0" w:line="360" w:lineRule="auto"/>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hint="cs"/>
          <w:sz w:val="32"/>
          <w:szCs w:val="32"/>
          <w:rtl/>
          <w:lang w:eastAsia="fr-FR" w:bidi="ar-MA"/>
        </w:rPr>
        <w:lastRenderedPageBreak/>
        <w:t>قد</w:t>
      </w:r>
      <w:r w:rsidRPr="00D0753E">
        <w:rPr>
          <w:rFonts w:ascii="Simplified Arabic" w:eastAsia="Times New Roman" w:hAnsi="Simplified Arabic" w:cs="Simplified Arabic"/>
          <w:sz w:val="32"/>
          <w:szCs w:val="32"/>
          <w:rtl/>
          <w:lang w:eastAsia="fr-FR" w:bidi="ar-MA"/>
        </w:rPr>
        <w:t xml:space="preserve"> أثار المصطلح الأجنبي للموضوعاتية (</w:t>
      </w:r>
      <w:r w:rsidRPr="00D0753E">
        <w:rPr>
          <w:rFonts w:ascii="Simplified Arabic" w:eastAsia="Times New Roman" w:hAnsi="Simplified Arabic" w:cs="Simplified Arabic"/>
          <w:sz w:val="32"/>
          <w:szCs w:val="32"/>
          <w:lang w:eastAsia="fr-FR"/>
        </w:rPr>
        <w:t xml:space="preserve">thème/thématique/thématiser </w:t>
      </w:r>
      <w:r w:rsidRPr="00D0753E">
        <w:rPr>
          <w:rFonts w:ascii="Simplified Arabic" w:eastAsia="Times New Roman" w:hAnsi="Simplified Arabic" w:cs="Simplified Arabic"/>
          <w:sz w:val="32"/>
          <w:szCs w:val="32"/>
          <w:rtl/>
          <w:lang w:eastAsia="fr-FR" w:bidi="ar-MA"/>
        </w:rPr>
        <w:t> ) تذبذبا في الترجمة رافقه تعدد المصطلحات المقابلة له في الحقل الثقافي العربي، فنجد الموضوعاتي، والموضوعاتية، والموضوعية، والموضوعاتيات عند كل من سعيد علوش، وحميد لحمداني، وعبد الكريم حسن، وجوزيف شريم، وكيتي سالم، وعبد الفتاح كيليطو.</w:t>
      </w:r>
    </w:p>
    <w:p w:rsidR="009F6265" w:rsidRPr="00D0753E" w:rsidRDefault="009F6265" w:rsidP="009F6265">
      <w:pPr>
        <w:bidi/>
        <w:spacing w:after="0" w:line="360" w:lineRule="auto"/>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 كما نجد  كلمتي "التيم" "</w:t>
      </w:r>
      <w:r w:rsidRPr="00D0753E">
        <w:rPr>
          <w:rFonts w:ascii="Simplified Arabic" w:eastAsia="Times New Roman" w:hAnsi="Simplified Arabic" w:cs="Simplified Arabic"/>
          <w:sz w:val="32"/>
          <w:szCs w:val="32"/>
          <w:lang w:eastAsia="fr-FR"/>
        </w:rPr>
        <w:t>thème</w:t>
      </w:r>
      <w:r w:rsidRPr="00D0753E">
        <w:rPr>
          <w:rFonts w:ascii="Simplified Arabic" w:eastAsia="Times New Roman" w:hAnsi="Simplified Arabic" w:cs="Simplified Arabic"/>
          <w:sz w:val="32"/>
          <w:szCs w:val="32"/>
          <w:rtl/>
          <w:lang w:eastAsia="fr-FR" w:bidi="ar-MA"/>
        </w:rPr>
        <w:t>" و "التيماتية" عند سعيد يقطين عندما يقول: " إن "</w:t>
      </w:r>
      <w:r w:rsidRPr="00D0753E">
        <w:rPr>
          <w:rFonts w:ascii="Simplified Arabic" w:eastAsia="Times New Roman" w:hAnsi="Simplified Arabic" w:cs="Simplified Arabic"/>
          <w:sz w:val="32"/>
          <w:szCs w:val="32"/>
          <w:u w:val="single"/>
          <w:rtl/>
          <w:lang w:eastAsia="fr-FR" w:bidi="ar-MA"/>
        </w:rPr>
        <w:t>التيمة"</w:t>
      </w:r>
      <w:r w:rsidRPr="00D0753E">
        <w:rPr>
          <w:rFonts w:ascii="Simplified Arabic" w:eastAsia="Times New Roman" w:hAnsi="Simplified Arabic" w:cs="Simplified Arabic"/>
          <w:sz w:val="32"/>
          <w:szCs w:val="32"/>
          <w:rtl/>
          <w:lang w:eastAsia="fr-FR" w:bidi="ar-MA"/>
        </w:rPr>
        <w:t xml:space="preserve"> (</w:t>
      </w:r>
      <w:r w:rsidRPr="00D0753E">
        <w:rPr>
          <w:rFonts w:ascii="Simplified Arabic" w:eastAsia="Times New Roman" w:hAnsi="Simplified Arabic" w:cs="Simplified Arabic"/>
          <w:sz w:val="32"/>
          <w:szCs w:val="32"/>
          <w:lang w:eastAsia="fr-FR"/>
        </w:rPr>
        <w:t>thème</w:t>
      </w:r>
      <w:r w:rsidRPr="00D0753E">
        <w:rPr>
          <w:rFonts w:ascii="Simplified Arabic" w:eastAsia="Times New Roman" w:hAnsi="Simplified Arabic" w:cs="Simplified Arabic"/>
          <w:sz w:val="32"/>
          <w:szCs w:val="32"/>
          <w:rtl/>
          <w:lang w:eastAsia="fr-FR" w:bidi="ar-MA"/>
        </w:rPr>
        <w:t>) كما يرى برنار دوبربي (</w:t>
      </w:r>
      <w:r w:rsidRPr="00D0753E">
        <w:rPr>
          <w:rFonts w:ascii="Simplified Arabic" w:eastAsia="Times New Roman" w:hAnsi="Simplified Arabic" w:cs="Simplified Arabic"/>
          <w:sz w:val="32"/>
          <w:szCs w:val="32"/>
          <w:lang w:eastAsia="fr-FR"/>
        </w:rPr>
        <w:t>B.Dupriez</w:t>
      </w:r>
      <w:r w:rsidRPr="00D0753E">
        <w:rPr>
          <w:rFonts w:ascii="Simplified Arabic" w:eastAsia="Times New Roman" w:hAnsi="Simplified Arabic" w:cs="Simplified Arabic"/>
          <w:sz w:val="32"/>
          <w:szCs w:val="32"/>
          <w:rtl/>
          <w:lang w:eastAsia="fr-FR" w:bidi="ar-MA"/>
        </w:rPr>
        <w:t>) هي الفكرة المتواترة في العمل الأدبي، وتستعمل أحيانا بمعنى الحافر الكثير التواتر. غير أن "التيمة" أكثر عمومية وتجريدا ..."</w:t>
      </w:r>
      <w:bookmarkStart w:id="0" w:name="_ftnref2"/>
      <w:r w:rsidRPr="00D0753E">
        <w:rPr>
          <w:rFonts w:ascii="Simplified Arabic" w:eastAsia="Times New Roman" w:hAnsi="Simplified Arabic" w:cs="Simplified Arabic"/>
          <w:sz w:val="32"/>
          <w:szCs w:val="32"/>
          <w:rtl/>
          <w:lang w:eastAsia="fr-FR" w:bidi="ar-MA"/>
        </w:rPr>
        <w:fldChar w:fldCharType="begin"/>
      </w:r>
      <w:r w:rsidRPr="00D0753E">
        <w:rPr>
          <w:rFonts w:ascii="Simplified Arabic" w:eastAsia="Times New Roman" w:hAnsi="Simplified Arabic" w:cs="Simplified Arabic"/>
          <w:sz w:val="32"/>
          <w:szCs w:val="32"/>
          <w:lang w:eastAsia="fr-FR" w:bidi="ar-MA"/>
        </w:rPr>
        <w:instrText>HYPERLINK "https://www.arabicnadwah.com/articles/muqaraba-hamadaoui.htm" \l "_ftn2" \o</w:instrText>
      </w:r>
      <w:r w:rsidRPr="00D0753E">
        <w:rPr>
          <w:rFonts w:ascii="Simplified Arabic" w:eastAsia="Times New Roman" w:hAnsi="Simplified Arabic" w:cs="Simplified Arabic"/>
          <w:sz w:val="32"/>
          <w:szCs w:val="32"/>
          <w:rtl/>
          <w:lang w:eastAsia="fr-FR" w:bidi="ar-MA"/>
        </w:rPr>
        <w:instrText xml:space="preserve"> "" </w:instrText>
      </w:r>
      <w:r w:rsidRPr="00D0753E">
        <w:rPr>
          <w:rFonts w:ascii="Simplified Arabic" w:eastAsia="Times New Roman" w:hAnsi="Simplified Arabic" w:cs="Simplified Arabic"/>
          <w:sz w:val="32"/>
          <w:szCs w:val="32"/>
          <w:rtl/>
          <w:lang w:eastAsia="fr-FR" w:bidi="ar-MA"/>
        </w:rPr>
        <w:fldChar w:fldCharType="separate"/>
      </w:r>
      <w:r w:rsidRPr="00D0753E">
        <w:rPr>
          <w:rStyle w:val="Appelnotedebasdep"/>
          <w:rFonts w:ascii="Simplified Arabic" w:hAnsi="Simplified Arabic" w:cs="Simplified Arabic"/>
          <w:sz w:val="32"/>
          <w:szCs w:val="32"/>
          <w:rtl/>
        </w:rPr>
        <w:footnoteReference w:id="1"/>
      </w:r>
      <w:r w:rsidRPr="00D0753E">
        <w:rPr>
          <w:rFonts w:ascii="Simplified Arabic" w:eastAsia="Times New Roman" w:hAnsi="Simplified Arabic" w:cs="Simplified Arabic"/>
          <w:sz w:val="32"/>
          <w:szCs w:val="32"/>
          <w:rtl/>
          <w:lang w:eastAsia="fr-FR" w:bidi="ar-MA"/>
        </w:rPr>
        <w:fldChar w:fldCharType="end"/>
      </w:r>
      <w:bookmarkEnd w:id="0"/>
    </w:p>
    <w:p w:rsidR="009F6265" w:rsidRPr="00D0753E" w:rsidRDefault="009F6265" w:rsidP="009F6265">
      <w:pPr>
        <w:bidi/>
        <w:spacing w:after="0" w:line="360" w:lineRule="auto"/>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 xml:space="preserve">ويتابع سعيد يقطين واصفا الخطاب الروائي المغربي الجديد  على ضوء رؤية تيماتية قائلا : "  وفي العالم الروائي الذي بين أيدينا نجد "تيمات" أساسية كثيرة لها دلالاتها البعيدة لمن يريد قراءة الرواية قراءة </w:t>
      </w:r>
      <w:r w:rsidRPr="00D0753E">
        <w:rPr>
          <w:rFonts w:ascii="Simplified Arabic" w:eastAsia="Times New Roman" w:hAnsi="Simplified Arabic" w:cs="Simplified Arabic"/>
          <w:sz w:val="32"/>
          <w:szCs w:val="32"/>
          <w:u w:val="single"/>
          <w:rtl/>
          <w:lang w:eastAsia="fr-FR" w:bidi="ar-MA"/>
        </w:rPr>
        <w:t>"تيمية"</w:t>
      </w:r>
      <w:r w:rsidRPr="00D0753E">
        <w:rPr>
          <w:rFonts w:ascii="Simplified Arabic" w:eastAsia="Times New Roman" w:hAnsi="Simplified Arabic" w:cs="Simplified Arabic"/>
          <w:sz w:val="32"/>
          <w:szCs w:val="32"/>
          <w:rtl/>
          <w:lang w:eastAsia="fr-FR" w:bidi="ar-MA"/>
        </w:rPr>
        <w:t xml:space="preserve"> (</w:t>
      </w:r>
      <w:r w:rsidRPr="00D0753E">
        <w:rPr>
          <w:rFonts w:ascii="Simplified Arabic" w:eastAsia="Times New Roman" w:hAnsi="Simplified Arabic" w:cs="Simplified Arabic"/>
          <w:sz w:val="32"/>
          <w:szCs w:val="32"/>
          <w:lang w:eastAsia="fr-FR"/>
        </w:rPr>
        <w:t>thématique</w:t>
      </w:r>
      <w:r w:rsidRPr="00D0753E">
        <w:rPr>
          <w:rFonts w:ascii="Simplified Arabic" w:eastAsia="Times New Roman" w:hAnsi="Simplified Arabic" w:cs="Simplified Arabic"/>
          <w:sz w:val="32"/>
          <w:szCs w:val="32"/>
          <w:rtl/>
          <w:lang w:eastAsia="fr-FR" w:bidi="ar-MA"/>
        </w:rPr>
        <w:t xml:space="preserve">)" </w:t>
      </w:r>
      <w:hyperlink r:id="rId7" w:anchor="_ftn2" w:history="1">
        <w:r w:rsidRPr="00D0753E">
          <w:rPr>
            <w:rStyle w:val="Appelnotedebasdep"/>
            <w:rFonts w:ascii="Simplified Arabic" w:hAnsi="Simplified Arabic" w:cs="Simplified Arabic"/>
            <w:sz w:val="32"/>
            <w:szCs w:val="32"/>
            <w:rtl/>
          </w:rPr>
          <w:footnoteReference w:id="2"/>
        </w:r>
      </w:hyperlink>
      <w:r w:rsidRPr="00D0753E">
        <w:rPr>
          <w:rFonts w:ascii="Simplified Arabic" w:eastAsia="Times New Roman" w:hAnsi="Simplified Arabic" w:cs="Simplified Arabic"/>
          <w:sz w:val="32"/>
          <w:szCs w:val="32"/>
          <w:rtl/>
          <w:lang w:eastAsia="fr-FR" w:bidi="ar-MA"/>
        </w:rPr>
        <w:t xml:space="preserve"> .</w:t>
      </w:r>
    </w:p>
    <w:p w:rsidR="009F6265" w:rsidRPr="00D0753E" w:rsidRDefault="009F6265" w:rsidP="009F6265">
      <w:pPr>
        <w:bidi/>
        <w:spacing w:after="0" w:line="360" w:lineRule="auto"/>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ويترجم إبراهيم الخطيب كلمة (</w:t>
      </w:r>
      <w:r w:rsidRPr="00D0753E">
        <w:rPr>
          <w:rFonts w:ascii="Simplified Arabic" w:eastAsia="Times New Roman" w:hAnsi="Simplified Arabic" w:cs="Simplified Arabic"/>
          <w:sz w:val="32"/>
          <w:szCs w:val="32"/>
          <w:lang w:eastAsia="fr-FR"/>
        </w:rPr>
        <w:t>thème</w:t>
      </w:r>
      <w:r w:rsidRPr="00D0753E">
        <w:rPr>
          <w:rFonts w:ascii="Simplified Arabic" w:eastAsia="Times New Roman" w:hAnsi="Simplified Arabic" w:cs="Simplified Arabic"/>
          <w:sz w:val="32"/>
          <w:szCs w:val="32"/>
          <w:rtl/>
          <w:lang w:eastAsia="fr-FR" w:bidi="ar-MA"/>
        </w:rPr>
        <w:t>) بغرض أثناء ترجمته لنظرية الأغراض لدى توماشفسكي (</w:t>
      </w:r>
      <w:r w:rsidRPr="00D0753E">
        <w:rPr>
          <w:rFonts w:ascii="Simplified Arabic" w:eastAsia="Times New Roman" w:hAnsi="Simplified Arabic" w:cs="Simplified Arabic"/>
          <w:sz w:val="32"/>
          <w:szCs w:val="32"/>
          <w:lang w:eastAsia="fr-FR"/>
        </w:rPr>
        <w:t>Tomachevsky</w:t>
      </w:r>
      <w:r w:rsidRPr="00D0753E">
        <w:rPr>
          <w:rFonts w:ascii="Simplified Arabic" w:eastAsia="Times New Roman" w:hAnsi="Simplified Arabic" w:cs="Simplified Arabic"/>
          <w:sz w:val="32"/>
          <w:szCs w:val="32"/>
          <w:rtl/>
          <w:lang w:eastAsia="fr-FR" w:bidi="ar-MA"/>
        </w:rPr>
        <w:t xml:space="preserve">) الذي يتحدث عن اختيار الغرض أو "التيمة" الموضوعاتية التي يتمحور حولها العمل الفني بصفة </w:t>
      </w:r>
      <w:r w:rsidRPr="00D0753E">
        <w:rPr>
          <w:rFonts w:ascii="Simplified Arabic" w:eastAsia="Times New Roman" w:hAnsi="Simplified Arabic" w:cs="Simplified Arabic" w:hint="cs"/>
          <w:sz w:val="32"/>
          <w:szCs w:val="32"/>
          <w:rtl/>
          <w:lang w:eastAsia="fr-FR" w:bidi="ar-MA"/>
        </w:rPr>
        <w:t>خاصة،</w:t>
      </w:r>
      <w:r w:rsidRPr="00D0753E">
        <w:rPr>
          <w:rFonts w:ascii="Simplified Arabic" w:eastAsia="Times New Roman" w:hAnsi="Simplified Arabic" w:cs="Simplified Arabic"/>
          <w:sz w:val="32"/>
          <w:szCs w:val="32"/>
          <w:rtl/>
          <w:lang w:eastAsia="fr-FR" w:bidi="ar-MA"/>
        </w:rPr>
        <w:t xml:space="preserve"> إذ يبين هذا الشكلاني الروس بأن "خلال السيرورة الفنية، تتمازج الجمل المفردة فيما بينها، حسب معانيها، محققة بذلك بناء محددا، تتواجد فيه متحدة بواسطة فكرة أو </w:t>
      </w:r>
      <w:r w:rsidRPr="00D0753E">
        <w:rPr>
          <w:rFonts w:ascii="Simplified Arabic" w:eastAsia="Times New Roman" w:hAnsi="Simplified Arabic" w:cs="Simplified Arabic"/>
          <w:sz w:val="32"/>
          <w:szCs w:val="32"/>
          <w:u w:val="single"/>
          <w:rtl/>
          <w:lang w:eastAsia="fr-FR" w:bidi="ar-MA"/>
        </w:rPr>
        <w:t>غرض</w:t>
      </w:r>
      <w:r w:rsidRPr="00D0753E">
        <w:rPr>
          <w:rFonts w:ascii="Simplified Arabic" w:eastAsia="Times New Roman" w:hAnsi="Simplified Arabic" w:cs="Simplified Arabic"/>
          <w:sz w:val="32"/>
          <w:szCs w:val="32"/>
          <w:rtl/>
          <w:lang w:eastAsia="fr-FR" w:bidi="ar-MA"/>
        </w:rPr>
        <w:t xml:space="preserve"> مشترك. إن دلالات العناصر المفردة للعمل – </w:t>
      </w:r>
      <w:r w:rsidRPr="00D0753E">
        <w:rPr>
          <w:rFonts w:ascii="Simplified Arabic" w:eastAsia="Times New Roman" w:hAnsi="Simplified Arabic" w:cs="Simplified Arabic"/>
          <w:sz w:val="32"/>
          <w:szCs w:val="32"/>
          <w:rtl/>
          <w:lang w:eastAsia="fr-FR" w:bidi="ar-MA"/>
        </w:rPr>
        <w:lastRenderedPageBreak/>
        <w:t xml:space="preserve">يقول الباحث الروسي – تشكل وحدة </w:t>
      </w:r>
      <w:proofErr w:type="gramStart"/>
      <w:r w:rsidRPr="00D0753E">
        <w:rPr>
          <w:rFonts w:ascii="Simplified Arabic" w:eastAsia="Times New Roman" w:hAnsi="Simplified Arabic" w:cs="Simplified Arabic"/>
          <w:sz w:val="32"/>
          <w:szCs w:val="32"/>
          <w:rtl/>
          <w:lang w:eastAsia="fr-FR" w:bidi="ar-MA"/>
        </w:rPr>
        <w:t>هي</w:t>
      </w:r>
      <w:proofErr w:type="gramEnd"/>
      <w:r w:rsidRPr="00D0753E">
        <w:rPr>
          <w:rFonts w:ascii="Simplified Arabic" w:eastAsia="Times New Roman" w:hAnsi="Simplified Arabic" w:cs="Simplified Arabic"/>
          <w:sz w:val="32"/>
          <w:szCs w:val="32"/>
          <w:rtl/>
          <w:lang w:eastAsia="fr-FR" w:bidi="ar-MA"/>
        </w:rPr>
        <w:t xml:space="preserve"> </w:t>
      </w:r>
      <w:r w:rsidRPr="00D0753E">
        <w:rPr>
          <w:rFonts w:ascii="Simplified Arabic" w:eastAsia="Times New Roman" w:hAnsi="Simplified Arabic" w:cs="Simplified Arabic"/>
          <w:sz w:val="32"/>
          <w:szCs w:val="32"/>
          <w:u w:val="single"/>
          <w:rtl/>
          <w:lang w:eastAsia="fr-FR" w:bidi="ar-MA"/>
        </w:rPr>
        <w:t>الغرض</w:t>
      </w:r>
      <w:r w:rsidRPr="00D0753E">
        <w:rPr>
          <w:rFonts w:ascii="Simplified Arabic" w:eastAsia="Times New Roman" w:hAnsi="Simplified Arabic" w:cs="Simplified Arabic"/>
          <w:sz w:val="32"/>
          <w:szCs w:val="32"/>
          <w:rtl/>
          <w:lang w:eastAsia="fr-FR" w:bidi="ar-MA"/>
        </w:rPr>
        <w:t xml:space="preserve"> (الذي نتحدث عنه). </w:t>
      </w:r>
      <w:proofErr w:type="gramStart"/>
      <w:r w:rsidRPr="00D0753E">
        <w:rPr>
          <w:rFonts w:ascii="Simplified Arabic" w:eastAsia="Times New Roman" w:hAnsi="Simplified Arabic" w:cs="Simplified Arabic"/>
          <w:sz w:val="32"/>
          <w:szCs w:val="32"/>
          <w:rtl/>
          <w:lang w:eastAsia="fr-FR" w:bidi="ar-MA"/>
        </w:rPr>
        <w:t>وإنه</w:t>
      </w:r>
      <w:proofErr w:type="gramEnd"/>
      <w:r w:rsidRPr="00D0753E">
        <w:rPr>
          <w:rFonts w:ascii="Simplified Arabic" w:eastAsia="Times New Roman" w:hAnsi="Simplified Arabic" w:cs="Simplified Arabic"/>
          <w:sz w:val="32"/>
          <w:szCs w:val="32"/>
          <w:rtl/>
          <w:lang w:eastAsia="fr-FR" w:bidi="ar-MA"/>
        </w:rPr>
        <w:t xml:space="preserve"> من الممكن أن نتحدث سواء عن الغرض العام للعمل أم عن أغراض أجزائه. </w:t>
      </w:r>
      <w:proofErr w:type="gramStart"/>
      <w:r w:rsidRPr="00D0753E">
        <w:rPr>
          <w:rFonts w:ascii="Simplified Arabic" w:eastAsia="Times New Roman" w:hAnsi="Simplified Arabic" w:cs="Simplified Arabic"/>
          <w:sz w:val="32"/>
          <w:szCs w:val="32"/>
          <w:rtl/>
          <w:lang w:eastAsia="fr-FR" w:bidi="ar-MA"/>
        </w:rPr>
        <w:t>ما</w:t>
      </w:r>
      <w:proofErr w:type="gramEnd"/>
      <w:r w:rsidRPr="00D0753E">
        <w:rPr>
          <w:rFonts w:ascii="Simplified Arabic" w:eastAsia="Times New Roman" w:hAnsi="Simplified Arabic" w:cs="Simplified Arabic"/>
          <w:sz w:val="32"/>
          <w:szCs w:val="32"/>
          <w:rtl/>
          <w:lang w:eastAsia="fr-FR" w:bidi="ar-MA"/>
        </w:rPr>
        <w:t xml:space="preserve"> من عمل قد كتب في لغة لها معنى إلا ويتوفر على غرض. </w:t>
      </w:r>
      <w:proofErr w:type="gramStart"/>
      <w:r w:rsidRPr="00D0753E">
        <w:rPr>
          <w:rFonts w:ascii="Simplified Arabic" w:eastAsia="Times New Roman" w:hAnsi="Simplified Arabic" w:cs="Simplified Arabic"/>
          <w:sz w:val="32"/>
          <w:szCs w:val="32"/>
          <w:rtl/>
          <w:lang w:eastAsia="fr-FR" w:bidi="ar-MA"/>
        </w:rPr>
        <w:t>أما</w:t>
      </w:r>
      <w:proofErr w:type="gramEnd"/>
      <w:r w:rsidRPr="00D0753E">
        <w:rPr>
          <w:rFonts w:ascii="Simplified Arabic" w:eastAsia="Times New Roman" w:hAnsi="Simplified Arabic" w:cs="Simplified Arabic"/>
          <w:sz w:val="32"/>
          <w:szCs w:val="32"/>
          <w:rtl/>
          <w:lang w:eastAsia="fr-FR" w:bidi="ar-MA"/>
        </w:rPr>
        <w:t xml:space="preserve"> العمل غير العقلي (</w:t>
      </w:r>
      <w:r w:rsidRPr="00D0753E">
        <w:rPr>
          <w:rFonts w:ascii="Simplified Arabic" w:eastAsia="Times New Roman" w:hAnsi="Simplified Arabic" w:cs="Simplified Arabic"/>
          <w:sz w:val="32"/>
          <w:szCs w:val="32"/>
          <w:lang w:eastAsia="fr-FR"/>
        </w:rPr>
        <w:t>Transrationnelle)</w:t>
      </w:r>
      <w:r w:rsidRPr="00D0753E">
        <w:rPr>
          <w:rFonts w:ascii="Simplified Arabic" w:eastAsia="Times New Roman" w:hAnsi="Simplified Arabic" w:cs="Simplified Arabic"/>
          <w:sz w:val="32"/>
          <w:szCs w:val="32"/>
          <w:rtl/>
          <w:lang w:eastAsia="fr-FR" w:bidi="ar-MA"/>
        </w:rPr>
        <w:t>) فلا غرض له، نظرا لأنه ليس سوى تدريب تجريبي أو تدريب مختبري بالنسبة لبعض المدارس الشعرية"</w:t>
      </w:r>
      <w:hyperlink r:id="rId8" w:anchor="_ftn2" w:history="1">
        <w:r w:rsidRPr="00D0753E">
          <w:rPr>
            <w:rStyle w:val="Appelnotedebasdep"/>
            <w:rFonts w:ascii="Simplified Arabic" w:hAnsi="Simplified Arabic" w:cs="Simplified Arabic"/>
            <w:sz w:val="32"/>
            <w:szCs w:val="32"/>
            <w:rtl/>
          </w:rPr>
          <w:footnoteReference w:id="3"/>
        </w:r>
      </w:hyperlink>
      <w:r w:rsidRPr="00D0753E">
        <w:rPr>
          <w:rFonts w:ascii="Simplified Arabic" w:eastAsia="Times New Roman" w:hAnsi="Simplified Arabic" w:cs="Simplified Arabic"/>
          <w:sz w:val="32"/>
          <w:szCs w:val="32"/>
          <w:rtl/>
          <w:lang w:eastAsia="fr-FR" w:bidi="ar-MA"/>
        </w:rPr>
        <w:t xml:space="preserve">. </w:t>
      </w:r>
    </w:p>
    <w:p w:rsidR="009F6265" w:rsidRPr="00D0753E" w:rsidRDefault="009F6265" w:rsidP="009F6265">
      <w:pPr>
        <w:bidi/>
        <w:spacing w:after="0" w:line="360" w:lineRule="auto"/>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 xml:space="preserve">ويتميز العمل الأدبي حسب توماشفسكي " بوحدة، عندما يكون قد بني انطلاقا من </w:t>
      </w:r>
      <w:r w:rsidRPr="00D0753E">
        <w:rPr>
          <w:rFonts w:ascii="Simplified Arabic" w:eastAsia="Times New Roman" w:hAnsi="Simplified Arabic" w:cs="Simplified Arabic"/>
          <w:sz w:val="32"/>
          <w:szCs w:val="32"/>
          <w:u w:val="single"/>
          <w:rtl/>
          <w:lang w:eastAsia="fr-FR" w:bidi="ar-MA"/>
        </w:rPr>
        <w:t>غرض</w:t>
      </w:r>
      <w:r w:rsidRPr="00D0753E">
        <w:rPr>
          <w:rFonts w:ascii="Simplified Arabic" w:eastAsia="Times New Roman" w:hAnsi="Simplified Arabic" w:cs="Simplified Arabic"/>
          <w:sz w:val="32"/>
          <w:szCs w:val="32"/>
          <w:rtl/>
          <w:lang w:eastAsia="fr-FR" w:bidi="ar-MA"/>
        </w:rPr>
        <w:t xml:space="preserve"> وحيد، ينكشف خلال العمل كله. نتيجة لذلك، تنتظم السيرورة الأدبية حول لحظتين هامتين: اختيار الغرض وصياغته (</w:t>
      </w:r>
      <w:r w:rsidRPr="00D0753E">
        <w:rPr>
          <w:rFonts w:ascii="Simplified Arabic" w:eastAsia="Times New Roman" w:hAnsi="Simplified Arabic" w:cs="Simplified Arabic"/>
          <w:sz w:val="32"/>
          <w:szCs w:val="32"/>
          <w:lang w:eastAsia="fr-FR"/>
        </w:rPr>
        <w:t>Elaboration</w:t>
      </w:r>
      <w:r w:rsidRPr="00D0753E">
        <w:rPr>
          <w:rFonts w:ascii="Simplified Arabic" w:eastAsia="Times New Roman" w:hAnsi="Simplified Arabic" w:cs="Simplified Arabic"/>
          <w:sz w:val="32"/>
          <w:szCs w:val="32"/>
          <w:rtl/>
          <w:lang w:eastAsia="fr-FR" w:bidi="ar-MA"/>
        </w:rPr>
        <w:t xml:space="preserve">)" </w:t>
      </w:r>
      <w:hyperlink r:id="rId9" w:anchor="_ftn2" w:history="1">
        <w:r w:rsidRPr="00D0753E">
          <w:rPr>
            <w:rStyle w:val="Appelnotedebasdep"/>
            <w:rFonts w:ascii="Simplified Arabic" w:hAnsi="Simplified Arabic" w:cs="Simplified Arabic"/>
            <w:sz w:val="32"/>
            <w:szCs w:val="32"/>
            <w:rtl/>
          </w:rPr>
          <w:footnoteReference w:id="4"/>
        </w:r>
      </w:hyperlink>
    </w:p>
    <w:p w:rsidR="009F6265" w:rsidRPr="00D0753E" w:rsidRDefault="009F6265" w:rsidP="009F6265">
      <w:pPr>
        <w:bidi/>
        <w:spacing w:after="0" w:line="360" w:lineRule="auto"/>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 xml:space="preserve">يبدو أن الغرض أو "التيمة" من خلال هذا النص هو ذلك البناء الموحد لجمل النص المتشابكة تركيبيا ودلاليا بواسطة فكرة مهيمنة معنويا. وبالتالي، تتمثل الوظيفة البنائية  للتيمة في توحيد جمل النص المفردة وتغريض الإبداع. وكل </w:t>
      </w:r>
      <w:proofErr w:type="gramStart"/>
      <w:r w:rsidRPr="00D0753E">
        <w:rPr>
          <w:rFonts w:ascii="Simplified Arabic" w:eastAsia="Times New Roman" w:hAnsi="Simplified Arabic" w:cs="Simplified Arabic"/>
          <w:sz w:val="32"/>
          <w:szCs w:val="32"/>
          <w:rtl/>
          <w:lang w:eastAsia="fr-FR" w:bidi="ar-MA"/>
        </w:rPr>
        <w:t>نص</w:t>
      </w:r>
      <w:proofErr w:type="gramEnd"/>
      <w:r w:rsidRPr="00D0753E">
        <w:rPr>
          <w:rFonts w:ascii="Simplified Arabic" w:eastAsia="Times New Roman" w:hAnsi="Simplified Arabic" w:cs="Simplified Arabic"/>
          <w:sz w:val="32"/>
          <w:szCs w:val="32"/>
          <w:rtl/>
          <w:lang w:eastAsia="fr-FR" w:bidi="ar-MA"/>
        </w:rPr>
        <w:t xml:space="preserve"> يتوفر على موضوعة معينة أو غرض ما فهو نص مقبول عقليا. وبالتالي،  تنطبق عليه عمليا صفة المقبولية ومشروعية قراءته ونقده، وأما النص الذي يخلو من وجود غرض معين فهو نص مختل عقليا وناقص دلاليا لايمكن اعتباره نصا إبداعيا أو أدبيا.</w:t>
      </w:r>
    </w:p>
    <w:p w:rsidR="009F6265" w:rsidRPr="00D0753E" w:rsidRDefault="009F6265" w:rsidP="009F6265">
      <w:pPr>
        <w:bidi/>
        <w:spacing w:after="0" w:line="360" w:lineRule="auto"/>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 </w:t>
      </w:r>
    </w:p>
    <w:p w:rsidR="009F6265" w:rsidRPr="00D0753E" w:rsidRDefault="009F6265" w:rsidP="009F6265">
      <w:pPr>
        <w:bidi/>
        <w:spacing w:after="0" w:line="360" w:lineRule="auto"/>
        <w:rPr>
          <w:rFonts w:ascii="Simplified Arabic" w:eastAsia="Times New Roman" w:hAnsi="Simplified Arabic" w:cs="Simplified Arabic"/>
          <w:b/>
          <w:bCs/>
          <w:sz w:val="32"/>
          <w:szCs w:val="32"/>
          <w:rtl/>
          <w:lang w:eastAsia="fr-FR"/>
        </w:rPr>
      </w:pPr>
      <w:r w:rsidRPr="00D0753E">
        <w:rPr>
          <w:rFonts w:ascii="Simplified Arabic" w:eastAsia="Times New Roman" w:hAnsi="Simplified Arabic" w:cs="Simplified Arabic"/>
          <w:b/>
          <w:bCs/>
          <w:sz w:val="32"/>
          <w:szCs w:val="32"/>
          <w:rtl/>
          <w:lang w:eastAsia="fr-FR" w:bidi="ar-MA"/>
        </w:rPr>
        <w:lastRenderedPageBreak/>
        <w:t xml:space="preserve">ب- </w:t>
      </w:r>
      <w:proofErr w:type="gramStart"/>
      <w:r w:rsidRPr="00D0753E">
        <w:rPr>
          <w:rFonts w:ascii="Simplified Arabic" w:eastAsia="Times New Roman" w:hAnsi="Simplified Arabic" w:cs="Simplified Arabic"/>
          <w:b/>
          <w:bCs/>
          <w:sz w:val="32"/>
          <w:szCs w:val="32"/>
          <w:rtl/>
          <w:lang w:eastAsia="fr-FR" w:bidi="ar-MA"/>
        </w:rPr>
        <w:t>الدلالــــة</w:t>
      </w:r>
      <w:proofErr w:type="gramEnd"/>
      <w:r w:rsidRPr="00D0753E">
        <w:rPr>
          <w:rFonts w:ascii="Simplified Arabic" w:eastAsia="Times New Roman" w:hAnsi="Simplified Arabic" w:cs="Simplified Arabic"/>
          <w:b/>
          <w:bCs/>
          <w:sz w:val="32"/>
          <w:szCs w:val="32"/>
          <w:rtl/>
          <w:lang w:eastAsia="fr-FR" w:bidi="ar-MA"/>
        </w:rPr>
        <w:t xml:space="preserve"> الاصطلاحيـــة:</w:t>
      </w:r>
    </w:p>
    <w:p w:rsidR="009F6265" w:rsidRPr="00D0753E" w:rsidRDefault="009F6265" w:rsidP="009F6265">
      <w:pPr>
        <w:bidi/>
        <w:spacing w:after="0" w:line="360" w:lineRule="auto"/>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تنبني المقاربة الموضوعاتية على استخلاص الفكرة العامة أو الرسالة المهيمنة أو الرهان المقصدي  أو الدلالة المهيمنة أو البنية الدالة التي تتمظهر في النص أو العمل الأدبي عبر النسق البنيوي وشبكاته التعبيرية تمطيطا وتوسيعا أو اختصارا وتكثيفا، والبحث أيضا عما يجسد وحدة النص العضوية والموضوعية اتساقا وانسجاما وتنظيما.</w:t>
      </w:r>
    </w:p>
    <w:p w:rsidR="009F6265" w:rsidRPr="00D0753E" w:rsidRDefault="009F6265" w:rsidP="009F6265">
      <w:pPr>
        <w:bidi/>
        <w:spacing w:after="0" w:line="360" w:lineRule="auto"/>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 xml:space="preserve">ولايمكن للمقاربة الموضوعاتية أن تبرز الفكرة المهيمنة والتيمة المحورية إلا بعد الانطلاق من القراءة الصغرى نحو القراءة الكبرى، وتعرف الجنس الأدبي وحيثياته المناصية والمرجعية، وتفكيك النص إلى حقول معجمية وجداول دلالية إحصائية لمعرفة الكلمات والعبارات والصور المتكررة في النص أو العمل الإبداعي  اطرادا وتواترا. </w:t>
      </w:r>
    </w:p>
    <w:p w:rsidR="009F6265" w:rsidRPr="00D0753E" w:rsidRDefault="009F6265" w:rsidP="009F6265">
      <w:pPr>
        <w:bidi/>
        <w:spacing w:after="0" w:line="360" w:lineRule="auto"/>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وترصد المقاربة الموضوعاتية كل الكلمات- المفاتيح والصور الملحة والعلامات اللغوية البارزة والرموز الموحية و قراءتها إحصائيا وتأويليا.</w:t>
      </w:r>
    </w:p>
    <w:p w:rsidR="009F6265" w:rsidRPr="00D0753E" w:rsidRDefault="009F6265" w:rsidP="009F6265">
      <w:pPr>
        <w:bidi/>
        <w:spacing w:after="0" w:line="360" w:lineRule="auto"/>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 ولن تكون القراءة الموضوعاتية  ناجعة وسليمة إلا بقراءة السياق النصي والذهني للكلمات والمفردات المعجمية المتكررة. ويمكن التسلح في هذا السياق القرائي  بمجموعة من الآليات المنهجية كالتشاكل والتوازي والتعادل والترادف والتطابق والتقابل والتكرار والتواتر لتحديد البنيات الدالة المهيمنة والمتكررة في النص.</w:t>
      </w:r>
    </w:p>
    <w:p w:rsidR="009F6265" w:rsidRPr="00D0753E" w:rsidRDefault="009F6265" w:rsidP="009F6265">
      <w:pPr>
        <w:bidi/>
        <w:spacing w:after="0" w:line="360" w:lineRule="auto"/>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ويقوم هذا النقد الموضوعاتي على تحويل ماهو روحاني وزئبقي وجواني وشاعري إلى وحدة دلالية حسية  مبنينة موضوعيا وعضويا .</w:t>
      </w:r>
    </w:p>
    <w:p w:rsidR="009F6265" w:rsidRPr="00D0753E" w:rsidRDefault="009F6265" w:rsidP="009F6265">
      <w:pPr>
        <w:bidi/>
        <w:spacing w:after="0" w:line="360" w:lineRule="auto"/>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lastRenderedPageBreak/>
        <w:t xml:space="preserve">ويستلزم النقد الموضوعاتي قراءة نص واحد أو مجموعة من النصوص والأعمال الإبداعية التي كتبها الأديب المبدع، والبحث عن بنياتها الداخلية ومرتكزها البنيوي المهيمن، وجمع كل الاستنتاجات في بوتقة تركيبية متجانسة ومتضامة، واستقراء اللاشعور النصي عند المبدع، وربط صورة اللاوعي بصورة المبدع على المستوى البيوغرافي والشخصي. </w:t>
      </w:r>
      <w:hyperlink r:id="rId10" w:anchor="_ftn2" w:history="1">
        <w:r w:rsidRPr="00D0753E">
          <w:rPr>
            <w:rStyle w:val="Appelnotedebasdep"/>
            <w:rFonts w:ascii="Simplified Arabic" w:hAnsi="Simplified Arabic" w:cs="Simplified Arabic"/>
            <w:sz w:val="32"/>
            <w:szCs w:val="32"/>
            <w:rtl/>
          </w:rPr>
          <w:footnoteReference w:id="5"/>
        </w:r>
      </w:hyperlink>
    </w:p>
    <w:p w:rsidR="009F6265" w:rsidRPr="00D0753E" w:rsidRDefault="009F6265" w:rsidP="009F6265">
      <w:pPr>
        <w:bidi/>
        <w:spacing w:after="0" w:line="360" w:lineRule="auto"/>
        <w:jc w:val="lowKashida"/>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 xml:space="preserve">وعليه،  فالمقاربة الموضوعاتية  هي التي تبحث في أغوار النص لاستكناه بؤرة الرسالة مع التنقيب عن الجذور الدلالية المولدة لأفكار النص قصد الوصول إلى الفكرة المهيمنة في النص، وتحديد نسبة التوارد لتحديد العنصر المكرر فكريا سواء في الشعر أم في النثر. وتهدف هذه المقاربة أيضا إلى استخلاص البؤرة المعنوية والخلية العنوانية  والجذر الجوهري والفعل المولد والنواة الأساسية التي يتمحور حولها النص إسنادا وتكملة عبر عمليات نحوية إبداعية كالحذف والزيادة والتحويل والاستبدال. </w:t>
      </w:r>
    </w:p>
    <w:p w:rsidR="009F6265" w:rsidRPr="00D0753E" w:rsidRDefault="009F6265" w:rsidP="009F6265">
      <w:pPr>
        <w:bidi/>
        <w:spacing w:after="0" w:line="360" w:lineRule="auto"/>
        <w:jc w:val="lowKashida"/>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 xml:space="preserve">ومن الصعوبة بمكان، تحديد مفهوم النقد الموضوعاتي بكل دقة ونجاعة نظرا لتعدد مدلولاته الاشتقاقية والاصطلاحية، وتذبذب مفاهيمه من دارس إلى آخر، وكثرة آلياته الاصطلاحية وأدواته الإجرائية بسبب تعدد المناهج التي تحويها المقاربة الموضوعاتية. </w:t>
      </w:r>
    </w:p>
    <w:p w:rsidR="009F6265" w:rsidRPr="00D0753E" w:rsidRDefault="009F6265" w:rsidP="009F6265">
      <w:pPr>
        <w:bidi/>
        <w:spacing w:after="0" w:line="360" w:lineRule="auto"/>
        <w:jc w:val="lowKashida"/>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ويعني هذا أن المقاربة الموضوعاتية تطرح عدة أسئلة وصعوبات وإشكاليات وعوائق مفاهيمية ومنهجية وتطبيقية ، وتختلط بالنقد المضموني كما تلتبس بالمناهج النقدية والفلسفية الأخرى.</w:t>
      </w:r>
    </w:p>
    <w:p w:rsidR="009F6265" w:rsidRPr="00D0753E" w:rsidRDefault="009F6265" w:rsidP="009F6265">
      <w:pPr>
        <w:bidi/>
        <w:spacing w:after="0" w:line="360" w:lineRule="auto"/>
        <w:jc w:val="lowKashida"/>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lastRenderedPageBreak/>
        <w:t> </w:t>
      </w:r>
    </w:p>
    <w:p w:rsidR="009F6265" w:rsidRPr="00D0753E" w:rsidRDefault="009F6265" w:rsidP="009F6265">
      <w:pPr>
        <w:bidi/>
        <w:spacing w:after="0" w:line="360" w:lineRule="auto"/>
        <w:jc w:val="lowKashida"/>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 xml:space="preserve">2- </w:t>
      </w:r>
      <w:r w:rsidRPr="00D0753E">
        <w:rPr>
          <w:rFonts w:ascii="Simplified Arabic" w:eastAsia="Times New Roman" w:hAnsi="Simplified Arabic" w:cs="Simplified Arabic"/>
          <w:b/>
          <w:bCs/>
          <w:sz w:val="36"/>
          <w:szCs w:val="36"/>
          <w:rtl/>
          <w:lang w:eastAsia="fr-FR" w:bidi="ar-MA"/>
        </w:rPr>
        <w:t xml:space="preserve">التصور النظري </w:t>
      </w:r>
      <w:proofErr w:type="gramStart"/>
      <w:r w:rsidRPr="00D0753E">
        <w:rPr>
          <w:rFonts w:ascii="Simplified Arabic" w:eastAsia="Times New Roman" w:hAnsi="Simplified Arabic" w:cs="Simplified Arabic"/>
          <w:b/>
          <w:bCs/>
          <w:sz w:val="36"/>
          <w:szCs w:val="36"/>
          <w:rtl/>
          <w:lang w:eastAsia="fr-FR" w:bidi="ar-MA"/>
        </w:rPr>
        <w:t>والمنهجي</w:t>
      </w:r>
      <w:proofErr w:type="gramEnd"/>
      <w:r w:rsidRPr="00D0753E">
        <w:rPr>
          <w:rFonts w:ascii="Simplified Arabic" w:eastAsia="Times New Roman" w:hAnsi="Simplified Arabic" w:cs="Simplified Arabic"/>
          <w:b/>
          <w:bCs/>
          <w:sz w:val="36"/>
          <w:szCs w:val="36"/>
          <w:rtl/>
          <w:lang w:eastAsia="fr-FR" w:bidi="ar-MA"/>
        </w:rPr>
        <w:t>:</w:t>
      </w:r>
    </w:p>
    <w:p w:rsidR="009F6265" w:rsidRPr="00D0753E" w:rsidRDefault="009F6265" w:rsidP="009F6265">
      <w:pPr>
        <w:bidi/>
        <w:spacing w:after="0" w:line="360" w:lineRule="auto"/>
        <w:jc w:val="lowKashida"/>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 </w:t>
      </w:r>
    </w:p>
    <w:p w:rsidR="009F6265" w:rsidRPr="00D0753E" w:rsidRDefault="009F6265" w:rsidP="009F6265">
      <w:pPr>
        <w:bidi/>
        <w:spacing w:after="0" w:line="360" w:lineRule="auto"/>
        <w:jc w:val="lowKashida"/>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تعتمد المقاربة الموضوعاتية - باعتبارها منهجية نقدية جديدة ظهرت مع تباشير النقد الجديد - على مجموعة من الركائز المنهجية والمكونات الأساسية النظرية التي تتحكم في العمل الأدبي، ويمكن حصر هذه المكونات في المبادئ التنظيمية التالية:</w:t>
      </w:r>
    </w:p>
    <w:p w:rsidR="009F6265" w:rsidRPr="00D0753E" w:rsidRDefault="009F6265" w:rsidP="009F6265">
      <w:pPr>
        <w:bidi/>
        <w:spacing w:after="0" w:line="360" w:lineRule="auto"/>
        <w:jc w:val="lowKashida"/>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 قراءة النص قراءة شاعرية عميقة ومنفتحة؛</w:t>
      </w:r>
    </w:p>
    <w:p w:rsidR="009F6265" w:rsidRPr="00D0753E" w:rsidRDefault="009F6265" w:rsidP="009F6265">
      <w:pPr>
        <w:bidi/>
        <w:spacing w:after="0" w:line="360" w:lineRule="auto"/>
        <w:jc w:val="lowKashida"/>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*الانتقال من القراءة الصغرى إلى القراءة الكبرى؛</w:t>
      </w:r>
    </w:p>
    <w:p w:rsidR="009F6265" w:rsidRPr="00D0753E" w:rsidRDefault="009F6265" w:rsidP="009F6265">
      <w:pPr>
        <w:bidi/>
        <w:spacing w:after="0" w:line="360" w:lineRule="auto"/>
        <w:jc w:val="lowKashida"/>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 تحديد مكونات النص المناصية والمرجعية؛</w:t>
      </w:r>
    </w:p>
    <w:p w:rsidR="009F6265" w:rsidRPr="00D0753E" w:rsidRDefault="009F6265" w:rsidP="009F6265">
      <w:pPr>
        <w:bidi/>
        <w:spacing w:after="0" w:line="360" w:lineRule="auto"/>
        <w:jc w:val="lowKashida"/>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 التأرجح بين القراءة الذاتية والقراءة الموضوعية؛</w:t>
      </w:r>
    </w:p>
    <w:p w:rsidR="009F6265" w:rsidRPr="00D0753E" w:rsidRDefault="009F6265" w:rsidP="009F6265">
      <w:pPr>
        <w:bidi/>
        <w:spacing w:after="0" w:line="360" w:lineRule="auto"/>
        <w:jc w:val="lowKashida"/>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 البحث عن التيماتالأساسية  والبنيات الدلالية المحورية والموضوعات المتكررة  والصور المفصلة في النص الإبداعي؛</w:t>
      </w:r>
    </w:p>
    <w:p w:rsidR="009F6265" w:rsidRPr="00D0753E" w:rsidRDefault="009F6265" w:rsidP="009F6265">
      <w:pPr>
        <w:bidi/>
        <w:spacing w:after="0" w:line="360" w:lineRule="auto"/>
        <w:jc w:val="lowKashida"/>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 جرد هذه التيمات  والصور المتواترة في سياقها النصي والذهني والجمالي؛</w:t>
      </w:r>
    </w:p>
    <w:p w:rsidR="009F6265" w:rsidRPr="00D0753E" w:rsidRDefault="009F6265" w:rsidP="009F6265">
      <w:pPr>
        <w:bidi/>
        <w:spacing w:after="0" w:line="360" w:lineRule="auto"/>
        <w:jc w:val="lowKashida"/>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 xml:space="preserve">* تشغيل المستوى الدلالي عن طريق رصد الحقول الدلالية </w:t>
      </w:r>
      <w:proofErr w:type="gramStart"/>
      <w:r w:rsidRPr="00D0753E">
        <w:rPr>
          <w:rFonts w:ascii="Simplified Arabic" w:eastAsia="Times New Roman" w:hAnsi="Simplified Arabic" w:cs="Simplified Arabic"/>
          <w:sz w:val="32"/>
          <w:szCs w:val="32"/>
          <w:rtl/>
          <w:lang w:eastAsia="fr-FR" w:bidi="ar-MA"/>
        </w:rPr>
        <w:t>وإحصاء</w:t>
      </w:r>
      <w:proofErr w:type="gramEnd"/>
      <w:r w:rsidRPr="00D0753E">
        <w:rPr>
          <w:rFonts w:ascii="Simplified Arabic" w:eastAsia="Times New Roman" w:hAnsi="Simplified Arabic" w:cs="Simplified Arabic"/>
          <w:sz w:val="32"/>
          <w:szCs w:val="32"/>
          <w:rtl/>
          <w:lang w:eastAsia="fr-FR" w:bidi="ar-MA"/>
        </w:rPr>
        <w:t xml:space="preserve"> الكلمات المعجمية والمفردات المتواترة؛</w:t>
      </w:r>
    </w:p>
    <w:p w:rsidR="009F6265" w:rsidRPr="00D0753E" w:rsidRDefault="009F6265" w:rsidP="009F6265">
      <w:pPr>
        <w:bidi/>
        <w:spacing w:after="0" w:line="360" w:lineRule="auto"/>
        <w:jc w:val="lowKashida"/>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 توسيع الشبكة الدلالية لهذه التيمات المرصودة دلاليا فهما وتفسيرا؛</w:t>
      </w:r>
    </w:p>
    <w:p w:rsidR="009F6265" w:rsidRPr="00D0753E" w:rsidRDefault="009F6265" w:rsidP="009F6265">
      <w:pPr>
        <w:bidi/>
        <w:spacing w:after="0" w:line="360" w:lineRule="auto"/>
        <w:jc w:val="lowKashida"/>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lastRenderedPageBreak/>
        <w:t>*</w:t>
      </w:r>
      <w:proofErr w:type="gramStart"/>
      <w:r w:rsidRPr="00D0753E">
        <w:rPr>
          <w:rFonts w:ascii="Simplified Arabic" w:eastAsia="Times New Roman" w:hAnsi="Simplified Arabic" w:cs="Simplified Arabic"/>
          <w:sz w:val="32"/>
          <w:szCs w:val="32"/>
          <w:rtl/>
          <w:lang w:eastAsia="fr-FR" w:bidi="ar-MA"/>
        </w:rPr>
        <w:t>رصد</w:t>
      </w:r>
      <w:proofErr w:type="gramEnd"/>
      <w:r w:rsidRPr="00D0753E">
        <w:rPr>
          <w:rFonts w:ascii="Simplified Arabic" w:eastAsia="Times New Roman" w:hAnsi="Simplified Arabic" w:cs="Simplified Arabic"/>
          <w:sz w:val="32"/>
          <w:szCs w:val="32"/>
          <w:rtl/>
          <w:lang w:eastAsia="fr-FR" w:bidi="ar-MA"/>
        </w:rPr>
        <w:t xml:space="preserve"> الأفعال المحركة والمولدة للمعاني في سياقاتها الصوتية والإيقاعية والصرفية والتركيبية والتداولية مع دراسة دلالاتها الحرفية والمجازية واستنطاقها فهما وتأويلا؛</w:t>
      </w:r>
    </w:p>
    <w:p w:rsidR="009F6265" w:rsidRPr="00D0753E" w:rsidRDefault="009F6265" w:rsidP="009F6265">
      <w:pPr>
        <w:bidi/>
        <w:spacing w:after="0" w:line="360" w:lineRule="auto"/>
        <w:jc w:val="lowKashida"/>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 xml:space="preserve">* الانتقال من الداخل النصي إلى التأويل الخارجي والعكس صحيح </w:t>
      </w:r>
      <w:proofErr w:type="gramStart"/>
      <w:r w:rsidRPr="00D0753E">
        <w:rPr>
          <w:rFonts w:ascii="Simplified Arabic" w:eastAsia="Times New Roman" w:hAnsi="Simplified Arabic" w:cs="Simplified Arabic"/>
          <w:sz w:val="32"/>
          <w:szCs w:val="32"/>
          <w:rtl/>
          <w:lang w:eastAsia="fr-FR" w:bidi="ar-MA"/>
        </w:rPr>
        <w:t>أيضا</w:t>
      </w:r>
      <w:proofErr w:type="gramEnd"/>
      <w:r w:rsidRPr="00D0753E">
        <w:rPr>
          <w:rFonts w:ascii="Simplified Arabic" w:eastAsia="Times New Roman" w:hAnsi="Simplified Arabic" w:cs="Simplified Arabic"/>
          <w:sz w:val="32"/>
          <w:szCs w:val="32"/>
          <w:rtl/>
          <w:lang w:eastAsia="fr-FR" w:bidi="ar-MA"/>
        </w:rPr>
        <w:t>؛</w:t>
      </w:r>
    </w:p>
    <w:p w:rsidR="009F6265" w:rsidRPr="00D0753E" w:rsidRDefault="009F6265" w:rsidP="009F6265">
      <w:pPr>
        <w:bidi/>
        <w:spacing w:after="0" w:line="360" w:lineRule="auto"/>
        <w:jc w:val="lowKashida"/>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 دراسة الموضوع  المعطى من أجل البلوغ إلى الجانب الحسي في الأثر الأدبي أو الوصول إلى البنية الموضوعية  المهيمنة للعمل الإبداعي؛</w:t>
      </w:r>
    </w:p>
    <w:p w:rsidR="009F6265" w:rsidRPr="00D0753E" w:rsidRDefault="009F6265" w:rsidP="009F6265">
      <w:pPr>
        <w:bidi/>
        <w:spacing w:after="0" w:line="360" w:lineRule="auto"/>
        <w:jc w:val="lowKashida"/>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 xml:space="preserve">* حصر العناصر التي تتكرر بكثرة </w:t>
      </w:r>
      <w:proofErr w:type="gramStart"/>
      <w:r w:rsidRPr="00D0753E">
        <w:rPr>
          <w:rFonts w:ascii="Simplified Arabic" w:eastAsia="Times New Roman" w:hAnsi="Simplified Arabic" w:cs="Simplified Arabic"/>
          <w:sz w:val="32"/>
          <w:szCs w:val="32"/>
          <w:rtl/>
          <w:lang w:eastAsia="fr-FR" w:bidi="ar-MA"/>
        </w:rPr>
        <w:t>وبشكل</w:t>
      </w:r>
      <w:proofErr w:type="gramEnd"/>
      <w:r w:rsidRPr="00D0753E">
        <w:rPr>
          <w:rFonts w:ascii="Simplified Arabic" w:eastAsia="Times New Roman" w:hAnsi="Simplified Arabic" w:cs="Simplified Arabic"/>
          <w:sz w:val="32"/>
          <w:szCs w:val="32"/>
          <w:rtl/>
          <w:lang w:eastAsia="fr-FR" w:bidi="ar-MA"/>
        </w:rPr>
        <w:t xml:space="preserve"> لافت في نسيج العمل الأدبي؛</w:t>
      </w:r>
    </w:p>
    <w:p w:rsidR="009F6265" w:rsidRPr="00D0753E" w:rsidRDefault="009F6265" w:rsidP="009F6265">
      <w:pPr>
        <w:bidi/>
        <w:spacing w:after="0" w:line="360" w:lineRule="auto"/>
        <w:jc w:val="lowKashida"/>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 xml:space="preserve">* تحليل العناصر التي تم </w:t>
      </w:r>
      <w:proofErr w:type="gramStart"/>
      <w:r w:rsidRPr="00D0753E">
        <w:rPr>
          <w:rFonts w:ascii="Simplified Arabic" w:eastAsia="Times New Roman" w:hAnsi="Simplified Arabic" w:cs="Simplified Arabic"/>
          <w:sz w:val="32"/>
          <w:szCs w:val="32"/>
          <w:rtl/>
          <w:lang w:eastAsia="fr-FR" w:bidi="ar-MA"/>
        </w:rPr>
        <w:t>حصرها</w:t>
      </w:r>
      <w:proofErr w:type="gramEnd"/>
      <w:r w:rsidRPr="00D0753E">
        <w:rPr>
          <w:rFonts w:ascii="Simplified Arabic" w:eastAsia="Times New Roman" w:hAnsi="Simplified Arabic" w:cs="Simplified Arabic"/>
          <w:sz w:val="32"/>
          <w:szCs w:val="32"/>
          <w:rtl/>
          <w:lang w:eastAsia="fr-FR" w:bidi="ar-MA"/>
        </w:rPr>
        <w:t xml:space="preserve"> ورصدها اطرادا وتواترا (الاهتمام بالمعنى السياقي).</w:t>
      </w:r>
    </w:p>
    <w:p w:rsidR="009F6265" w:rsidRPr="00D0753E" w:rsidRDefault="009F6265" w:rsidP="009F6265">
      <w:pPr>
        <w:bidi/>
        <w:spacing w:after="0" w:line="360" w:lineRule="auto"/>
        <w:jc w:val="lowKashida"/>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 xml:space="preserve">* المقارنة بين الظواهر الدلالية والمعجمية والبلاغية تآلفا </w:t>
      </w:r>
      <w:proofErr w:type="gramStart"/>
      <w:r w:rsidRPr="00D0753E">
        <w:rPr>
          <w:rFonts w:ascii="Simplified Arabic" w:eastAsia="Times New Roman" w:hAnsi="Simplified Arabic" w:cs="Simplified Arabic"/>
          <w:sz w:val="32"/>
          <w:szCs w:val="32"/>
          <w:rtl/>
          <w:lang w:eastAsia="fr-FR" w:bidi="ar-MA"/>
        </w:rPr>
        <w:t>واختلافا</w:t>
      </w:r>
      <w:proofErr w:type="gramEnd"/>
      <w:r w:rsidRPr="00D0753E">
        <w:rPr>
          <w:rFonts w:ascii="Simplified Arabic" w:eastAsia="Times New Roman" w:hAnsi="Simplified Arabic" w:cs="Simplified Arabic"/>
          <w:sz w:val="32"/>
          <w:szCs w:val="32"/>
          <w:rtl/>
          <w:lang w:eastAsia="fr-FR" w:bidi="ar-MA"/>
        </w:rPr>
        <w:t>؛</w:t>
      </w:r>
    </w:p>
    <w:p w:rsidR="009F6265" w:rsidRPr="00D0753E" w:rsidRDefault="009F6265" w:rsidP="009F6265">
      <w:pPr>
        <w:bidi/>
        <w:spacing w:after="0" w:line="360" w:lineRule="auto"/>
        <w:jc w:val="lowKashida"/>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 xml:space="preserve">*  تجنب التزيد في التحليل الموضوعاتي واللجوء إلى  الإسقاط القسري المتعسف، وعدم تقويل النص ما لم يقله؛  </w:t>
      </w:r>
    </w:p>
    <w:p w:rsidR="009F6265" w:rsidRPr="00D0753E" w:rsidRDefault="009F6265" w:rsidP="009F6265">
      <w:pPr>
        <w:bidi/>
        <w:spacing w:after="0" w:line="360" w:lineRule="auto"/>
        <w:jc w:val="lowKashida"/>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 xml:space="preserve">* جمع النتائج التي تم تحليلها لقراءتها تفسيرا وتأويلا </w:t>
      </w:r>
      <w:proofErr w:type="gramStart"/>
      <w:r w:rsidRPr="00D0753E">
        <w:rPr>
          <w:rFonts w:ascii="Simplified Arabic" w:eastAsia="Times New Roman" w:hAnsi="Simplified Arabic" w:cs="Simplified Arabic"/>
          <w:sz w:val="32"/>
          <w:szCs w:val="32"/>
          <w:rtl/>
          <w:lang w:eastAsia="fr-FR" w:bidi="ar-MA"/>
        </w:rPr>
        <w:t>واستنتاجا</w:t>
      </w:r>
      <w:proofErr w:type="gramEnd"/>
      <w:r w:rsidRPr="00D0753E">
        <w:rPr>
          <w:rFonts w:ascii="Simplified Arabic" w:eastAsia="Times New Roman" w:hAnsi="Simplified Arabic" w:cs="Simplified Arabic"/>
          <w:sz w:val="32"/>
          <w:szCs w:val="32"/>
          <w:rtl/>
          <w:lang w:eastAsia="fr-FR" w:bidi="ar-MA"/>
        </w:rPr>
        <w:t>؛</w:t>
      </w:r>
    </w:p>
    <w:p w:rsidR="009F6265" w:rsidRPr="00D0753E" w:rsidRDefault="009F6265" w:rsidP="009F6265">
      <w:pPr>
        <w:bidi/>
        <w:spacing w:after="0" w:line="360" w:lineRule="auto"/>
        <w:jc w:val="lowKashida"/>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 xml:space="preserve">* بناء قالب نموذجي مجرد يستطيع أن يستوعب </w:t>
      </w:r>
      <w:proofErr w:type="gramStart"/>
      <w:r w:rsidRPr="00D0753E">
        <w:rPr>
          <w:rFonts w:ascii="Simplified Arabic" w:eastAsia="Times New Roman" w:hAnsi="Simplified Arabic" w:cs="Simplified Arabic"/>
          <w:sz w:val="32"/>
          <w:szCs w:val="32"/>
          <w:rtl/>
          <w:lang w:eastAsia="fr-FR" w:bidi="ar-MA"/>
        </w:rPr>
        <w:t>داخله</w:t>
      </w:r>
      <w:proofErr w:type="gramEnd"/>
      <w:r w:rsidRPr="00D0753E">
        <w:rPr>
          <w:rFonts w:ascii="Simplified Arabic" w:eastAsia="Times New Roman" w:hAnsi="Simplified Arabic" w:cs="Simplified Arabic"/>
          <w:sz w:val="32"/>
          <w:szCs w:val="32"/>
          <w:rtl/>
          <w:lang w:eastAsia="fr-FR" w:bidi="ar-MA"/>
        </w:rPr>
        <w:t xml:space="preserve"> تفاصيل العمل الأدبي المدروس. </w:t>
      </w:r>
    </w:p>
    <w:p w:rsidR="009F6265" w:rsidRPr="00D0753E" w:rsidRDefault="009F6265" w:rsidP="009F6265">
      <w:pPr>
        <w:bidi/>
        <w:spacing w:after="0" w:line="360" w:lineRule="auto"/>
        <w:jc w:val="lowKashida"/>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 xml:space="preserve">* ربط الدلالات الواعية وغير الواعية بصورة المبدع الذاتية </w:t>
      </w:r>
      <w:proofErr w:type="gramStart"/>
      <w:r w:rsidRPr="00D0753E">
        <w:rPr>
          <w:rFonts w:ascii="Simplified Arabic" w:eastAsia="Times New Roman" w:hAnsi="Simplified Arabic" w:cs="Simplified Arabic"/>
          <w:sz w:val="32"/>
          <w:szCs w:val="32"/>
          <w:rtl/>
          <w:lang w:eastAsia="fr-FR" w:bidi="ar-MA"/>
        </w:rPr>
        <w:t>والموضوعية</w:t>
      </w:r>
      <w:proofErr w:type="gramEnd"/>
      <w:r w:rsidRPr="00D0753E">
        <w:rPr>
          <w:rFonts w:ascii="Simplified Arabic" w:eastAsia="Times New Roman" w:hAnsi="Simplified Arabic" w:cs="Simplified Arabic"/>
          <w:sz w:val="32"/>
          <w:szCs w:val="32"/>
          <w:rtl/>
          <w:lang w:eastAsia="fr-FR" w:bidi="ar-MA"/>
        </w:rPr>
        <w:t>.</w:t>
      </w:r>
    </w:p>
    <w:p w:rsidR="009F6265" w:rsidRPr="00D0753E" w:rsidRDefault="009F6265" w:rsidP="009F6265">
      <w:pPr>
        <w:bidi/>
        <w:spacing w:after="0" w:line="360" w:lineRule="auto"/>
        <w:jc w:val="lowKashida"/>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 xml:space="preserve">وتنطلق الموضوعاتية ، في تعاملها المنهجي، من التطابق والتماثل بين المعنى الواضح والمعنى العميق الضمني غير المباشر فهما وتفسيرا من خلال ربط  الداخل بالخارج، والوعي باللاوعي في علاقتهما بما قبل الوعي. " </w:t>
      </w:r>
      <w:proofErr w:type="gramStart"/>
      <w:r w:rsidRPr="00D0753E">
        <w:rPr>
          <w:rFonts w:ascii="Simplified Arabic" w:eastAsia="Times New Roman" w:hAnsi="Simplified Arabic" w:cs="Simplified Arabic"/>
          <w:sz w:val="32"/>
          <w:szCs w:val="32"/>
          <w:rtl/>
          <w:lang w:eastAsia="fr-FR" w:bidi="ar-MA"/>
        </w:rPr>
        <w:t>فأما</w:t>
      </w:r>
      <w:proofErr w:type="gramEnd"/>
      <w:r w:rsidRPr="00D0753E">
        <w:rPr>
          <w:rFonts w:ascii="Simplified Arabic" w:eastAsia="Times New Roman" w:hAnsi="Simplified Arabic" w:cs="Simplified Arabic"/>
          <w:sz w:val="32"/>
          <w:szCs w:val="32"/>
          <w:rtl/>
          <w:lang w:eastAsia="fr-FR" w:bidi="ar-MA"/>
        </w:rPr>
        <w:t xml:space="preserve"> المعنى الواضح فهو ما يقدمه النص بشكل مباشر. </w:t>
      </w:r>
      <w:proofErr w:type="gramStart"/>
      <w:r w:rsidRPr="00D0753E">
        <w:rPr>
          <w:rFonts w:ascii="Simplified Arabic" w:eastAsia="Times New Roman" w:hAnsi="Simplified Arabic" w:cs="Simplified Arabic"/>
          <w:sz w:val="32"/>
          <w:szCs w:val="32"/>
          <w:rtl/>
          <w:lang w:eastAsia="fr-FR" w:bidi="ar-MA"/>
        </w:rPr>
        <w:t>وأما</w:t>
      </w:r>
      <w:proofErr w:type="gramEnd"/>
      <w:r w:rsidRPr="00D0753E">
        <w:rPr>
          <w:rFonts w:ascii="Simplified Arabic" w:eastAsia="Times New Roman" w:hAnsi="Simplified Arabic" w:cs="Simplified Arabic"/>
          <w:sz w:val="32"/>
          <w:szCs w:val="32"/>
          <w:rtl/>
          <w:lang w:eastAsia="fr-FR" w:bidi="ar-MA"/>
        </w:rPr>
        <w:t xml:space="preserve"> المعنى الضمني فهو صدى المعنى الأول، إنه أفقه وهامشه على حد تعبير علم </w:t>
      </w:r>
      <w:r w:rsidRPr="00D0753E">
        <w:rPr>
          <w:rFonts w:ascii="Simplified Arabic" w:eastAsia="Times New Roman" w:hAnsi="Simplified Arabic" w:cs="Simplified Arabic"/>
          <w:sz w:val="32"/>
          <w:szCs w:val="32"/>
          <w:rtl/>
          <w:lang w:eastAsia="fr-FR" w:bidi="ar-MA"/>
        </w:rPr>
        <w:lastRenderedPageBreak/>
        <w:t xml:space="preserve">الظواهر. </w:t>
      </w:r>
      <w:proofErr w:type="gramStart"/>
      <w:r w:rsidRPr="00D0753E">
        <w:rPr>
          <w:rFonts w:ascii="Simplified Arabic" w:eastAsia="Times New Roman" w:hAnsi="Simplified Arabic" w:cs="Simplified Arabic"/>
          <w:sz w:val="32"/>
          <w:szCs w:val="32"/>
          <w:rtl/>
          <w:lang w:eastAsia="fr-FR" w:bidi="ar-MA"/>
        </w:rPr>
        <w:t>وبين</w:t>
      </w:r>
      <w:proofErr w:type="gramEnd"/>
      <w:r w:rsidRPr="00D0753E">
        <w:rPr>
          <w:rFonts w:ascii="Simplified Arabic" w:eastAsia="Times New Roman" w:hAnsi="Simplified Arabic" w:cs="Simplified Arabic"/>
          <w:sz w:val="32"/>
          <w:szCs w:val="32"/>
          <w:rtl/>
          <w:lang w:eastAsia="fr-FR" w:bidi="ar-MA"/>
        </w:rPr>
        <w:t xml:space="preserve"> مستويي الواضح والضمني لا يوجد انقطاع. وهذا الشعور بعدم وجود الانقطاع هو العامل المحرك للنشوة الموضوعية. فالتزحلق من المباشر إلى الضمني، من المقول إلى اللامقول هو تزحلق بلا فجوات"</w:t>
      </w:r>
      <w:hyperlink r:id="rId11" w:anchor="_ftn2" w:history="1">
        <w:r w:rsidRPr="00D0753E">
          <w:rPr>
            <w:rStyle w:val="Appelnotedebasdep"/>
            <w:rFonts w:ascii="Simplified Arabic" w:hAnsi="Simplified Arabic" w:cs="Simplified Arabic"/>
            <w:sz w:val="32"/>
            <w:szCs w:val="32"/>
            <w:rtl/>
          </w:rPr>
          <w:footnoteReference w:id="6"/>
        </w:r>
      </w:hyperlink>
    </w:p>
    <w:p w:rsidR="009F6265" w:rsidRPr="00D0753E" w:rsidRDefault="009F6265" w:rsidP="009F6265">
      <w:pPr>
        <w:bidi/>
        <w:spacing w:after="0" w:line="360" w:lineRule="auto"/>
        <w:jc w:val="lowKashida"/>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ويعني هذا أن المقاربة الموضوعاتية تعتمد على خطوتين أساسيتين وهما: الفهم الداخلي للنص المقروء عن طريق كشف بنيته المهيمنة الدالة معجميا وتركيبيا ولسانيا وشاعريا، وتأويله خارجيا اعتمادا على مستويات معرفية مرجعية مساعدة من خلال إضاءة الفكرة المحورية وتفسيرها.</w:t>
      </w:r>
    </w:p>
    <w:p w:rsidR="009F6265" w:rsidRPr="00D0753E" w:rsidRDefault="009F6265" w:rsidP="009F6265">
      <w:pPr>
        <w:bidi/>
        <w:spacing w:after="0" w:line="360" w:lineRule="auto"/>
        <w:jc w:val="lowKashida"/>
        <w:rPr>
          <w:rFonts w:ascii="Simplified Arabic" w:eastAsia="Times New Roman" w:hAnsi="Simplified Arabic" w:cs="Simplified Arabic"/>
          <w:sz w:val="32"/>
          <w:szCs w:val="32"/>
          <w:rtl/>
          <w:lang w:eastAsia="fr-FR" w:bidi="ar-MA"/>
        </w:rPr>
      </w:pPr>
      <w:r w:rsidRPr="00D0753E">
        <w:rPr>
          <w:rFonts w:ascii="Simplified Arabic" w:eastAsia="Times New Roman" w:hAnsi="Simplified Arabic" w:cs="Simplified Arabic"/>
          <w:sz w:val="32"/>
          <w:szCs w:val="32"/>
          <w:rtl/>
          <w:lang w:eastAsia="fr-FR" w:bidi="ar-MA"/>
        </w:rPr>
        <w:t> </w:t>
      </w:r>
    </w:p>
    <w:p w:rsidR="009F6265" w:rsidRPr="00D0753E" w:rsidRDefault="009F6265" w:rsidP="009F6265">
      <w:pPr>
        <w:bidi/>
        <w:spacing w:after="0" w:line="360" w:lineRule="auto"/>
        <w:jc w:val="lowKashida"/>
        <w:rPr>
          <w:rFonts w:ascii="Simplified Arabic" w:eastAsia="Times New Roman" w:hAnsi="Simplified Arabic" w:cs="Simplified Arabic"/>
          <w:sz w:val="32"/>
          <w:szCs w:val="32"/>
          <w:rtl/>
          <w:lang w:eastAsia="fr-FR" w:bidi="ar-MA"/>
        </w:rPr>
      </w:pPr>
    </w:p>
    <w:p w:rsidR="009F6265" w:rsidRPr="00D0753E" w:rsidRDefault="009F6265" w:rsidP="009F6265">
      <w:pPr>
        <w:bidi/>
        <w:spacing w:after="0" w:line="360" w:lineRule="auto"/>
        <w:jc w:val="lowKashida"/>
        <w:rPr>
          <w:rFonts w:ascii="Simplified Arabic" w:eastAsia="Times New Roman" w:hAnsi="Simplified Arabic" w:cs="Simplified Arabic"/>
          <w:sz w:val="32"/>
          <w:szCs w:val="32"/>
          <w:rtl/>
          <w:lang w:eastAsia="fr-FR" w:bidi="ar-MA"/>
        </w:rPr>
      </w:pPr>
    </w:p>
    <w:p w:rsidR="009F6265" w:rsidRPr="00D0753E" w:rsidRDefault="009F6265" w:rsidP="009F6265">
      <w:pPr>
        <w:bidi/>
        <w:spacing w:after="0" w:line="360" w:lineRule="auto"/>
        <w:jc w:val="lowKashida"/>
        <w:rPr>
          <w:rFonts w:ascii="Simplified Arabic" w:eastAsia="Times New Roman" w:hAnsi="Simplified Arabic" w:cs="Simplified Arabic"/>
          <w:sz w:val="32"/>
          <w:szCs w:val="32"/>
          <w:rtl/>
          <w:lang w:eastAsia="fr-FR"/>
        </w:rPr>
      </w:pPr>
    </w:p>
    <w:p w:rsidR="009F6265" w:rsidRPr="00D0753E" w:rsidRDefault="009F6265" w:rsidP="009F6265">
      <w:pPr>
        <w:bidi/>
        <w:spacing w:after="0" w:line="360" w:lineRule="auto"/>
        <w:jc w:val="lowKashida"/>
        <w:rPr>
          <w:rFonts w:ascii="Simplified Arabic" w:eastAsia="Times New Roman" w:hAnsi="Simplified Arabic" w:cs="Simplified Arabic"/>
          <w:b/>
          <w:bCs/>
          <w:sz w:val="36"/>
          <w:szCs w:val="36"/>
          <w:rtl/>
          <w:lang w:eastAsia="fr-FR"/>
        </w:rPr>
      </w:pPr>
      <w:r w:rsidRPr="00D0753E">
        <w:rPr>
          <w:rFonts w:ascii="Simplified Arabic" w:eastAsia="Times New Roman" w:hAnsi="Simplified Arabic" w:cs="Simplified Arabic"/>
          <w:sz w:val="32"/>
          <w:szCs w:val="32"/>
          <w:rtl/>
          <w:lang w:eastAsia="fr-FR" w:bidi="ar-MA"/>
        </w:rPr>
        <w:t>3</w:t>
      </w:r>
      <w:r w:rsidRPr="00D0753E">
        <w:rPr>
          <w:rFonts w:ascii="Simplified Arabic" w:eastAsia="Times New Roman" w:hAnsi="Simplified Arabic" w:cs="Simplified Arabic"/>
          <w:b/>
          <w:bCs/>
          <w:sz w:val="36"/>
          <w:szCs w:val="36"/>
          <w:rtl/>
          <w:lang w:eastAsia="fr-FR" w:bidi="ar-MA"/>
        </w:rPr>
        <w:t>- أنواع المقاربة الموضوعاتية:</w:t>
      </w:r>
    </w:p>
    <w:p w:rsidR="009F6265" w:rsidRPr="00D0753E" w:rsidRDefault="009F6265" w:rsidP="009F6265">
      <w:pPr>
        <w:bidi/>
        <w:spacing w:after="0" w:line="360" w:lineRule="auto"/>
        <w:ind w:firstLine="708"/>
        <w:jc w:val="lowKashida"/>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 </w:t>
      </w:r>
    </w:p>
    <w:p w:rsidR="009F6265" w:rsidRPr="00D0753E" w:rsidRDefault="009F6265" w:rsidP="009F6265">
      <w:pPr>
        <w:bidi/>
        <w:spacing w:after="0" w:line="360" w:lineRule="auto"/>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lastRenderedPageBreak/>
        <w:t>يمكن الحديث عن أنواع عدة من المقاربة الموضوعاتية ، فهناك الموضوعاتية الدلالية، والموضوعاتية العنوانية، والموضوعاتية الشاعرية، والموضوعاتية الصوفية الحدسية، والموضوعاتية الفلسفية، والموضاعاتية البنيوية، والموضوعاتية الذاتية.</w:t>
      </w:r>
    </w:p>
    <w:p w:rsidR="009F6265" w:rsidRPr="00D0753E" w:rsidRDefault="009F6265" w:rsidP="009F6265">
      <w:pPr>
        <w:bidi/>
        <w:spacing w:after="0" w:line="360" w:lineRule="auto"/>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وعلى العموم، نحن نتحدث اليوم إجرائيا عن موضوعتين أساسيتين: موضوعاتية مضمونية، وموضوعاتية بنيوية (</w:t>
      </w:r>
      <w:r w:rsidRPr="00D0753E">
        <w:rPr>
          <w:rFonts w:ascii="Simplified Arabic" w:eastAsia="Times New Roman" w:hAnsi="Simplified Arabic" w:cs="Simplified Arabic"/>
          <w:sz w:val="32"/>
          <w:szCs w:val="32"/>
          <w:lang w:eastAsia="fr-FR"/>
        </w:rPr>
        <w:t>Thématique Structurale</w:t>
      </w:r>
      <w:r w:rsidRPr="00D0753E">
        <w:rPr>
          <w:rFonts w:ascii="Simplified Arabic" w:eastAsia="Times New Roman" w:hAnsi="Simplified Arabic" w:cs="Simplified Arabic"/>
          <w:sz w:val="32"/>
          <w:szCs w:val="32"/>
          <w:rtl/>
          <w:lang w:eastAsia="fr-FR" w:bidi="ar-MA"/>
        </w:rPr>
        <w:t xml:space="preserve">) شكلية. </w:t>
      </w:r>
    </w:p>
    <w:p w:rsidR="009F6265" w:rsidRPr="00D0753E" w:rsidRDefault="009F6265" w:rsidP="009F6265">
      <w:pPr>
        <w:bidi/>
        <w:spacing w:after="0" w:line="360" w:lineRule="auto"/>
        <w:jc w:val="lowKashida"/>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 xml:space="preserve">بيد أن ثمة عدة صعوبات واجهت الموضوعية أثناء احتكاكها مع  المنهجية البنيوية ذات الطرح اللساني الوصفي ، ويمكن حصر هذه المشاكل في النقط التالية : </w:t>
      </w:r>
    </w:p>
    <w:p w:rsidR="009F6265" w:rsidRPr="00D0753E" w:rsidRDefault="009F6265" w:rsidP="009F6265">
      <w:pPr>
        <w:bidi/>
        <w:spacing w:after="0" w:line="360" w:lineRule="auto"/>
        <w:ind w:hanging="360"/>
        <w:jc w:val="lowKashida"/>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rPr>
        <w:t xml:space="preserve">1-          </w:t>
      </w:r>
      <w:r w:rsidRPr="00D0753E">
        <w:rPr>
          <w:rFonts w:ascii="Simplified Arabic" w:eastAsia="Times New Roman" w:hAnsi="Simplified Arabic" w:cs="Simplified Arabic"/>
          <w:sz w:val="32"/>
          <w:szCs w:val="32"/>
          <w:rtl/>
          <w:lang w:eastAsia="fr-FR" w:bidi="ar-MA"/>
        </w:rPr>
        <w:t>إن البنيوية تدرس نسقيا  ما هو ضمني وعميق.</w:t>
      </w:r>
    </w:p>
    <w:p w:rsidR="009F6265" w:rsidRPr="00D0753E" w:rsidRDefault="009F6265" w:rsidP="009F6265">
      <w:pPr>
        <w:bidi/>
        <w:spacing w:after="0" w:line="360" w:lineRule="auto"/>
        <w:ind w:hanging="360"/>
        <w:jc w:val="lowKashida"/>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rPr>
        <w:t xml:space="preserve">2-          </w:t>
      </w:r>
      <w:r w:rsidRPr="00D0753E">
        <w:rPr>
          <w:rFonts w:ascii="Simplified Arabic" w:eastAsia="Times New Roman" w:hAnsi="Simplified Arabic" w:cs="Simplified Arabic"/>
          <w:sz w:val="32"/>
          <w:szCs w:val="32"/>
          <w:rtl/>
          <w:lang w:eastAsia="fr-FR" w:bidi="ar-MA"/>
        </w:rPr>
        <w:t>إنها تستخلص البنيات الجزئية والبنيات الكبرى فقط.</w:t>
      </w:r>
    </w:p>
    <w:p w:rsidR="009F6265" w:rsidRPr="00D0753E" w:rsidRDefault="009F6265" w:rsidP="009F6265">
      <w:pPr>
        <w:bidi/>
        <w:spacing w:after="0" w:line="360" w:lineRule="auto"/>
        <w:ind w:hanging="360"/>
        <w:jc w:val="lowKashida"/>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rPr>
        <w:t>3-  </w:t>
      </w:r>
      <w:r w:rsidRPr="00D0753E">
        <w:rPr>
          <w:rFonts w:ascii="Simplified Arabic" w:eastAsia="Times New Roman" w:hAnsi="Simplified Arabic" w:cs="Simplified Arabic"/>
          <w:sz w:val="32"/>
          <w:szCs w:val="32"/>
          <w:rtl/>
          <w:lang w:eastAsia="fr-FR" w:bidi="ar-MA"/>
        </w:rPr>
        <w:t> ترفض البنيوية بواعث العمل الأدبي ومصادره، أي إن العمل الأدبي بنية مستقلة غير مرتبطة بالمبدع ولا بظروفه السوسيو اقتصادية أو الثقافية أو التاريخية.</w:t>
      </w:r>
    </w:p>
    <w:p w:rsidR="009F6265" w:rsidRPr="00D0753E" w:rsidRDefault="009F6265" w:rsidP="009F6265">
      <w:pPr>
        <w:bidi/>
        <w:spacing w:after="0" w:line="360" w:lineRule="auto"/>
        <w:ind w:hanging="360"/>
        <w:jc w:val="lowKashida"/>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rPr>
        <w:t>4-  </w:t>
      </w:r>
      <w:r w:rsidRPr="00D0753E">
        <w:rPr>
          <w:rFonts w:ascii="Simplified Arabic" w:eastAsia="Times New Roman" w:hAnsi="Simplified Arabic" w:cs="Simplified Arabic"/>
          <w:sz w:val="32"/>
          <w:szCs w:val="32"/>
          <w:rtl/>
          <w:lang w:eastAsia="fr-FR" w:bidi="ar-MA"/>
        </w:rPr>
        <w:t>إنها تبتعد عن التفسير والتأويل، وتستند إلى التحليل الداخلي المحايثوالسانكروني للعمل الأدبي وصفا وتصنيفا.</w:t>
      </w:r>
    </w:p>
    <w:p w:rsidR="009F6265" w:rsidRPr="00D0753E" w:rsidRDefault="009F6265" w:rsidP="009F6265">
      <w:pPr>
        <w:bidi/>
        <w:spacing w:after="0" w:line="360" w:lineRule="auto"/>
        <w:jc w:val="lowKashida"/>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ومن خلال هذه السمات المخصصة للبنيوية، باعتبارها منهجا وحركة ونشاطا فكريا، يمكن تفريع  الموضوعاتية إلى موضوعاتية ذاتية وموضوعاتية موضوعية، فالثانية هي الأكثر انسجاما مع البنيوية، ما دامت تنظر إلى العمل الأدبي على أنه "موضوع" (</w:t>
      </w:r>
      <w:r w:rsidRPr="00D0753E">
        <w:rPr>
          <w:rFonts w:ascii="Simplified Arabic" w:eastAsia="Times New Roman" w:hAnsi="Simplified Arabic" w:cs="Simplified Arabic"/>
          <w:sz w:val="32"/>
          <w:szCs w:val="32"/>
          <w:lang w:eastAsia="fr-FR"/>
        </w:rPr>
        <w:t>Objet</w:t>
      </w:r>
      <w:r w:rsidRPr="00D0753E">
        <w:rPr>
          <w:rFonts w:ascii="Simplified Arabic" w:eastAsia="Times New Roman" w:hAnsi="Simplified Arabic" w:cs="Simplified Arabic"/>
          <w:sz w:val="32"/>
          <w:szCs w:val="32"/>
          <w:rtl/>
          <w:lang w:eastAsia="fr-FR" w:bidi="ar-MA"/>
        </w:rPr>
        <w:t>)، بينما الأولى تنظر إليه على أنه ذات (</w:t>
      </w:r>
      <w:r w:rsidRPr="00D0753E">
        <w:rPr>
          <w:rFonts w:ascii="Simplified Arabic" w:eastAsia="Times New Roman" w:hAnsi="Simplified Arabic" w:cs="Simplified Arabic"/>
          <w:sz w:val="32"/>
          <w:szCs w:val="32"/>
          <w:lang w:eastAsia="fr-FR"/>
        </w:rPr>
        <w:t>Sujet</w:t>
      </w:r>
      <w:r w:rsidRPr="00D0753E">
        <w:rPr>
          <w:rFonts w:ascii="Simplified Arabic" w:eastAsia="Times New Roman" w:hAnsi="Simplified Arabic" w:cs="Simplified Arabic"/>
          <w:sz w:val="32"/>
          <w:szCs w:val="32"/>
          <w:rtl/>
          <w:lang w:eastAsia="fr-FR" w:bidi="ar-MA"/>
        </w:rPr>
        <w:t xml:space="preserve">). ويمثل الاتجاه الأول جورج بوليه، وهو من النقاد </w:t>
      </w:r>
      <w:r w:rsidRPr="00D0753E">
        <w:rPr>
          <w:rFonts w:ascii="Simplified Arabic" w:eastAsia="Times New Roman" w:hAnsi="Simplified Arabic" w:cs="Simplified Arabic"/>
          <w:sz w:val="32"/>
          <w:szCs w:val="32"/>
          <w:rtl/>
          <w:lang w:eastAsia="fr-FR" w:bidi="ar-MA"/>
        </w:rPr>
        <w:lastRenderedPageBreak/>
        <w:t>الموضوعاتيين الذاتيين، ويرى أن هدف النقد هو "الوصول إلى معرفة صميمية بالعمل المنقود، وأنه لا يمكن بلوغ هذه الصميمية إلا داخل الفكر الناقد محل الفكر المنقود"</w:t>
      </w:r>
      <w:hyperlink r:id="rId12" w:anchor="_ftn2" w:history="1">
        <w:r w:rsidRPr="00D0753E">
          <w:rPr>
            <w:rStyle w:val="Appelnotedebasdep"/>
            <w:rFonts w:ascii="Simplified Arabic" w:hAnsi="Simplified Arabic" w:cs="Simplified Arabic"/>
            <w:sz w:val="32"/>
            <w:szCs w:val="32"/>
            <w:rtl/>
          </w:rPr>
          <w:footnoteReference w:id="7"/>
        </w:r>
      </w:hyperlink>
      <w:r w:rsidRPr="00D0753E">
        <w:rPr>
          <w:rFonts w:ascii="Simplified Arabic" w:eastAsia="Times New Roman" w:hAnsi="Simplified Arabic" w:cs="Simplified Arabic"/>
          <w:sz w:val="32"/>
          <w:szCs w:val="32"/>
          <w:rtl/>
          <w:lang w:eastAsia="fr-FR" w:bidi="ar-MA"/>
        </w:rPr>
        <w:t>.</w:t>
      </w:r>
    </w:p>
    <w:p w:rsidR="009F6265" w:rsidRPr="00D0753E" w:rsidRDefault="009F6265" w:rsidP="009F6265">
      <w:pPr>
        <w:bidi/>
        <w:spacing w:after="0" w:line="360" w:lineRule="auto"/>
        <w:jc w:val="lowKashida"/>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 xml:space="preserve">ويسمى هذا النوع من النقد لدى بوليه بالنقد "التطابقي" الذي يتطابق فيه وعي الناقد مع وعي المنقود. ولكن هذا الموقف يتعارض مع الموقف البنيوي؛ لأن البنى تحدد إجرائيا داخل العمل الأدبي، وإنها لا تعاش خارجه، وإنما تقع البنى تحت ترسبات الظاهر، وتتحلل في أغواره العميقة. لذا، لابد من استنباط  المرتكز البنيوي العميق والمستوى المحدد الثابت، لأنه هو الذي يتحكم في الظاهر المتغير عبر الإبدال والحذف والتحويل والزيادة والنقصان. </w:t>
      </w:r>
    </w:p>
    <w:p w:rsidR="009F6265" w:rsidRPr="00D0753E" w:rsidRDefault="009F6265" w:rsidP="009F6265">
      <w:pPr>
        <w:bidi/>
        <w:spacing w:after="0" w:line="360" w:lineRule="auto"/>
        <w:jc w:val="lowKashida"/>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ومن هنا،  فالموضوعاتية الموضوعية  سمة خاصة بنقد ستاروبنسكي في دراسته البنيوية المعنونة بــ:" وليمة تورينو"، ونقد سارتر كما لاحظ ذلك ماجليولا بصدد تعليقه على دراسة سارتر لرواية جون دوس باسوس فقال:</w:t>
      </w:r>
    </w:p>
    <w:p w:rsidR="009F6265" w:rsidRPr="00D0753E" w:rsidRDefault="009F6265" w:rsidP="009F6265">
      <w:pPr>
        <w:bidi/>
        <w:spacing w:after="0" w:line="360" w:lineRule="auto"/>
        <w:jc w:val="lowKashida"/>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 xml:space="preserve">" يورد لنا جان بول سارتر في قسم ظاهري من مقالته المسماة" بشأن جون دوس باسوس" مثالا ممتعا، فهو يناقش الدلالة المعنوية او التيماتية للزمن عند دوس باسوس، ثم يدور حول بعض الملامح المورفولوجية أو الصرفية التي يراها معبرة عن هذا المعنى... ويتفق تناول سارتر التضايف الصرفي السيمانطيقي الخاص بالدلالات هنا مع المباشرة الظاهرية ، </w:t>
      </w:r>
      <w:r w:rsidRPr="00D0753E">
        <w:rPr>
          <w:rFonts w:ascii="Simplified Arabic" w:eastAsia="Times New Roman" w:hAnsi="Simplified Arabic" w:cs="Simplified Arabic"/>
          <w:sz w:val="32"/>
          <w:szCs w:val="32"/>
          <w:rtl/>
          <w:lang w:eastAsia="fr-FR" w:bidi="ar-MA"/>
        </w:rPr>
        <w:lastRenderedPageBreak/>
        <w:t>وهكذا، توفر لنا فرصة رائعة لمقارنتها – أي دراسة سارتر- بالتناول البنيوي الأوربي ممثلا في رومان جاكبسون وكلود ليفي شتروس".</w:t>
      </w:r>
      <w:hyperlink r:id="rId13" w:anchor="_ftn2" w:history="1">
        <w:r w:rsidRPr="00D0753E">
          <w:rPr>
            <w:rStyle w:val="Appelnotedebasdep"/>
            <w:rFonts w:ascii="Simplified Arabic" w:hAnsi="Simplified Arabic" w:cs="Simplified Arabic"/>
            <w:sz w:val="32"/>
            <w:szCs w:val="32"/>
            <w:rtl/>
          </w:rPr>
          <w:footnoteReference w:id="8"/>
        </w:r>
      </w:hyperlink>
    </w:p>
    <w:p w:rsidR="009F6265" w:rsidRPr="00D0753E" w:rsidRDefault="009F6265" w:rsidP="009F6265">
      <w:pPr>
        <w:bidi/>
        <w:spacing w:after="0" w:line="360" w:lineRule="auto"/>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 xml:space="preserve">ولا ننسى كذلك الناقد تزتيفانتودوروف في كتابه:" مدخل إلى الأدب العجائبي" الذي طبق فيه المنهج البنيوي على موضوعة العجيب والغريب في القصص الفانطازية الغربية. </w:t>
      </w:r>
      <w:hyperlink r:id="rId14" w:anchor="_ftn2" w:history="1">
        <w:r w:rsidRPr="00D0753E">
          <w:rPr>
            <w:rStyle w:val="Appelnotedebasdep"/>
            <w:rFonts w:ascii="Simplified Arabic" w:hAnsi="Simplified Arabic" w:cs="Simplified Arabic"/>
            <w:sz w:val="32"/>
            <w:szCs w:val="32"/>
            <w:rtl/>
          </w:rPr>
          <w:footnoteReference w:id="9"/>
        </w:r>
      </w:hyperlink>
    </w:p>
    <w:p w:rsidR="009F6265" w:rsidRPr="00D0753E" w:rsidRDefault="009F6265" w:rsidP="009F6265">
      <w:pPr>
        <w:bidi/>
        <w:spacing w:after="0" w:line="360" w:lineRule="auto"/>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 xml:space="preserve"> زد على ذلك، إذا كانت البنيوية ترفض كل نقد تفسيري أو نفسي فإن مأزق الموضوعاتية واستعانتها بالتحليل النفسي أثناء دراستها لموضوع الرغبة ولمفاهيمها السيكولوجية كالكبت واللاوعي والهوام...الخ يتعارض كل التعارض مع المنهج البنيوي الذي يرفض كل تفسير خارجي للعمل الأدبي. وبالتالي، فالموضوعاتية نقد نفسي فردي يهتم بنفسية المبدع/الفرد دون الاهتمام بالوسط الجماهيري ولا بالمتلقي أو العصر. </w:t>
      </w:r>
    </w:p>
    <w:p w:rsidR="009F6265" w:rsidRPr="00D0753E" w:rsidRDefault="009F6265" w:rsidP="009F6265">
      <w:pPr>
        <w:bidi/>
        <w:spacing w:after="0" w:line="360" w:lineRule="auto"/>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 xml:space="preserve">وهكذا، فإن ما يضع النقد الموضوعي أمام المآزق المنهجية الكبرى فهي "صعوبة التمييز بين نصيب المبدع من إبداعه ونصيب العصر الذي يحتويه. </w:t>
      </w:r>
      <w:proofErr w:type="gramStart"/>
      <w:r w:rsidRPr="00D0753E">
        <w:rPr>
          <w:rFonts w:ascii="Simplified Arabic" w:eastAsia="Times New Roman" w:hAnsi="Simplified Arabic" w:cs="Simplified Arabic"/>
          <w:sz w:val="32"/>
          <w:szCs w:val="32"/>
          <w:rtl/>
          <w:lang w:eastAsia="fr-FR" w:bidi="ar-MA"/>
        </w:rPr>
        <w:t>فلقد</w:t>
      </w:r>
      <w:proofErr w:type="gramEnd"/>
      <w:r w:rsidRPr="00D0753E">
        <w:rPr>
          <w:rFonts w:ascii="Simplified Arabic" w:eastAsia="Times New Roman" w:hAnsi="Simplified Arabic" w:cs="Simplified Arabic"/>
          <w:sz w:val="32"/>
          <w:szCs w:val="32"/>
          <w:rtl/>
          <w:lang w:eastAsia="fr-FR" w:bidi="ar-MA"/>
        </w:rPr>
        <w:t xml:space="preserve"> جرت العادة مثلا أن يدرس الناقد الموضوعي موضوعا معينا أو جملة من الموضوعات عند شاعر أو روائي...الخ. </w:t>
      </w:r>
      <w:proofErr w:type="gramStart"/>
      <w:r w:rsidRPr="00D0753E">
        <w:rPr>
          <w:rFonts w:ascii="Simplified Arabic" w:eastAsia="Times New Roman" w:hAnsi="Simplified Arabic" w:cs="Simplified Arabic"/>
          <w:sz w:val="32"/>
          <w:szCs w:val="32"/>
          <w:rtl/>
          <w:lang w:eastAsia="fr-FR" w:bidi="ar-MA"/>
        </w:rPr>
        <w:t>ولكن</w:t>
      </w:r>
      <w:proofErr w:type="gramEnd"/>
      <w:r w:rsidRPr="00D0753E">
        <w:rPr>
          <w:rFonts w:ascii="Simplified Arabic" w:eastAsia="Times New Roman" w:hAnsi="Simplified Arabic" w:cs="Simplified Arabic"/>
          <w:sz w:val="32"/>
          <w:szCs w:val="32"/>
          <w:rtl/>
          <w:lang w:eastAsia="fr-FR" w:bidi="ar-MA"/>
        </w:rPr>
        <w:t xml:space="preserve"> هذا النقد لا يمكن أن يكتمل إلا إذا عرفنا منزلة هذه الموضوعات من الأدب الذي تنتمي إليه والعصر الذي يحتويها. </w:t>
      </w:r>
      <w:proofErr w:type="gramStart"/>
      <w:r w:rsidRPr="00D0753E">
        <w:rPr>
          <w:rFonts w:ascii="Simplified Arabic" w:eastAsia="Times New Roman" w:hAnsi="Simplified Arabic" w:cs="Simplified Arabic"/>
          <w:sz w:val="32"/>
          <w:szCs w:val="32"/>
          <w:rtl/>
          <w:lang w:eastAsia="fr-FR" w:bidi="ar-MA"/>
        </w:rPr>
        <w:t>فمن</w:t>
      </w:r>
      <w:proofErr w:type="gramEnd"/>
      <w:r w:rsidRPr="00D0753E">
        <w:rPr>
          <w:rFonts w:ascii="Simplified Arabic" w:eastAsia="Times New Roman" w:hAnsi="Simplified Arabic" w:cs="Simplified Arabic"/>
          <w:sz w:val="32"/>
          <w:szCs w:val="32"/>
          <w:rtl/>
          <w:lang w:eastAsia="fr-FR" w:bidi="ar-MA"/>
        </w:rPr>
        <w:t xml:space="preserve"> الذي يستطيع أن يقدم الدليل مثلا على </w:t>
      </w:r>
      <w:r w:rsidRPr="00D0753E">
        <w:rPr>
          <w:rFonts w:ascii="Simplified Arabic" w:eastAsia="Times New Roman" w:hAnsi="Simplified Arabic" w:cs="Simplified Arabic"/>
          <w:sz w:val="32"/>
          <w:szCs w:val="32"/>
          <w:rtl/>
          <w:lang w:eastAsia="fr-FR" w:bidi="ar-MA"/>
        </w:rPr>
        <w:lastRenderedPageBreak/>
        <w:t xml:space="preserve">أن الموضوعات التي يدرسها الناقد عند شاعر معين ليست هي الموضوعات ذاتها عند شاعر آخر؟ </w:t>
      </w:r>
      <w:proofErr w:type="gramStart"/>
      <w:r w:rsidRPr="00D0753E">
        <w:rPr>
          <w:rFonts w:ascii="Simplified Arabic" w:eastAsia="Times New Roman" w:hAnsi="Simplified Arabic" w:cs="Simplified Arabic"/>
          <w:sz w:val="32"/>
          <w:szCs w:val="32"/>
          <w:rtl/>
          <w:lang w:eastAsia="fr-FR" w:bidi="ar-MA"/>
        </w:rPr>
        <w:t>ومن</w:t>
      </w:r>
      <w:proofErr w:type="gramEnd"/>
      <w:r w:rsidRPr="00D0753E">
        <w:rPr>
          <w:rFonts w:ascii="Simplified Arabic" w:eastAsia="Times New Roman" w:hAnsi="Simplified Arabic" w:cs="Simplified Arabic"/>
          <w:sz w:val="32"/>
          <w:szCs w:val="32"/>
          <w:rtl/>
          <w:lang w:eastAsia="fr-FR" w:bidi="ar-MA"/>
        </w:rPr>
        <w:t xml:space="preserve"> الذي يضمن لنا أن هذه الموضوعات الملهمة في الشعر مثلا ليست هي الموضوعات السائدة في تفكير المجتمع الذي ينتمي إليه الشاعر أو في ذائقة هذا المجتمع خلال مرحلة معينة؟ إذا، فأين تكمن الخصوصية في دراسة هذه الموضوعات عند شاعر ما إذا لم توضع ضمن خريطة الموضوعات في الأدب الذي تنتمي إليه والعصر الذي يحتويها؟"</w:t>
      </w:r>
      <w:hyperlink r:id="rId15" w:anchor="_ftn2" w:history="1">
        <w:r w:rsidRPr="00D0753E">
          <w:rPr>
            <w:rStyle w:val="Appelnotedebasdep"/>
            <w:rFonts w:ascii="Simplified Arabic" w:hAnsi="Simplified Arabic" w:cs="Simplified Arabic"/>
            <w:sz w:val="32"/>
            <w:szCs w:val="32"/>
            <w:rtl/>
          </w:rPr>
          <w:footnoteReference w:id="10"/>
        </w:r>
      </w:hyperlink>
    </w:p>
    <w:p w:rsidR="009F6265" w:rsidRPr="00D0753E" w:rsidRDefault="009F6265" w:rsidP="009F6265">
      <w:pPr>
        <w:bidi/>
        <w:spacing w:after="0" w:line="360" w:lineRule="auto"/>
        <w:rPr>
          <w:rFonts w:ascii="Simplified Arabic" w:eastAsia="Times New Roman" w:hAnsi="Simplified Arabic" w:cs="Simplified Arabic"/>
          <w:sz w:val="32"/>
          <w:szCs w:val="32"/>
          <w:rtl/>
          <w:lang w:eastAsia="fr-FR" w:bidi="ar-MA"/>
        </w:rPr>
      </w:pPr>
      <w:proofErr w:type="gramStart"/>
      <w:r w:rsidRPr="00D0753E">
        <w:rPr>
          <w:rFonts w:ascii="Simplified Arabic" w:eastAsia="Times New Roman" w:hAnsi="Simplified Arabic" w:cs="Simplified Arabic"/>
          <w:sz w:val="32"/>
          <w:szCs w:val="32"/>
          <w:rtl/>
          <w:lang w:eastAsia="fr-FR" w:bidi="ar-MA"/>
        </w:rPr>
        <w:t>ويمكن</w:t>
      </w:r>
      <w:proofErr w:type="gramEnd"/>
      <w:r w:rsidRPr="00D0753E">
        <w:rPr>
          <w:rFonts w:ascii="Simplified Arabic" w:eastAsia="Times New Roman" w:hAnsi="Simplified Arabic" w:cs="Simplified Arabic"/>
          <w:sz w:val="32"/>
          <w:szCs w:val="32"/>
          <w:rtl/>
          <w:lang w:eastAsia="fr-FR" w:bidi="ar-MA"/>
        </w:rPr>
        <w:t xml:space="preserve"> الفصل في إطار الموضوعية البنيوية بين الموضوعية المعجمية التي تنطلق في تعريفها للموضوع من قاعدته اللغوية كما هي لدى العراقي عبد الكريم حسن</w:t>
      </w:r>
      <w:hyperlink r:id="rId16" w:anchor="_ftn2" w:history="1">
        <w:r w:rsidRPr="00D0753E">
          <w:rPr>
            <w:rStyle w:val="Appelnotedebasdep"/>
            <w:rFonts w:ascii="Simplified Arabic" w:hAnsi="Simplified Arabic" w:cs="Simplified Arabic"/>
            <w:sz w:val="32"/>
            <w:szCs w:val="32"/>
            <w:rtl/>
          </w:rPr>
          <w:footnoteReference w:id="11"/>
        </w:r>
      </w:hyperlink>
      <w:r w:rsidRPr="00D0753E">
        <w:rPr>
          <w:rFonts w:ascii="Simplified Arabic" w:eastAsia="Times New Roman" w:hAnsi="Simplified Arabic" w:cs="Simplified Arabic"/>
          <w:sz w:val="32"/>
          <w:szCs w:val="32"/>
          <w:rtl/>
          <w:lang w:eastAsia="fr-FR" w:bidi="ar-MA"/>
        </w:rPr>
        <w:t xml:space="preserve">، </w:t>
      </w:r>
    </w:p>
    <w:p w:rsidR="009F6265" w:rsidRPr="00D0753E" w:rsidRDefault="009F6265" w:rsidP="009F6265">
      <w:pPr>
        <w:bidi/>
        <w:spacing w:after="0" w:line="360" w:lineRule="auto"/>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والموضوعية الأدبية لدى الناقد الفرنسي بيير ريشارد (</w:t>
      </w:r>
      <w:r w:rsidRPr="00D0753E">
        <w:rPr>
          <w:rFonts w:ascii="Simplified Arabic" w:eastAsia="Times New Roman" w:hAnsi="Simplified Arabic" w:cs="Simplified Arabic"/>
          <w:sz w:val="32"/>
          <w:szCs w:val="32"/>
          <w:lang w:eastAsia="fr-FR"/>
        </w:rPr>
        <w:t>Richard</w:t>
      </w:r>
      <w:r w:rsidRPr="00D0753E">
        <w:rPr>
          <w:rFonts w:ascii="Simplified Arabic" w:eastAsia="Times New Roman" w:hAnsi="Simplified Arabic" w:cs="Simplified Arabic"/>
          <w:sz w:val="32"/>
          <w:szCs w:val="32"/>
          <w:rtl/>
          <w:lang w:eastAsia="fr-FR" w:bidi="ar-MA"/>
        </w:rPr>
        <w:t xml:space="preserve">). </w:t>
      </w:r>
    </w:p>
    <w:p w:rsidR="009F6265" w:rsidRPr="00D0753E" w:rsidRDefault="009F6265" w:rsidP="009F6265">
      <w:pPr>
        <w:bidi/>
        <w:spacing w:after="0" w:line="360" w:lineRule="auto"/>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 xml:space="preserve">هذا، وتعتمد الموضوعاتية البنيوية على مبادئ البنيوية المعروفة كالمحايثة الداخلية والوصف السانركوني  والاعتماد على التفكيك والتركيب بمثابة مبادئ منهجية عامة ، والاستعانة بالإحصاء والعد والتوارد اللفظي والمعجمي والتكرار اللغوي والتركيز على مفهوم الموضوع باعتبارها مبادئ  منهجية خاصة. </w:t>
      </w:r>
    </w:p>
    <w:p w:rsidR="009F6265" w:rsidRPr="00D0753E" w:rsidRDefault="009F6265" w:rsidP="009F6265">
      <w:pPr>
        <w:bidi/>
        <w:spacing w:after="0" w:line="360" w:lineRule="auto"/>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وإذا كان جان بيير ريشار (</w:t>
      </w:r>
      <w:r w:rsidRPr="00D0753E">
        <w:rPr>
          <w:rFonts w:ascii="Simplified Arabic" w:eastAsia="Times New Roman" w:hAnsi="Simplified Arabic" w:cs="Simplified Arabic"/>
          <w:sz w:val="32"/>
          <w:szCs w:val="32"/>
          <w:lang w:eastAsia="fr-FR"/>
        </w:rPr>
        <w:t>Richard</w:t>
      </w:r>
      <w:r w:rsidRPr="00D0753E">
        <w:rPr>
          <w:rFonts w:ascii="Simplified Arabic" w:eastAsia="Times New Roman" w:hAnsi="Simplified Arabic" w:cs="Simplified Arabic"/>
          <w:sz w:val="32"/>
          <w:szCs w:val="32"/>
          <w:rtl/>
          <w:lang w:eastAsia="fr-FR" w:bidi="ar-MA"/>
        </w:rPr>
        <w:t>) يرى أن الموضوع " مبدأ تنظيمي محسوس"</w:t>
      </w:r>
      <w:bookmarkStart w:id="1" w:name="_ftnref18"/>
      <w:r w:rsidRPr="00D0753E">
        <w:rPr>
          <w:rFonts w:ascii="Simplified Arabic" w:eastAsia="Times New Roman" w:hAnsi="Simplified Arabic" w:cs="Simplified Arabic"/>
          <w:sz w:val="32"/>
          <w:szCs w:val="32"/>
          <w:rtl/>
          <w:lang w:eastAsia="fr-FR" w:bidi="ar-MA"/>
        </w:rPr>
        <w:fldChar w:fldCharType="begin"/>
      </w:r>
      <w:r w:rsidRPr="00D0753E">
        <w:rPr>
          <w:rFonts w:ascii="Simplified Arabic" w:eastAsia="Times New Roman" w:hAnsi="Simplified Arabic" w:cs="Simplified Arabic"/>
          <w:sz w:val="32"/>
          <w:szCs w:val="32"/>
          <w:lang w:eastAsia="fr-FR" w:bidi="ar-MA"/>
        </w:rPr>
        <w:instrText>HYPERLINK "https://www.arabicnadwah.com/articles/muqaraba-hamadaoui.htm" \l "_ftn18" \o</w:instrText>
      </w:r>
      <w:r w:rsidRPr="00D0753E">
        <w:rPr>
          <w:rFonts w:ascii="Simplified Arabic" w:eastAsia="Times New Roman" w:hAnsi="Simplified Arabic" w:cs="Simplified Arabic"/>
          <w:sz w:val="32"/>
          <w:szCs w:val="32"/>
          <w:rtl/>
          <w:lang w:eastAsia="fr-FR" w:bidi="ar-MA"/>
        </w:rPr>
        <w:instrText xml:space="preserve"> "" </w:instrText>
      </w:r>
      <w:r w:rsidRPr="00D0753E">
        <w:rPr>
          <w:rFonts w:ascii="Simplified Arabic" w:eastAsia="Times New Roman" w:hAnsi="Simplified Arabic" w:cs="Simplified Arabic"/>
          <w:sz w:val="32"/>
          <w:szCs w:val="32"/>
          <w:rtl/>
          <w:lang w:eastAsia="fr-FR" w:bidi="ar-MA"/>
        </w:rPr>
        <w:fldChar w:fldCharType="separate"/>
      </w:r>
      <w:hyperlink r:id="rId17" w:anchor="_ftn2" w:history="1">
        <w:r w:rsidRPr="00D0753E">
          <w:rPr>
            <w:rStyle w:val="Appelnotedebasdep"/>
            <w:rFonts w:ascii="Simplified Arabic" w:hAnsi="Simplified Arabic" w:cs="Simplified Arabic"/>
            <w:sz w:val="32"/>
            <w:szCs w:val="32"/>
            <w:rtl/>
          </w:rPr>
          <w:footnoteReference w:id="12"/>
        </w:r>
      </w:hyperlink>
      <w:r w:rsidRPr="00D0753E">
        <w:rPr>
          <w:rFonts w:ascii="Simplified Arabic" w:eastAsia="Times New Roman" w:hAnsi="Simplified Arabic" w:cs="Simplified Arabic"/>
          <w:sz w:val="32"/>
          <w:szCs w:val="32"/>
          <w:rtl/>
          <w:lang w:eastAsia="fr-FR" w:bidi="ar-MA"/>
        </w:rPr>
        <w:fldChar w:fldCharType="end"/>
      </w:r>
      <w:bookmarkEnd w:id="1"/>
      <w:r w:rsidRPr="00D0753E">
        <w:rPr>
          <w:rFonts w:ascii="Simplified Arabic" w:eastAsia="Times New Roman" w:hAnsi="Simplified Arabic" w:cs="Simplified Arabic"/>
          <w:sz w:val="32"/>
          <w:szCs w:val="32"/>
          <w:rtl/>
          <w:lang w:eastAsia="fr-FR" w:bidi="ar-MA"/>
        </w:rPr>
        <w:t>، فإن عبد الكريم حسن، يقول "إن العائلة  اللغوية هي حد الموضوع"</w:t>
      </w:r>
      <w:hyperlink r:id="rId18" w:anchor="_ftn18" w:history="1">
        <w:hyperlink r:id="rId19" w:anchor="_ftn2" w:history="1">
          <w:r w:rsidRPr="00D0753E">
            <w:rPr>
              <w:rStyle w:val="Appelnotedebasdep"/>
              <w:rFonts w:ascii="Simplified Arabic" w:hAnsi="Simplified Arabic" w:cs="Simplified Arabic"/>
              <w:sz w:val="32"/>
              <w:szCs w:val="32"/>
              <w:rtl/>
            </w:rPr>
            <w:footnoteReference w:id="13"/>
          </w:r>
        </w:hyperlink>
      </w:hyperlink>
      <w:r w:rsidRPr="00D0753E">
        <w:rPr>
          <w:rFonts w:ascii="Simplified Arabic" w:eastAsia="Times New Roman" w:hAnsi="Simplified Arabic" w:cs="Simplified Arabic"/>
          <w:sz w:val="32"/>
          <w:szCs w:val="32"/>
          <w:rtl/>
          <w:lang w:eastAsia="fr-FR" w:bidi="ar-MA"/>
        </w:rPr>
        <w:t>.</w:t>
      </w:r>
    </w:p>
    <w:p w:rsidR="009F6265" w:rsidRPr="00D0753E" w:rsidRDefault="009F6265" w:rsidP="009F6265">
      <w:pPr>
        <w:bidi/>
        <w:spacing w:after="0" w:line="360" w:lineRule="auto"/>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lastRenderedPageBreak/>
        <w:t>ولا ننسى أيضا أن هذه الموضوعاتية  تنطلق من مداخل حرة وتصل إلى مخارج حرة كذلك. ويعني هذا أن الناقد الموضوعي يقتحم العمل الأدبي وفضاءه التخييلي من أية نافذة شاء ولو كانت ضيقة. وتعتبر هذه الحرية سحرا مثيرا وميزة إيجابية لهذا النقد الزئبقي الذي يستهين بالضوابط الأكاديمية الدوغماطيةالمقننة . حتى إن شبكة العلاقات غير مستقرة ولا ثابتة نهائيا عند ريشار (</w:t>
      </w:r>
      <w:r w:rsidRPr="00D0753E">
        <w:rPr>
          <w:rFonts w:ascii="Simplified Arabic" w:eastAsia="Times New Roman" w:hAnsi="Simplified Arabic" w:cs="Simplified Arabic"/>
          <w:sz w:val="32"/>
          <w:szCs w:val="32"/>
          <w:lang w:eastAsia="fr-FR"/>
        </w:rPr>
        <w:t>Richard</w:t>
      </w:r>
      <w:r w:rsidRPr="00D0753E">
        <w:rPr>
          <w:rFonts w:ascii="Simplified Arabic" w:eastAsia="Times New Roman" w:hAnsi="Simplified Arabic" w:cs="Simplified Arabic"/>
          <w:sz w:val="32"/>
          <w:szCs w:val="32"/>
          <w:rtl/>
          <w:lang w:eastAsia="fr-FR" w:bidi="ar-MA"/>
        </w:rPr>
        <w:t xml:space="preserve">)، بل هي متغيرة. على عكس الموضوعاتية البنيوية التي تلتزم بالضوابط المعيارية  والتقنين المنهجي وثبات العلاقات في نسق بنيوي سانكروني. </w:t>
      </w:r>
    </w:p>
    <w:p w:rsidR="009F6265" w:rsidRPr="00D0753E" w:rsidRDefault="009F6265" w:rsidP="009F6265">
      <w:pPr>
        <w:bidi/>
        <w:spacing w:after="0" w:line="360" w:lineRule="auto"/>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 xml:space="preserve">وإذا كانت الموضوعاتية تعتمد على تصنيف الربط بين عناصر العمل الأدبي، فإن تصنيف الموضوعاتية البنيوية تصنيف التوليد يعتمد على الفعل المحرك </w:t>
      </w:r>
      <w:r w:rsidRPr="00D0753E">
        <w:rPr>
          <w:rFonts w:ascii="Simplified Arabic" w:eastAsia="Times New Roman" w:hAnsi="Simplified Arabic" w:cs="Simplified Arabic"/>
          <w:sz w:val="32"/>
          <w:szCs w:val="32"/>
          <w:lang w:eastAsia="fr-FR"/>
        </w:rPr>
        <w:t>-Le verbe moteur</w:t>
      </w:r>
      <w:r w:rsidRPr="00D0753E">
        <w:rPr>
          <w:rFonts w:ascii="Simplified Arabic" w:eastAsia="Times New Roman" w:hAnsi="Simplified Arabic" w:cs="Simplified Arabic"/>
          <w:sz w:val="32"/>
          <w:szCs w:val="32"/>
          <w:rtl/>
          <w:lang w:eastAsia="fr-FR" w:bidi="ar-MA"/>
        </w:rPr>
        <w:t xml:space="preserve"> - ، والقاعدة اللغوية، فالفرق بين موضوعاتية ريشار (</w:t>
      </w:r>
      <w:r w:rsidRPr="00D0753E">
        <w:rPr>
          <w:rFonts w:ascii="Simplified Arabic" w:eastAsia="Times New Roman" w:hAnsi="Simplified Arabic" w:cs="Simplified Arabic"/>
          <w:sz w:val="32"/>
          <w:szCs w:val="32"/>
          <w:lang w:eastAsia="fr-FR"/>
        </w:rPr>
        <w:t>Richard</w:t>
      </w:r>
      <w:r w:rsidRPr="00D0753E">
        <w:rPr>
          <w:rFonts w:ascii="Simplified Arabic" w:eastAsia="Times New Roman" w:hAnsi="Simplified Arabic" w:cs="Simplified Arabic"/>
          <w:sz w:val="32"/>
          <w:szCs w:val="32"/>
          <w:rtl/>
          <w:lang w:eastAsia="fr-FR" w:bidi="ar-MA"/>
        </w:rPr>
        <w:t>) وموضوعية عبد الكريم حسن، أن موضوعاتية  الأول مضمونية، أي حديث عن الأفكار والموضوعات في الأدب، بينما موضوعاتية الثاني هي الانتقال من المضامين المختلفة إلى الأشكال الثابتة ، أي ثمة مصالحة بين البنية والتاريخ،  بين التزامن والتزمن، والوصف والتطور.</w:t>
      </w:r>
    </w:p>
    <w:p w:rsidR="009F6265" w:rsidRPr="00D0753E" w:rsidRDefault="009F6265" w:rsidP="009F6265">
      <w:pPr>
        <w:bidi/>
        <w:spacing w:after="0" w:line="360" w:lineRule="auto"/>
        <w:ind w:firstLine="708"/>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 </w:t>
      </w:r>
    </w:p>
    <w:p w:rsidR="009F6265" w:rsidRPr="00D0753E" w:rsidRDefault="009F6265" w:rsidP="009F6265">
      <w:pPr>
        <w:bidi/>
        <w:spacing w:after="0" w:line="360" w:lineRule="auto"/>
        <w:jc w:val="lowKashida"/>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4</w:t>
      </w:r>
      <w:r w:rsidRPr="00D0753E">
        <w:rPr>
          <w:rFonts w:ascii="Simplified Arabic" w:eastAsia="Times New Roman" w:hAnsi="Simplified Arabic" w:cs="Simplified Arabic"/>
          <w:b/>
          <w:bCs/>
          <w:sz w:val="36"/>
          <w:szCs w:val="36"/>
          <w:rtl/>
          <w:lang w:eastAsia="fr-FR" w:bidi="ar-MA"/>
        </w:rPr>
        <w:t>- مصادر المقاربة  الموضوعاتية:</w:t>
      </w:r>
    </w:p>
    <w:p w:rsidR="009F6265" w:rsidRPr="00D0753E" w:rsidRDefault="009F6265" w:rsidP="009F6265">
      <w:pPr>
        <w:bidi/>
        <w:spacing w:after="0" w:line="360" w:lineRule="auto"/>
        <w:ind w:firstLine="708"/>
        <w:jc w:val="lowKashida"/>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 </w:t>
      </w:r>
    </w:p>
    <w:p w:rsidR="009F6265" w:rsidRPr="00D0753E" w:rsidRDefault="009F6265" w:rsidP="009F6265">
      <w:pPr>
        <w:bidi/>
        <w:spacing w:after="0" w:line="360" w:lineRule="auto"/>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lastRenderedPageBreak/>
        <w:t>تستند المقاربة الموضوعاتية إلى خلفية فلسفية وابتسمولوجية تتمثل في ظاهراتية إدموند هوسرل (1859 – 1938)،  ومجهود الفلاسفة الظاهريين الوجوديين أمثال: هيدجر، وجان بول سارتر(</w:t>
      </w:r>
      <w:r w:rsidRPr="00D0753E">
        <w:rPr>
          <w:rFonts w:ascii="Simplified Arabic" w:eastAsia="Times New Roman" w:hAnsi="Simplified Arabic" w:cs="Simplified Arabic"/>
          <w:sz w:val="32"/>
          <w:szCs w:val="32"/>
          <w:lang w:eastAsia="fr-FR"/>
        </w:rPr>
        <w:t>Sartre</w:t>
      </w:r>
      <w:r w:rsidRPr="00D0753E">
        <w:rPr>
          <w:rFonts w:ascii="Simplified Arabic" w:eastAsia="Times New Roman" w:hAnsi="Simplified Arabic" w:cs="Simplified Arabic"/>
          <w:sz w:val="32"/>
          <w:szCs w:val="32"/>
          <w:rtl/>
          <w:lang w:eastAsia="fr-FR" w:bidi="ar-MA"/>
        </w:rPr>
        <w:t>)، و باستونباشلار (</w:t>
      </w:r>
      <w:r w:rsidRPr="00D0753E">
        <w:rPr>
          <w:rFonts w:ascii="Simplified Arabic" w:eastAsia="Times New Roman" w:hAnsi="Simplified Arabic" w:cs="Simplified Arabic"/>
          <w:sz w:val="32"/>
          <w:szCs w:val="32"/>
          <w:lang w:eastAsia="fr-FR"/>
        </w:rPr>
        <w:t>Bachlard</w:t>
      </w:r>
      <w:r w:rsidRPr="00D0753E">
        <w:rPr>
          <w:rFonts w:ascii="Simplified Arabic" w:eastAsia="Times New Roman" w:hAnsi="Simplified Arabic" w:cs="Simplified Arabic"/>
          <w:sz w:val="32"/>
          <w:szCs w:val="32"/>
          <w:rtl/>
          <w:lang w:eastAsia="fr-FR" w:bidi="ar-MA"/>
        </w:rPr>
        <w:t>) .</w:t>
      </w:r>
    </w:p>
    <w:p w:rsidR="009F6265" w:rsidRPr="00D0753E" w:rsidRDefault="009F6265" w:rsidP="009F6265">
      <w:pPr>
        <w:bidi/>
        <w:spacing w:after="0" w:line="360" w:lineRule="auto"/>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ومن المعلوم أن الظاهراتية، وخصوصا فلسفة هوسول، جاءت كرد فعل على النزعتين: المثالية والتجريبية معا (فلسفة الذات والموضوع) ، " والفكرة الأساسية التي يمكن استخلاصها من البعد الفلسفي للنقد الظاهري الموضوعاتي، سواء كان محايثا أم ميتافيزيقيا، هي اعتبار الإبداع عملا يمثل وعي المبدع، وهذا لا يعني نفي الظاهرية للعمليات اللاواعية التي تجري أثناء تنظيم المدركات في الوعي،  وهذه مفارقة ينبغي التنبيه إليها؛ لأنها هي التي تفسر كيف أن النقاد الظاهرين/الموضوعاتيين لجأوا أحيانا إلى التحليل النفسي، أو إلى أحلام اليقظة البدائية العميقة المترسبة في الذات المبدعة وهذا ما فعله " باشلار" (</w:t>
      </w:r>
      <w:r w:rsidRPr="00D0753E">
        <w:rPr>
          <w:rFonts w:ascii="Simplified Arabic" w:eastAsia="Times New Roman" w:hAnsi="Simplified Arabic" w:cs="Simplified Arabic"/>
          <w:sz w:val="32"/>
          <w:szCs w:val="32"/>
          <w:lang w:eastAsia="fr-FR"/>
        </w:rPr>
        <w:t>Bachelard</w:t>
      </w:r>
      <w:r w:rsidRPr="00D0753E">
        <w:rPr>
          <w:rFonts w:ascii="Simplified Arabic" w:eastAsia="Times New Roman" w:hAnsi="Simplified Arabic" w:cs="Simplified Arabic"/>
          <w:sz w:val="32"/>
          <w:szCs w:val="32"/>
          <w:rtl/>
          <w:lang w:eastAsia="fr-FR" w:bidi="ar-MA"/>
        </w:rPr>
        <w:t>). (...).</w:t>
      </w:r>
    </w:p>
    <w:p w:rsidR="009F6265" w:rsidRPr="00D0753E" w:rsidRDefault="009F6265" w:rsidP="009F6265">
      <w:pPr>
        <w:bidi/>
        <w:spacing w:after="0" w:line="360" w:lineRule="auto"/>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 وإذا نحن تأملنا تطبيقات المنهج الموضوعاتي/الظاهري فنجد طغيان الاهتمام بالأفكار باعتبارها مظاهر للوعي عند الكتاب المدروسين، وقد يستفيد النقاد من علم النفس الظاهري، كما فعل جان بيير ريشار "</w:t>
      </w:r>
      <w:r w:rsidRPr="00D0753E">
        <w:rPr>
          <w:rFonts w:ascii="Simplified Arabic" w:eastAsia="Times New Roman" w:hAnsi="Simplified Arabic" w:cs="Simplified Arabic"/>
          <w:sz w:val="32"/>
          <w:szCs w:val="32"/>
          <w:lang w:eastAsia="fr-FR"/>
        </w:rPr>
        <w:t>Richard</w:t>
      </w:r>
      <w:r w:rsidRPr="00D0753E">
        <w:rPr>
          <w:rFonts w:ascii="Simplified Arabic" w:eastAsia="Times New Roman" w:hAnsi="Simplified Arabic" w:cs="Simplified Arabic"/>
          <w:sz w:val="32"/>
          <w:szCs w:val="32"/>
          <w:rtl/>
          <w:lang w:eastAsia="fr-FR" w:bidi="ar-MA"/>
        </w:rPr>
        <w:t>" بشكل خاص"</w:t>
      </w:r>
      <w:hyperlink r:id="rId20" w:anchor="_ftn18" w:history="1">
        <w:hyperlink r:id="rId21" w:anchor="_ftn2" w:history="1">
          <w:r w:rsidRPr="00D0753E">
            <w:rPr>
              <w:rStyle w:val="Appelnotedebasdep"/>
              <w:rFonts w:ascii="Simplified Arabic" w:hAnsi="Simplified Arabic" w:cs="Simplified Arabic"/>
              <w:sz w:val="32"/>
              <w:szCs w:val="32"/>
              <w:rtl/>
            </w:rPr>
            <w:footnoteReference w:id="14"/>
          </w:r>
        </w:hyperlink>
      </w:hyperlink>
    </w:p>
    <w:p w:rsidR="009F6265" w:rsidRPr="00D0753E" w:rsidRDefault="009F6265" w:rsidP="009F6265">
      <w:pPr>
        <w:bidi/>
        <w:spacing w:after="0" w:line="360" w:lineRule="auto"/>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 xml:space="preserve">ومن هنا، نجد أن للمقاربة الموضوعاتية أسسا فلسفية  تتمثل في الفلسفة الظاهراتية والفلسفة الوجودية والفلسفة التأويلية الهرمونيتيكية، وأسسا إبستمولوجية تتجلى في انفتاح المقاربة على </w:t>
      </w:r>
      <w:r w:rsidRPr="00D0753E">
        <w:rPr>
          <w:rFonts w:ascii="Simplified Arabic" w:eastAsia="Times New Roman" w:hAnsi="Simplified Arabic" w:cs="Simplified Arabic"/>
          <w:sz w:val="32"/>
          <w:szCs w:val="32"/>
          <w:rtl/>
          <w:lang w:eastAsia="fr-FR" w:bidi="ar-MA"/>
        </w:rPr>
        <w:lastRenderedPageBreak/>
        <w:t xml:space="preserve">علم النفس وعلم المعجميات وعلم اللسان والسيميائيات والنقد الأدبي وعلم الجمال وشعرية التخييل. </w:t>
      </w:r>
    </w:p>
    <w:p w:rsidR="009F6265" w:rsidRPr="00D0753E" w:rsidRDefault="009F6265" w:rsidP="009F6265">
      <w:pPr>
        <w:bidi/>
        <w:spacing w:after="0" w:line="360" w:lineRule="auto"/>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lang w:eastAsia="fr-FR"/>
        </w:rPr>
        <w:t> </w:t>
      </w:r>
    </w:p>
    <w:p w:rsidR="009F6265" w:rsidRPr="00D0753E" w:rsidRDefault="009F6265" w:rsidP="009F6265">
      <w:pPr>
        <w:bidi/>
        <w:spacing w:after="0" w:line="360" w:lineRule="auto"/>
        <w:ind w:hanging="360"/>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rPr>
        <w:t xml:space="preserve">5-        </w:t>
      </w:r>
      <w:r w:rsidRPr="00D0753E">
        <w:rPr>
          <w:rFonts w:ascii="Simplified Arabic" w:eastAsia="Times New Roman" w:hAnsi="Simplified Arabic" w:cs="Simplified Arabic"/>
          <w:b/>
          <w:bCs/>
          <w:sz w:val="32"/>
          <w:szCs w:val="32"/>
          <w:rtl/>
          <w:lang w:eastAsia="fr-FR" w:bidi="ar-MA"/>
        </w:rPr>
        <w:t>الموضوعاتية والمناهج النقدية الأخرى:</w:t>
      </w:r>
    </w:p>
    <w:p w:rsidR="009F6265" w:rsidRPr="00D0753E" w:rsidRDefault="009F6265" w:rsidP="009F6265">
      <w:pPr>
        <w:bidi/>
        <w:spacing w:after="0" w:line="360" w:lineRule="auto"/>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 </w:t>
      </w:r>
    </w:p>
    <w:p w:rsidR="009F6265" w:rsidRPr="00D0753E" w:rsidRDefault="009F6265" w:rsidP="009F6265">
      <w:pPr>
        <w:bidi/>
        <w:spacing w:after="0" w:line="360" w:lineRule="auto"/>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اقترنت  المقاربة الموضوعاتية في تطورها التاريخي ومن خلال تصوراتها النظرية وتطبيقاتها الإجرائية بمجموعة من المناهج المضمونية والشكلية سواء أكانت وصفية أم معيارية، داخلية أم خارجية.</w:t>
      </w:r>
    </w:p>
    <w:p w:rsidR="009F6265" w:rsidRPr="00D0753E" w:rsidRDefault="009F6265" w:rsidP="009F6265">
      <w:pPr>
        <w:bidi/>
        <w:spacing w:after="0" w:line="360" w:lineRule="auto"/>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ومن هنا، فقد ارتبطت الموضوعاتية  في مسارها المنهجي والتاريخي كما يرى فايول (</w:t>
      </w:r>
      <w:r w:rsidRPr="00D0753E">
        <w:rPr>
          <w:rFonts w:ascii="Simplified Arabic" w:eastAsia="Times New Roman" w:hAnsi="Simplified Arabic" w:cs="Simplified Arabic"/>
          <w:sz w:val="32"/>
          <w:szCs w:val="32"/>
          <w:lang w:eastAsia="fr-FR"/>
        </w:rPr>
        <w:t>R. Fayolle</w:t>
      </w:r>
      <w:r w:rsidRPr="00D0753E">
        <w:rPr>
          <w:rFonts w:ascii="Simplified Arabic" w:eastAsia="Times New Roman" w:hAnsi="Simplified Arabic" w:cs="Simplified Arabic"/>
          <w:sz w:val="32"/>
          <w:szCs w:val="32"/>
          <w:rtl/>
          <w:lang w:eastAsia="fr-FR" w:bidi="ar-MA"/>
        </w:rPr>
        <w:t>) بالتحليل النفسي والفلسفة الوجودية وعلم النفس وعلم الأفكار الذي يمد الموضوعاتيين " بالتيمات" لتتبعها في نتاجات المبدعين. وفي هذا الصدد يقول روجي فايول (</w:t>
      </w:r>
      <w:r w:rsidRPr="00D0753E">
        <w:rPr>
          <w:rFonts w:ascii="Simplified Arabic" w:eastAsia="Times New Roman" w:hAnsi="Simplified Arabic" w:cs="Simplified Arabic"/>
          <w:sz w:val="32"/>
          <w:szCs w:val="32"/>
          <w:lang w:eastAsia="fr-FR"/>
        </w:rPr>
        <w:t>R.Fayolle</w:t>
      </w:r>
      <w:r w:rsidRPr="00D0753E">
        <w:rPr>
          <w:rFonts w:ascii="Simplified Arabic" w:eastAsia="Times New Roman" w:hAnsi="Simplified Arabic" w:cs="Simplified Arabic"/>
          <w:sz w:val="32"/>
          <w:szCs w:val="32"/>
          <w:rtl/>
          <w:lang w:eastAsia="fr-FR" w:bidi="ar-MA"/>
        </w:rPr>
        <w:t>): "إن جورج بولي (</w:t>
      </w:r>
      <w:r w:rsidRPr="00D0753E">
        <w:rPr>
          <w:rFonts w:ascii="Simplified Arabic" w:eastAsia="Times New Roman" w:hAnsi="Simplified Arabic" w:cs="Simplified Arabic"/>
          <w:sz w:val="32"/>
          <w:szCs w:val="32"/>
          <w:lang w:eastAsia="fr-FR"/>
        </w:rPr>
        <w:t>Poulet</w:t>
      </w:r>
      <w:r w:rsidRPr="00D0753E">
        <w:rPr>
          <w:rFonts w:ascii="Simplified Arabic" w:eastAsia="Times New Roman" w:hAnsi="Simplified Arabic" w:cs="Simplified Arabic"/>
          <w:sz w:val="32"/>
          <w:szCs w:val="32"/>
          <w:rtl/>
          <w:lang w:eastAsia="fr-FR" w:bidi="ar-MA"/>
        </w:rPr>
        <w:t>) وجان بيير ريشار (</w:t>
      </w:r>
      <w:r w:rsidRPr="00D0753E">
        <w:rPr>
          <w:rFonts w:ascii="Simplified Arabic" w:eastAsia="Times New Roman" w:hAnsi="Simplified Arabic" w:cs="Simplified Arabic"/>
          <w:sz w:val="32"/>
          <w:szCs w:val="32"/>
          <w:lang w:eastAsia="fr-FR"/>
        </w:rPr>
        <w:t>Richard</w:t>
      </w:r>
      <w:r w:rsidRPr="00D0753E">
        <w:rPr>
          <w:rFonts w:ascii="Simplified Arabic" w:eastAsia="Times New Roman" w:hAnsi="Simplified Arabic" w:cs="Simplified Arabic"/>
          <w:sz w:val="32"/>
          <w:szCs w:val="32"/>
          <w:rtl/>
          <w:lang w:eastAsia="fr-FR" w:bidi="ar-MA"/>
        </w:rPr>
        <w:t>) وستاروبنسكي (</w:t>
      </w:r>
      <w:r w:rsidRPr="00D0753E">
        <w:rPr>
          <w:rFonts w:ascii="Simplified Arabic" w:eastAsia="Times New Roman" w:hAnsi="Simplified Arabic" w:cs="Simplified Arabic"/>
          <w:sz w:val="32"/>
          <w:szCs w:val="32"/>
          <w:lang w:eastAsia="fr-FR"/>
        </w:rPr>
        <w:t>Starobinski</w:t>
      </w:r>
      <w:r w:rsidRPr="00D0753E">
        <w:rPr>
          <w:rFonts w:ascii="Simplified Arabic" w:eastAsia="Times New Roman" w:hAnsi="Simplified Arabic" w:cs="Simplified Arabic"/>
          <w:sz w:val="32"/>
          <w:szCs w:val="32"/>
          <w:rtl/>
          <w:lang w:eastAsia="fr-FR" w:bidi="ar-MA"/>
        </w:rPr>
        <w:t>) ، وهم  يقرأون أعمال الروائيين والشعراء يكشفون عن الموقع المهيمن الذي تحتله بعض "التيمات"، كما يكشفون عن القيمة الدلالية لبعض البنيات"</w:t>
      </w:r>
      <w:hyperlink r:id="rId22" w:anchor="_ftn18" w:history="1">
        <w:hyperlink r:id="rId23" w:anchor="_ftn2" w:history="1">
          <w:r w:rsidRPr="00D0753E">
            <w:rPr>
              <w:rStyle w:val="Appelnotedebasdep"/>
              <w:rFonts w:ascii="Simplified Arabic" w:hAnsi="Simplified Arabic" w:cs="Simplified Arabic"/>
              <w:sz w:val="32"/>
              <w:szCs w:val="32"/>
              <w:rtl/>
            </w:rPr>
            <w:footnoteReference w:id="15"/>
          </w:r>
        </w:hyperlink>
      </w:hyperlink>
      <w:r w:rsidRPr="00D0753E">
        <w:rPr>
          <w:rFonts w:ascii="Simplified Arabic" w:eastAsia="Times New Roman" w:hAnsi="Simplified Arabic" w:cs="Simplified Arabic"/>
          <w:sz w:val="32"/>
          <w:szCs w:val="32"/>
          <w:rtl/>
          <w:lang w:eastAsia="fr-FR" w:bidi="ar-MA"/>
        </w:rPr>
        <w:t xml:space="preserve">.    </w:t>
      </w:r>
    </w:p>
    <w:p w:rsidR="009F6265" w:rsidRPr="00D0753E" w:rsidRDefault="009F6265" w:rsidP="009F6265">
      <w:pPr>
        <w:bidi/>
        <w:spacing w:after="0" w:line="360" w:lineRule="auto"/>
        <w:jc w:val="lowKashida"/>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 xml:space="preserve">ويرى فؤاد أبو منصور أن النقد الموضوعاتي أو الجذري حصيلة تضافر تيارين فكريين متغايرين ألا وهما: الفرويدية والأسلوبية اللسنية. ذلك أن الفرويدية أولا أرفدت "الجذريين" </w:t>
      </w:r>
      <w:r w:rsidRPr="00D0753E">
        <w:rPr>
          <w:rFonts w:ascii="Simplified Arabic" w:eastAsia="Times New Roman" w:hAnsi="Simplified Arabic" w:cs="Simplified Arabic"/>
          <w:sz w:val="32"/>
          <w:szCs w:val="32"/>
          <w:rtl/>
          <w:lang w:eastAsia="fr-FR" w:bidi="ar-MA"/>
        </w:rPr>
        <w:lastRenderedPageBreak/>
        <w:t>بمصطلحات "العقدة النفسية" و "اللاشعور" و "العقل الباطني" و "السادية" و"المازوشية. ثم جاء التحليل النفسي مع الناقد شارل مورون (</w:t>
      </w:r>
      <w:r w:rsidRPr="00D0753E">
        <w:rPr>
          <w:rFonts w:ascii="Simplified Arabic" w:eastAsia="Times New Roman" w:hAnsi="Simplified Arabic" w:cs="Simplified Arabic"/>
          <w:sz w:val="32"/>
          <w:szCs w:val="32"/>
          <w:lang w:eastAsia="fr-FR"/>
        </w:rPr>
        <w:t>Ch. Mauron</w:t>
      </w:r>
      <w:r w:rsidRPr="00D0753E">
        <w:rPr>
          <w:rFonts w:ascii="Simplified Arabic" w:eastAsia="Times New Roman" w:hAnsi="Simplified Arabic" w:cs="Simplified Arabic"/>
          <w:sz w:val="32"/>
          <w:szCs w:val="32"/>
          <w:rtl/>
          <w:lang w:eastAsia="fr-FR" w:bidi="ar-MA"/>
        </w:rPr>
        <w:t>) خصوصا في كتابه البارز "من الاستعارات الملحة إلى الأسطورة الشخصية" نهج فيه نهجا فرويديا – برغسونيا، لينشر في فضاء النقد الموضوعاتي جملة مسلمات أهمها: اللاشعور، أهمية الطفولة في تشكيل أفكار الشخص البالغ، آثار بعض الوقائع الراسخة في الذاكرة، وجود النزوات المتسلطة</w:t>
      </w:r>
      <w:hyperlink r:id="rId24" w:anchor="_ftn18" w:history="1">
        <w:hyperlink r:id="rId25" w:anchor="_ftn2" w:history="1">
          <w:r w:rsidRPr="00D0753E">
            <w:rPr>
              <w:rStyle w:val="Appelnotedebasdep"/>
              <w:rFonts w:ascii="Simplified Arabic" w:hAnsi="Simplified Arabic" w:cs="Simplified Arabic"/>
              <w:sz w:val="32"/>
              <w:szCs w:val="32"/>
              <w:rtl/>
            </w:rPr>
            <w:footnoteReference w:id="16"/>
          </w:r>
        </w:hyperlink>
      </w:hyperlink>
      <w:r w:rsidRPr="00D0753E">
        <w:rPr>
          <w:rFonts w:ascii="Simplified Arabic" w:eastAsia="Times New Roman" w:hAnsi="Simplified Arabic" w:cs="Simplified Arabic" w:hint="cs"/>
          <w:sz w:val="32"/>
          <w:szCs w:val="32"/>
          <w:rtl/>
          <w:lang w:eastAsia="fr-FR" w:bidi="ar-MA"/>
        </w:rPr>
        <w:t xml:space="preserve"> </w:t>
      </w:r>
      <w:proofErr w:type="gramStart"/>
      <w:r w:rsidRPr="00D0753E">
        <w:rPr>
          <w:rFonts w:ascii="Simplified Arabic" w:eastAsia="Times New Roman" w:hAnsi="Simplified Arabic" w:cs="Simplified Arabic" w:hint="cs"/>
          <w:sz w:val="32"/>
          <w:szCs w:val="32"/>
          <w:rtl/>
          <w:lang w:eastAsia="fr-FR" w:bidi="ar-MA"/>
        </w:rPr>
        <w:t>..</w:t>
      </w:r>
      <w:proofErr w:type="gramEnd"/>
    </w:p>
    <w:p w:rsidR="009F6265" w:rsidRPr="00D0753E" w:rsidRDefault="009F6265" w:rsidP="009F6265">
      <w:pPr>
        <w:bidi/>
        <w:spacing w:after="0" w:line="360" w:lineRule="auto"/>
        <w:jc w:val="lowKashida"/>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كما استفادت الموضوعاتية من الأسلوبية الألسنية خاصة من الباحث شارل بالي (</w:t>
      </w:r>
      <w:r w:rsidRPr="00D0753E">
        <w:rPr>
          <w:rFonts w:ascii="Simplified Arabic" w:eastAsia="Times New Roman" w:hAnsi="Simplified Arabic" w:cs="Simplified Arabic"/>
          <w:sz w:val="32"/>
          <w:szCs w:val="32"/>
          <w:lang w:eastAsia="fr-FR"/>
        </w:rPr>
        <w:t>Bally</w:t>
      </w:r>
      <w:r w:rsidRPr="00D0753E">
        <w:rPr>
          <w:rFonts w:ascii="Simplified Arabic" w:eastAsia="Times New Roman" w:hAnsi="Simplified Arabic" w:cs="Simplified Arabic"/>
          <w:sz w:val="32"/>
          <w:szCs w:val="32"/>
          <w:rtl/>
          <w:lang w:eastAsia="fr-FR" w:bidi="ar-MA"/>
        </w:rPr>
        <w:t>)، وماروزو (</w:t>
      </w:r>
      <w:r w:rsidRPr="00D0753E">
        <w:rPr>
          <w:rFonts w:ascii="Simplified Arabic" w:eastAsia="Times New Roman" w:hAnsi="Simplified Arabic" w:cs="Simplified Arabic"/>
          <w:sz w:val="32"/>
          <w:szCs w:val="32"/>
          <w:lang w:eastAsia="fr-FR"/>
        </w:rPr>
        <w:t>Marozo</w:t>
      </w:r>
      <w:r w:rsidRPr="00D0753E">
        <w:rPr>
          <w:rFonts w:ascii="Simplified Arabic" w:eastAsia="Times New Roman" w:hAnsi="Simplified Arabic" w:cs="Simplified Arabic"/>
          <w:sz w:val="32"/>
          <w:szCs w:val="32"/>
          <w:rtl/>
          <w:lang w:eastAsia="fr-FR" w:bidi="ar-MA"/>
        </w:rPr>
        <w:t xml:space="preserve">)، ومرسيل كرسيو خصوصا في "الأسلوب وتقنياته"، فاهتمت بجماليات النص اللغوية المتعددة. إذ إن "أطياف الشعور أو اللاشعور تتبلور لغويا بواسطة تراكيب ومصطلحات معينة. وتدل الظاهرة اللغوية بطابعها الكيميائي المتناسق أو المتنافر على واقع نفسي- فكري، يتوهج بالتماعات الرمز بين عالمي الوعي واللاوعي. </w:t>
      </w:r>
    </w:p>
    <w:p w:rsidR="009F6265" w:rsidRPr="00D0753E" w:rsidRDefault="009F6265" w:rsidP="009F6265">
      <w:pPr>
        <w:bidi/>
        <w:spacing w:after="0" w:line="360" w:lineRule="auto"/>
        <w:jc w:val="lowKashida"/>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الجذريون يلتقطون بواسطة الأسلوب أو النسق اللغوي المتعدد، الهويات والمضامين جذرا فكريا ويتتبعون تعابيره في سياق النص. هنا، يصبح النسيج الجمالي مفتاحا للعثور على النسيج الفكري الموغل في الباطنية أو المتناثر رموزا على سطح الكتابة، رموزا لكنها ذات صلة اندماجية في إطار ما يسمى بـ "الوحدة الميثولوجية للكتابة حسب قاموس التحليل النفسي"</w:t>
      </w:r>
      <w:hyperlink r:id="rId26" w:anchor="_ftn18" w:history="1">
        <w:hyperlink r:id="rId27" w:anchor="_ftn2" w:history="1">
          <w:r w:rsidRPr="00D0753E">
            <w:rPr>
              <w:rStyle w:val="Appelnotedebasdep"/>
              <w:rFonts w:ascii="Simplified Arabic" w:hAnsi="Simplified Arabic" w:cs="Simplified Arabic"/>
              <w:sz w:val="32"/>
              <w:szCs w:val="32"/>
              <w:rtl/>
            </w:rPr>
            <w:footnoteReference w:id="17"/>
          </w:r>
        </w:hyperlink>
      </w:hyperlink>
      <w:r w:rsidRPr="00D0753E">
        <w:rPr>
          <w:rFonts w:ascii="Simplified Arabic" w:eastAsia="Times New Roman" w:hAnsi="Simplified Arabic" w:cs="Simplified Arabic"/>
          <w:sz w:val="32"/>
          <w:szCs w:val="32"/>
          <w:rtl/>
          <w:lang w:eastAsia="fr-FR" w:bidi="ar-MA"/>
        </w:rPr>
        <w:t xml:space="preserve">.     </w:t>
      </w:r>
    </w:p>
    <w:p w:rsidR="009F6265" w:rsidRPr="00D0753E" w:rsidRDefault="009F6265" w:rsidP="009F6265">
      <w:pPr>
        <w:bidi/>
        <w:spacing w:after="0" w:line="360" w:lineRule="auto"/>
        <w:jc w:val="lowKashida"/>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lastRenderedPageBreak/>
        <w:t xml:space="preserve">ولا تشتغل  الموضوعاتية – باعتبارها منهجا منفتحا في التحليل والاستكشاف الدلالي – على مستوى الوعي كما تفعل الظاهراتية، ولا على مستوى اللاوعي، كما هو الشأن بالنسبة للتحليل النفسي، إنما تركز على مستوى "ما قبل الوعي – </w:t>
      </w:r>
      <w:r w:rsidRPr="00D0753E">
        <w:rPr>
          <w:rFonts w:ascii="Simplified Arabic" w:eastAsia="Times New Roman" w:hAnsi="Simplified Arabic" w:cs="Simplified Arabic"/>
          <w:sz w:val="32"/>
          <w:szCs w:val="32"/>
          <w:lang w:eastAsia="fr-FR"/>
        </w:rPr>
        <w:t>Le préconscient</w:t>
      </w:r>
      <w:r w:rsidRPr="00D0753E">
        <w:rPr>
          <w:rFonts w:ascii="Simplified Arabic" w:eastAsia="Times New Roman" w:hAnsi="Simplified Arabic" w:cs="Simplified Arabic"/>
          <w:sz w:val="32"/>
          <w:szCs w:val="32"/>
          <w:rtl/>
          <w:lang w:eastAsia="fr-FR" w:bidi="ar-MA"/>
        </w:rPr>
        <w:t>- وأن المعنى الحقيقي الذي تستهدفه هذه المقاربة في العمل الأدبي لا يكمن في " طابق المعنى الظاهري" ولا في طابق المعنى الخفي، ولكنه لا يوجد في ما بين الطابقين، فالمعنى الحقيقي يختبئ بين الضياء المرئي والضياء المحجوب"</w:t>
      </w:r>
      <w:hyperlink r:id="rId28" w:anchor="_ftn18" w:history="1">
        <w:hyperlink r:id="rId29" w:anchor="_ftn2" w:history="1">
          <w:r w:rsidRPr="00D0753E">
            <w:rPr>
              <w:rStyle w:val="Appelnotedebasdep"/>
              <w:rFonts w:ascii="Simplified Arabic" w:hAnsi="Simplified Arabic" w:cs="Simplified Arabic"/>
              <w:sz w:val="32"/>
              <w:szCs w:val="32"/>
              <w:rtl/>
            </w:rPr>
            <w:footnoteReference w:id="18"/>
          </w:r>
        </w:hyperlink>
      </w:hyperlink>
      <w:r w:rsidRPr="00D0753E">
        <w:rPr>
          <w:rFonts w:ascii="Simplified Arabic" w:eastAsia="Times New Roman" w:hAnsi="Simplified Arabic" w:cs="Simplified Arabic"/>
          <w:sz w:val="32"/>
          <w:szCs w:val="32"/>
          <w:rtl/>
          <w:lang w:eastAsia="fr-FR" w:bidi="ar-MA"/>
        </w:rPr>
        <w:t xml:space="preserve">. </w:t>
      </w:r>
    </w:p>
    <w:p w:rsidR="009F6265" w:rsidRPr="00D0753E" w:rsidRDefault="009F6265" w:rsidP="009F6265">
      <w:pPr>
        <w:bidi/>
        <w:spacing w:after="0" w:line="360" w:lineRule="auto"/>
        <w:jc w:val="lowKashida"/>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وعلى أية حال، فثمة تقارب بين الموضوعاتية والمناهج الأخرى كالسيميولوجيا واللسانيات والأسلوبية وعلم الدلالة والتحليل النفسي، فريشار (</w:t>
      </w:r>
      <w:r w:rsidRPr="00D0753E">
        <w:rPr>
          <w:rFonts w:ascii="Simplified Arabic" w:eastAsia="Times New Roman" w:hAnsi="Simplified Arabic" w:cs="Simplified Arabic"/>
          <w:sz w:val="32"/>
          <w:szCs w:val="32"/>
          <w:lang w:eastAsia="fr-FR"/>
        </w:rPr>
        <w:t>Richard</w:t>
      </w:r>
      <w:r w:rsidRPr="00D0753E">
        <w:rPr>
          <w:rFonts w:ascii="Simplified Arabic" w:eastAsia="Times New Roman" w:hAnsi="Simplified Arabic" w:cs="Simplified Arabic"/>
          <w:sz w:val="32"/>
          <w:szCs w:val="32"/>
          <w:rtl/>
          <w:lang w:eastAsia="fr-FR" w:bidi="ar-MA"/>
        </w:rPr>
        <w:t>) يميز بين الموضوعاتية والمنهج السيكولوجي عندما يقر بأن "القراءة في كليهما تنطوي على مهمة إحضار المعنى إلى النص أو ما يمكن تسميته بتضخيم المعنى فكلتا القراءتين مضخمة للمعنى وذلك على عكس القراءة الفيلولوجية التقليدية التي كانت تهتم بتقليصه"</w:t>
      </w:r>
      <w:hyperlink r:id="rId30" w:anchor="_ftn18" w:history="1">
        <w:hyperlink r:id="rId31" w:anchor="_ftn2" w:history="1">
          <w:r w:rsidRPr="00D0753E">
            <w:rPr>
              <w:rStyle w:val="Appelnotedebasdep"/>
              <w:rFonts w:ascii="Simplified Arabic" w:hAnsi="Simplified Arabic" w:cs="Simplified Arabic"/>
              <w:sz w:val="32"/>
              <w:szCs w:val="32"/>
              <w:rtl/>
            </w:rPr>
            <w:footnoteReference w:id="19"/>
          </w:r>
        </w:hyperlink>
      </w:hyperlink>
      <w:r w:rsidRPr="00D0753E">
        <w:rPr>
          <w:rFonts w:ascii="Simplified Arabic" w:eastAsia="Times New Roman" w:hAnsi="Simplified Arabic" w:cs="Simplified Arabic"/>
          <w:sz w:val="32"/>
          <w:szCs w:val="32"/>
          <w:rtl/>
          <w:lang w:eastAsia="fr-FR" w:bidi="ar-MA"/>
        </w:rPr>
        <w:t xml:space="preserve"> .</w:t>
      </w:r>
    </w:p>
    <w:p w:rsidR="009F6265" w:rsidRPr="00D0753E" w:rsidRDefault="009F6265" w:rsidP="009F6265">
      <w:pPr>
        <w:bidi/>
        <w:spacing w:after="0" w:line="360" w:lineRule="auto"/>
        <w:jc w:val="lowKashida"/>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 xml:space="preserve">ولا يمكن للنقد الموضوعاتي إطلاقا أن يستغني عن المنهج النفسي، على الرغم من الفوارق الموجودة بينهما، ولاسيما أن الموضوعاتية نقد وصفي ينبني على فهم النص من أجل استكشاف المعنى وإظهاره وتضخيمه. بينما المنهج النفسي، يعتمد على دراية اللاشعور في </w:t>
      </w:r>
      <w:r w:rsidRPr="00D0753E">
        <w:rPr>
          <w:rFonts w:ascii="Simplified Arabic" w:eastAsia="Times New Roman" w:hAnsi="Simplified Arabic" w:cs="Simplified Arabic"/>
          <w:sz w:val="32"/>
          <w:szCs w:val="32"/>
          <w:rtl/>
          <w:lang w:eastAsia="fr-FR" w:bidi="ar-MA"/>
        </w:rPr>
        <w:lastRenderedPageBreak/>
        <w:t>العمل الأدبي دراسة تفسيرية تأويلية. وإذا كان التحليل النفسي يميز بين عمليتين تحليليتين وهما: العملية الأولية (</w:t>
      </w:r>
      <w:r w:rsidRPr="00D0753E">
        <w:rPr>
          <w:rFonts w:ascii="Simplified Arabic" w:eastAsia="Times New Roman" w:hAnsi="Simplified Arabic" w:cs="Simplified Arabic"/>
          <w:sz w:val="32"/>
          <w:szCs w:val="32"/>
          <w:lang w:eastAsia="fr-FR"/>
        </w:rPr>
        <w:t>Le processus primaire</w:t>
      </w:r>
      <w:r w:rsidRPr="00D0753E">
        <w:rPr>
          <w:rFonts w:ascii="Simplified Arabic" w:eastAsia="Times New Roman" w:hAnsi="Simplified Arabic" w:cs="Simplified Arabic"/>
          <w:sz w:val="32"/>
          <w:szCs w:val="32"/>
          <w:rtl/>
          <w:lang w:eastAsia="fr-FR" w:bidi="ar-MA"/>
        </w:rPr>
        <w:t>) حيث توجد في مستوى اللاوعي، والعملية الثانوية (</w:t>
      </w:r>
      <w:r w:rsidRPr="00D0753E">
        <w:rPr>
          <w:rFonts w:ascii="Simplified Arabic" w:eastAsia="Times New Roman" w:hAnsi="Simplified Arabic" w:cs="Simplified Arabic"/>
          <w:sz w:val="32"/>
          <w:szCs w:val="32"/>
          <w:lang w:eastAsia="fr-FR"/>
        </w:rPr>
        <w:t xml:space="preserve">Le processus – Secondaire </w:t>
      </w:r>
      <w:r w:rsidRPr="00D0753E">
        <w:rPr>
          <w:rFonts w:ascii="Simplified Arabic" w:eastAsia="Times New Roman" w:hAnsi="Simplified Arabic" w:cs="Simplified Arabic"/>
          <w:sz w:val="32"/>
          <w:szCs w:val="32"/>
          <w:rtl/>
          <w:lang w:eastAsia="fr-FR" w:bidi="ar-MA"/>
        </w:rPr>
        <w:t>)، وتوجد في مستوى  يتموقع بين الوعي واللاوعي، وهو مستوى ما قبل الوعي، فالمنهج الموضوعي يركز على العملية الثانية. ويعني هذا مدى تضمن المنهج النفسي للمنهج الموضوعاتي واحتوائه له، وإن كان المنهج الأخير، في قراءته، يرتكز على مقولتي الزمان والمكان، لتحديد المعنى وتشكيله على خلاف اللاوعي الذي يتخلص منهما.</w:t>
      </w:r>
    </w:p>
    <w:p w:rsidR="009F6265" w:rsidRPr="00D0753E" w:rsidRDefault="009F6265" w:rsidP="009F6265">
      <w:pPr>
        <w:bidi/>
        <w:spacing w:after="0" w:line="360" w:lineRule="auto"/>
        <w:jc w:val="lowKashida"/>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 وتدرس القراءة الموضوعاتية المشاهد في العمل الأدبي باعتبارها مظهرا من مظاهر الوعي على الخلق والابتكار انطلاقا من التصنيف المقولاتي، كما يمكن لهذه المقاربة أن تدرس المظاهر الإبداعية اللاواعية كما فعل ريشار (</w:t>
      </w:r>
      <w:r w:rsidRPr="00D0753E">
        <w:rPr>
          <w:rFonts w:ascii="Simplified Arabic" w:eastAsia="Times New Roman" w:hAnsi="Simplified Arabic" w:cs="Simplified Arabic"/>
          <w:sz w:val="32"/>
          <w:szCs w:val="32"/>
          <w:lang w:eastAsia="fr-FR"/>
        </w:rPr>
        <w:t>Richard</w:t>
      </w:r>
      <w:r w:rsidRPr="00D0753E">
        <w:rPr>
          <w:rFonts w:ascii="Simplified Arabic" w:eastAsia="Times New Roman" w:hAnsi="Simplified Arabic" w:cs="Simplified Arabic"/>
          <w:sz w:val="32"/>
          <w:szCs w:val="32"/>
          <w:rtl/>
          <w:lang w:eastAsia="fr-FR" w:bidi="ar-MA"/>
        </w:rPr>
        <w:t>) عندما قرأ أعمال بروست (</w:t>
      </w:r>
      <w:r w:rsidRPr="00D0753E">
        <w:rPr>
          <w:rFonts w:ascii="Simplified Arabic" w:eastAsia="Times New Roman" w:hAnsi="Simplified Arabic" w:cs="Simplified Arabic"/>
          <w:sz w:val="32"/>
          <w:szCs w:val="32"/>
          <w:lang w:eastAsia="fr-FR"/>
        </w:rPr>
        <w:t>Proust</w:t>
      </w:r>
      <w:r w:rsidRPr="00D0753E">
        <w:rPr>
          <w:rFonts w:ascii="Simplified Arabic" w:eastAsia="Times New Roman" w:hAnsi="Simplified Arabic" w:cs="Simplified Arabic"/>
          <w:sz w:val="32"/>
          <w:szCs w:val="32"/>
          <w:rtl/>
          <w:lang w:eastAsia="fr-FR" w:bidi="ar-MA"/>
        </w:rPr>
        <w:t xml:space="preserve">) قصد قراءة موضوعية للرغبة المكبوتة غير المعلن عنها. وهكذا فالأعمال "الأدبية الكبرى" هي تلك التي يكون للرغبة – </w:t>
      </w:r>
      <w:r w:rsidRPr="00D0753E">
        <w:rPr>
          <w:rFonts w:ascii="Simplified Arabic" w:eastAsia="Times New Roman" w:hAnsi="Simplified Arabic" w:cs="Simplified Arabic"/>
          <w:sz w:val="32"/>
          <w:szCs w:val="32"/>
          <w:lang w:eastAsia="fr-FR"/>
        </w:rPr>
        <w:t>Le désir</w:t>
      </w:r>
      <w:r w:rsidRPr="00D0753E">
        <w:rPr>
          <w:rFonts w:ascii="Simplified Arabic" w:eastAsia="Times New Roman" w:hAnsi="Simplified Arabic" w:cs="Simplified Arabic"/>
          <w:sz w:val="32"/>
          <w:szCs w:val="32"/>
          <w:rtl/>
          <w:lang w:eastAsia="fr-FR" w:bidi="ar-MA"/>
        </w:rPr>
        <w:t>- فيها نصيب من التصنيف الموضوعي. وعلى الرغم من أن الرغبة تبقى من ممتلكات الكبت والمحظور والمجهول، أعني من ممتلكات التحليل النفسي. فإنه يمكن لهذه الممتلكات أنتصنف في موضوعات، أي أن تنتمي – جزئيا – إلى عالم المنهج الموضوعي وأن تنكشف عليه ولو من بعيد</w:t>
      </w:r>
      <w:hyperlink r:id="rId32" w:anchor="_ftn18" w:history="1">
        <w:hyperlink r:id="rId33" w:anchor="_ftn2" w:history="1">
          <w:r w:rsidRPr="00D0753E">
            <w:rPr>
              <w:rStyle w:val="Appelnotedebasdep"/>
              <w:rFonts w:ascii="Simplified Arabic" w:hAnsi="Simplified Arabic" w:cs="Simplified Arabic"/>
              <w:sz w:val="32"/>
              <w:szCs w:val="32"/>
              <w:rtl/>
            </w:rPr>
            <w:footnoteReference w:id="20"/>
          </w:r>
        </w:hyperlink>
      </w:hyperlink>
      <w:r w:rsidRPr="00D0753E">
        <w:rPr>
          <w:rFonts w:ascii="Simplified Arabic" w:eastAsia="Times New Roman" w:hAnsi="Simplified Arabic" w:cs="Simplified Arabic"/>
          <w:sz w:val="32"/>
          <w:szCs w:val="32"/>
          <w:rtl/>
          <w:lang w:eastAsia="fr-FR" w:bidi="ar-MA"/>
        </w:rPr>
        <w:t>.</w:t>
      </w:r>
    </w:p>
    <w:p w:rsidR="009F6265" w:rsidRPr="00D0753E" w:rsidRDefault="009F6265" w:rsidP="009F6265">
      <w:pPr>
        <w:bidi/>
        <w:spacing w:after="0" w:line="360" w:lineRule="auto"/>
        <w:jc w:val="lowKashida"/>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lastRenderedPageBreak/>
        <w:t xml:space="preserve">وهكذا نصل إلى أن  الموضوعاتية هي قراءة دلالية تكشف عن المعنى وتفسر النص وذلك بإرجاعه إلى بنياته المعنوية الصغرى والكبرى، وتأطير الفكرة العامة وتحويلها إلى صيغة عنوانيةمبئرة للنص الأدبي. ويعني هذا، أن النقد الموضوعاتي من المناهج المنفتحة على باقي المناهج الأخرى من حيث اعتمادها على التأويل والقراءة الدلالية لشبكة الأفكار والقيم الجمالية المستعملة داخل الأثر الجمالي.      </w:t>
      </w:r>
    </w:p>
    <w:p w:rsidR="009F6265" w:rsidRPr="00D0753E" w:rsidRDefault="009F6265" w:rsidP="009F6265">
      <w:pPr>
        <w:bidi/>
        <w:spacing w:after="0" w:line="360" w:lineRule="auto"/>
        <w:jc w:val="lowKashida"/>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زد على ذلك ، يمكن إدراج النقد الموضوعاتي ضمن المقاربات النقدية التأويلية والدلالية التي لا يهمها سوى استنباط المعنى وإظهاره بصورة بارزة.</w:t>
      </w:r>
    </w:p>
    <w:p w:rsidR="009F6265" w:rsidRPr="00D0753E" w:rsidRDefault="009F6265" w:rsidP="009F6265">
      <w:pPr>
        <w:bidi/>
        <w:spacing w:after="0" w:line="360" w:lineRule="auto"/>
        <w:jc w:val="lowKashida"/>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 xml:space="preserve"> بيد أن النقد الموضوعاتي، إن كان ينبني على التأويل، فهو يرتكز قبل ذلك على الفهم ووصف بنيات العمل الأدبي دون ادعاء بإمكانية تفسيره وشرحه. </w:t>
      </w:r>
      <w:proofErr w:type="gramStart"/>
      <w:r w:rsidRPr="00D0753E">
        <w:rPr>
          <w:rFonts w:ascii="Simplified Arabic" w:eastAsia="Times New Roman" w:hAnsi="Simplified Arabic" w:cs="Simplified Arabic"/>
          <w:sz w:val="32"/>
          <w:szCs w:val="32"/>
          <w:rtl/>
          <w:lang w:eastAsia="fr-FR" w:bidi="ar-MA"/>
        </w:rPr>
        <w:t>لأن</w:t>
      </w:r>
      <w:proofErr w:type="gramEnd"/>
      <w:r w:rsidRPr="00D0753E">
        <w:rPr>
          <w:rFonts w:ascii="Simplified Arabic" w:eastAsia="Times New Roman" w:hAnsi="Simplified Arabic" w:cs="Simplified Arabic"/>
          <w:sz w:val="32"/>
          <w:szCs w:val="32"/>
          <w:rtl/>
          <w:lang w:eastAsia="fr-FR" w:bidi="ar-MA"/>
        </w:rPr>
        <w:t xml:space="preserve"> الناقد أو القارئ، في وضعية تتسم بالمرونة والحرية، يدخل إلى فضاء المقاربة وهو خالي الوفاض غير مزود بعدة كاملة من المفاهيم والمصطلحات الإجرائية والتصور النظري الكافي. </w:t>
      </w:r>
      <w:proofErr w:type="gramStart"/>
      <w:r w:rsidRPr="00D0753E">
        <w:rPr>
          <w:rFonts w:ascii="Simplified Arabic" w:eastAsia="Times New Roman" w:hAnsi="Simplified Arabic" w:cs="Simplified Arabic"/>
          <w:sz w:val="32"/>
          <w:szCs w:val="32"/>
          <w:rtl/>
          <w:lang w:eastAsia="fr-FR" w:bidi="ar-MA"/>
        </w:rPr>
        <w:t>فحسبه</w:t>
      </w:r>
      <w:proofErr w:type="gramEnd"/>
      <w:r w:rsidRPr="00D0753E">
        <w:rPr>
          <w:rFonts w:ascii="Simplified Arabic" w:eastAsia="Times New Roman" w:hAnsi="Simplified Arabic" w:cs="Simplified Arabic"/>
          <w:sz w:val="32"/>
          <w:szCs w:val="32"/>
          <w:rtl/>
          <w:lang w:eastAsia="fr-FR" w:bidi="ar-MA"/>
        </w:rPr>
        <w:t>،  إذا، المعاينة والتأمل الداخلي للنص قصد فهمه ووصفه من أجل الوصول إلى المعنى لاستنباطه وتضخيمه وإبرازه.</w:t>
      </w:r>
    </w:p>
    <w:p w:rsidR="009F6265" w:rsidRPr="00D0753E" w:rsidRDefault="009F6265" w:rsidP="009F6265">
      <w:pPr>
        <w:bidi/>
        <w:spacing w:after="0" w:line="360" w:lineRule="auto"/>
        <w:jc w:val="lowKashida"/>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 xml:space="preserve">ويتبين لنا، مما سلف ذكره، أن المقاربة الموضوعاتية  بصفة عامة من أكثر المقاربات والمناهج النقدية مرونة وحرية وانفتاحا على المناهج النقدية والفلسفية الأخرى . ويبدو أن المقاربة الموضوعاتية أكثر اقترابا من علم النفس والفلسفة الظاهراتية من أية مقاربة نقدية أخرى.   </w:t>
      </w:r>
    </w:p>
    <w:p w:rsidR="009F6265" w:rsidRPr="00D0753E" w:rsidRDefault="009F6265" w:rsidP="009F6265">
      <w:pPr>
        <w:bidi/>
        <w:spacing w:after="0" w:line="360" w:lineRule="auto"/>
        <w:jc w:val="lowKashida"/>
        <w:rPr>
          <w:rFonts w:ascii="Simplified Arabic" w:eastAsia="Times New Roman" w:hAnsi="Simplified Arabic" w:cs="Simplified Arabic"/>
          <w:sz w:val="32"/>
          <w:szCs w:val="32"/>
          <w:rtl/>
          <w:lang w:eastAsia="fr-FR" w:bidi="ar-MA"/>
        </w:rPr>
      </w:pPr>
    </w:p>
    <w:p w:rsidR="009F6265" w:rsidRPr="00D0753E" w:rsidRDefault="009F6265" w:rsidP="009F6265">
      <w:pPr>
        <w:bidi/>
        <w:spacing w:after="0" w:line="360" w:lineRule="auto"/>
        <w:jc w:val="lowKashida"/>
        <w:rPr>
          <w:rFonts w:ascii="Simplified Arabic" w:eastAsia="Times New Roman" w:hAnsi="Simplified Arabic" w:cs="Simplified Arabic"/>
          <w:sz w:val="32"/>
          <w:szCs w:val="32"/>
          <w:rtl/>
          <w:lang w:eastAsia="fr-FR" w:bidi="ar-MA"/>
        </w:rPr>
      </w:pPr>
      <w:r w:rsidRPr="00D0753E">
        <w:rPr>
          <w:rFonts w:ascii="Simplified Arabic" w:eastAsia="Times New Roman" w:hAnsi="Simplified Arabic" w:cs="Simplified Arabic"/>
          <w:sz w:val="32"/>
          <w:szCs w:val="32"/>
          <w:rtl/>
          <w:lang w:eastAsia="fr-FR" w:bidi="ar-MA"/>
        </w:rPr>
        <w:t> </w:t>
      </w:r>
    </w:p>
    <w:p w:rsidR="009F6265" w:rsidRPr="00D0753E" w:rsidRDefault="009F6265" w:rsidP="009F6265">
      <w:pPr>
        <w:bidi/>
        <w:spacing w:after="0" w:line="360" w:lineRule="auto"/>
        <w:jc w:val="lowKashida"/>
        <w:rPr>
          <w:rFonts w:ascii="Simplified Arabic" w:eastAsia="Times New Roman" w:hAnsi="Simplified Arabic" w:cs="Simplified Arabic"/>
          <w:sz w:val="32"/>
          <w:szCs w:val="32"/>
          <w:rtl/>
          <w:lang w:eastAsia="fr-FR" w:bidi="ar-MA"/>
        </w:rPr>
      </w:pPr>
    </w:p>
    <w:p w:rsidR="009F6265" w:rsidRPr="00D0753E" w:rsidRDefault="009F6265" w:rsidP="009F6265">
      <w:pPr>
        <w:bidi/>
        <w:spacing w:after="0" w:line="360" w:lineRule="auto"/>
        <w:jc w:val="lowKashida"/>
        <w:rPr>
          <w:rFonts w:ascii="Simplified Arabic" w:eastAsia="Times New Roman" w:hAnsi="Simplified Arabic" w:cs="Simplified Arabic"/>
          <w:sz w:val="32"/>
          <w:szCs w:val="32"/>
          <w:rtl/>
          <w:lang w:eastAsia="fr-FR" w:bidi="ar-MA"/>
        </w:rPr>
      </w:pPr>
    </w:p>
    <w:p w:rsidR="009F6265" w:rsidRPr="00D0753E" w:rsidRDefault="009F6265" w:rsidP="009F6265">
      <w:pPr>
        <w:bidi/>
        <w:spacing w:after="0" w:line="360" w:lineRule="auto"/>
        <w:jc w:val="lowKashida"/>
        <w:rPr>
          <w:rFonts w:ascii="Simplified Arabic" w:eastAsia="Times New Roman" w:hAnsi="Simplified Arabic" w:cs="Simplified Arabic"/>
          <w:sz w:val="32"/>
          <w:szCs w:val="32"/>
          <w:rtl/>
          <w:lang w:eastAsia="fr-FR" w:bidi="ar-MA"/>
        </w:rPr>
      </w:pPr>
    </w:p>
    <w:p w:rsidR="009F6265" w:rsidRPr="00D0753E" w:rsidRDefault="009F6265" w:rsidP="009F6265">
      <w:pPr>
        <w:bidi/>
        <w:spacing w:after="0" w:line="360" w:lineRule="auto"/>
        <w:jc w:val="lowKashida"/>
        <w:rPr>
          <w:rFonts w:ascii="Simplified Arabic" w:eastAsia="Times New Roman" w:hAnsi="Simplified Arabic" w:cs="Simplified Arabic"/>
          <w:sz w:val="32"/>
          <w:szCs w:val="32"/>
          <w:rtl/>
          <w:lang w:eastAsia="fr-FR" w:bidi="ar-MA"/>
        </w:rPr>
      </w:pPr>
    </w:p>
    <w:p w:rsidR="009F6265" w:rsidRPr="00D0753E" w:rsidRDefault="009F6265" w:rsidP="009F6265">
      <w:pPr>
        <w:bidi/>
        <w:spacing w:after="0" w:line="360" w:lineRule="auto"/>
        <w:jc w:val="lowKashida"/>
        <w:rPr>
          <w:rFonts w:ascii="Simplified Arabic" w:eastAsia="Times New Roman" w:hAnsi="Simplified Arabic" w:cs="Simplified Arabic"/>
          <w:sz w:val="32"/>
          <w:szCs w:val="32"/>
          <w:rtl/>
          <w:lang w:eastAsia="fr-FR" w:bidi="ar-MA"/>
        </w:rPr>
      </w:pPr>
    </w:p>
    <w:p w:rsidR="009F6265" w:rsidRPr="00D0753E" w:rsidRDefault="009F6265" w:rsidP="009F6265">
      <w:pPr>
        <w:bidi/>
        <w:spacing w:after="0" w:line="360" w:lineRule="auto"/>
        <w:jc w:val="lowKashida"/>
        <w:rPr>
          <w:rFonts w:ascii="Simplified Arabic" w:eastAsia="Times New Roman" w:hAnsi="Simplified Arabic" w:cs="Simplified Arabic"/>
          <w:sz w:val="32"/>
          <w:szCs w:val="32"/>
          <w:rtl/>
          <w:lang w:eastAsia="fr-FR" w:bidi="ar-MA"/>
        </w:rPr>
      </w:pPr>
    </w:p>
    <w:p w:rsidR="009F6265" w:rsidRPr="00D0753E" w:rsidRDefault="009F6265" w:rsidP="009F6265">
      <w:pPr>
        <w:bidi/>
        <w:spacing w:after="0" w:line="360" w:lineRule="auto"/>
        <w:jc w:val="lowKashida"/>
        <w:rPr>
          <w:rFonts w:ascii="Simplified Arabic" w:eastAsia="Times New Roman" w:hAnsi="Simplified Arabic" w:cs="Simplified Arabic"/>
          <w:sz w:val="32"/>
          <w:szCs w:val="32"/>
          <w:rtl/>
          <w:lang w:eastAsia="fr-FR" w:bidi="ar-MA"/>
        </w:rPr>
      </w:pPr>
    </w:p>
    <w:p w:rsidR="009F6265" w:rsidRPr="00D0753E" w:rsidRDefault="009F6265" w:rsidP="009F6265">
      <w:pPr>
        <w:bidi/>
        <w:spacing w:after="0" w:line="360" w:lineRule="auto"/>
        <w:jc w:val="lowKashida"/>
        <w:rPr>
          <w:rFonts w:ascii="Simplified Arabic" w:eastAsia="Times New Roman" w:hAnsi="Simplified Arabic" w:cs="Simplified Arabic"/>
          <w:sz w:val="32"/>
          <w:szCs w:val="32"/>
          <w:rtl/>
          <w:lang w:eastAsia="fr-FR" w:bidi="ar-MA"/>
        </w:rPr>
      </w:pPr>
    </w:p>
    <w:p w:rsidR="009F6265" w:rsidRPr="00D0753E" w:rsidRDefault="009F6265" w:rsidP="009F6265">
      <w:pPr>
        <w:bidi/>
        <w:spacing w:after="0" w:line="360" w:lineRule="auto"/>
        <w:jc w:val="lowKashida"/>
        <w:rPr>
          <w:rFonts w:ascii="Simplified Arabic" w:eastAsia="Times New Roman" w:hAnsi="Simplified Arabic" w:cs="Simplified Arabic"/>
          <w:sz w:val="32"/>
          <w:szCs w:val="32"/>
          <w:rtl/>
          <w:lang w:eastAsia="fr-FR" w:bidi="ar-MA"/>
        </w:rPr>
      </w:pPr>
    </w:p>
    <w:p w:rsidR="009F6265" w:rsidRPr="00D0753E" w:rsidRDefault="009F6265" w:rsidP="009F6265">
      <w:pPr>
        <w:bidi/>
        <w:spacing w:after="0" w:line="360" w:lineRule="auto"/>
        <w:jc w:val="lowKashida"/>
        <w:rPr>
          <w:rFonts w:ascii="Simplified Arabic" w:eastAsia="Times New Roman" w:hAnsi="Simplified Arabic" w:cs="Simplified Arabic"/>
          <w:sz w:val="32"/>
          <w:szCs w:val="32"/>
          <w:rtl/>
          <w:lang w:eastAsia="fr-FR" w:bidi="ar-MA"/>
        </w:rPr>
      </w:pPr>
    </w:p>
    <w:p w:rsidR="009F6265" w:rsidRPr="00D0753E" w:rsidRDefault="009F6265" w:rsidP="009F6265">
      <w:pPr>
        <w:bidi/>
        <w:spacing w:after="0" w:line="360" w:lineRule="auto"/>
        <w:jc w:val="lowKashida"/>
        <w:rPr>
          <w:rFonts w:ascii="Simplified Arabic" w:eastAsia="Times New Roman" w:hAnsi="Simplified Arabic" w:cs="Simplified Arabic"/>
          <w:sz w:val="32"/>
          <w:szCs w:val="32"/>
          <w:rtl/>
          <w:lang w:eastAsia="fr-FR"/>
        </w:rPr>
      </w:pPr>
    </w:p>
    <w:p w:rsidR="009F6265" w:rsidRPr="00D0753E" w:rsidRDefault="009F6265" w:rsidP="009F6265">
      <w:pPr>
        <w:bidi/>
        <w:spacing w:after="0" w:line="360" w:lineRule="auto"/>
        <w:jc w:val="lowKashida"/>
        <w:rPr>
          <w:rFonts w:ascii="Simplified Arabic" w:eastAsia="Times New Roman" w:hAnsi="Simplified Arabic" w:cs="Simplified Arabic"/>
          <w:b/>
          <w:bCs/>
          <w:sz w:val="40"/>
          <w:szCs w:val="40"/>
          <w:rtl/>
          <w:lang w:eastAsia="fr-FR"/>
        </w:rPr>
      </w:pPr>
      <w:r w:rsidRPr="00D0753E">
        <w:rPr>
          <w:rFonts w:ascii="Simplified Arabic" w:eastAsia="Times New Roman" w:hAnsi="Simplified Arabic" w:cs="Simplified Arabic"/>
          <w:b/>
          <w:bCs/>
          <w:sz w:val="40"/>
          <w:szCs w:val="40"/>
          <w:rtl/>
          <w:lang w:eastAsia="fr-FR" w:bidi="ar-MA"/>
        </w:rPr>
        <w:t>خاتمـــــة:</w:t>
      </w:r>
    </w:p>
    <w:p w:rsidR="009F6265" w:rsidRPr="00D0753E" w:rsidRDefault="009F6265" w:rsidP="009F6265">
      <w:pPr>
        <w:bidi/>
        <w:spacing w:after="0" w:line="360" w:lineRule="auto"/>
        <w:ind w:firstLine="708"/>
        <w:jc w:val="lowKashida"/>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lang w:eastAsia="fr-FR"/>
        </w:rPr>
        <w:t xml:space="preserve">       </w:t>
      </w:r>
    </w:p>
    <w:p w:rsidR="009F6265" w:rsidRPr="00D0753E" w:rsidRDefault="009F6265" w:rsidP="009F6265">
      <w:pPr>
        <w:bidi/>
        <w:spacing w:after="0" w:line="360" w:lineRule="auto"/>
        <w:jc w:val="lowKashida"/>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 xml:space="preserve">وعلى الرغم من سلبيات المنهج الموضوعاتي في التعامل مع النص الأدبي، فإنه منهج ناجع في التعامل مع النصوص الإبداعية من خلال منطلق التخييل الشاعري الذاتي أو اعتمادا </w:t>
      </w:r>
      <w:r w:rsidRPr="00D0753E">
        <w:rPr>
          <w:rFonts w:ascii="Simplified Arabic" w:eastAsia="Times New Roman" w:hAnsi="Simplified Arabic" w:cs="Simplified Arabic"/>
          <w:sz w:val="32"/>
          <w:szCs w:val="32"/>
          <w:rtl/>
          <w:lang w:eastAsia="fr-FR" w:bidi="ar-MA"/>
        </w:rPr>
        <w:lastRenderedPageBreak/>
        <w:t xml:space="preserve">على التحليل الوصفي الموضوعي قصد الوصول إلى الفكرة المهيمنة أو الرسالة المحورية التي تشكل نسيج النص الأدبي، بعد أن يتم رصدها دلاليا ومعجميا ولسانيا وبلاغيا عبر وضع جداول معجمية وإحصائية بناء على سياقاتها النصية والذهنية. </w:t>
      </w:r>
    </w:p>
    <w:p w:rsidR="009F6265" w:rsidRPr="00D0753E" w:rsidRDefault="009F6265" w:rsidP="009F6265">
      <w:pPr>
        <w:bidi/>
        <w:spacing w:after="0" w:line="360" w:lineRule="auto"/>
        <w:jc w:val="lowKashida"/>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 xml:space="preserve">كما يستكشف عبر هذه المقاربة التأويلية المنفتحة المرنة كل العلامات اللغوية الصادرة عن وعي </w:t>
      </w:r>
      <w:r w:rsidRPr="00D0753E">
        <w:rPr>
          <w:rFonts w:ascii="Simplified Arabic" w:eastAsia="Times New Roman" w:hAnsi="Simplified Arabic" w:cs="Simplified Arabic" w:hint="cs"/>
          <w:sz w:val="32"/>
          <w:szCs w:val="32"/>
          <w:rtl/>
          <w:lang w:eastAsia="fr-FR" w:bidi="ar-MA"/>
        </w:rPr>
        <w:t>المبدع أو</w:t>
      </w:r>
      <w:r w:rsidRPr="00D0753E">
        <w:rPr>
          <w:rFonts w:ascii="Simplified Arabic" w:eastAsia="Times New Roman" w:hAnsi="Simplified Arabic" w:cs="Simplified Arabic"/>
          <w:sz w:val="32"/>
          <w:szCs w:val="32"/>
          <w:rtl/>
          <w:lang w:eastAsia="fr-FR" w:bidi="ar-MA"/>
        </w:rPr>
        <w:t>لاوعيه المترسب لتحديد صورة الرؤية الدلالية والتعبيرية لربطها بحياة المبدع وواقعه الشخصي والبيوغرافي لمعرفة تصوره إلى الحياة والوجود والإنسان في شكل مقولات تيماتية محورية وموضوعات بارزة.</w:t>
      </w:r>
    </w:p>
    <w:p w:rsidR="009F6265" w:rsidRPr="00D0753E" w:rsidRDefault="009F6265" w:rsidP="009F6265">
      <w:pPr>
        <w:bidi/>
        <w:spacing w:after="0" w:line="360" w:lineRule="auto"/>
        <w:jc w:val="lowKashida"/>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 xml:space="preserve">ولكن يبقى المنهج التكاملي في اعتقادنا نموذجا نقديا مثاليا يجمع حسنات كل المناهج النقدية والمقاربات </w:t>
      </w:r>
      <w:r w:rsidRPr="00D0753E">
        <w:rPr>
          <w:rFonts w:ascii="Simplified Arabic" w:eastAsia="Times New Roman" w:hAnsi="Simplified Arabic" w:cs="Simplified Arabic" w:hint="cs"/>
          <w:sz w:val="32"/>
          <w:szCs w:val="32"/>
          <w:rtl/>
          <w:lang w:eastAsia="fr-FR" w:bidi="ar-MA"/>
        </w:rPr>
        <w:t>الوصفية، وينصب</w:t>
      </w:r>
      <w:r w:rsidRPr="00D0753E">
        <w:rPr>
          <w:rFonts w:ascii="Simplified Arabic" w:eastAsia="Times New Roman" w:hAnsi="Simplified Arabic" w:cs="Simplified Arabic"/>
          <w:sz w:val="32"/>
          <w:szCs w:val="32"/>
          <w:rtl/>
          <w:lang w:eastAsia="fr-FR" w:bidi="ar-MA"/>
        </w:rPr>
        <w:t xml:space="preserve"> اهتمامه على كل العناصر البنيوية التي تشكل النص الإبداعي سواء من الداخل أم من الخارج. </w:t>
      </w:r>
    </w:p>
    <w:p w:rsidR="009F6265" w:rsidRPr="00D0753E" w:rsidRDefault="009F6265" w:rsidP="009F6265">
      <w:pPr>
        <w:bidi/>
        <w:spacing w:after="0" w:line="360" w:lineRule="auto"/>
        <w:jc w:val="lowKashida"/>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 </w:t>
      </w:r>
    </w:p>
    <w:p w:rsidR="009F6265" w:rsidRPr="00D0753E" w:rsidRDefault="009F6265" w:rsidP="009F6265">
      <w:pPr>
        <w:pStyle w:val="Paragraphedeliste"/>
        <w:bidi/>
        <w:spacing w:line="360" w:lineRule="auto"/>
        <w:jc w:val="center"/>
        <w:rPr>
          <w:rFonts w:ascii="Arabic Typesetting" w:hAnsi="Arabic Typesetting" w:cs="Arabic Typesetting"/>
          <w:sz w:val="96"/>
          <w:szCs w:val="96"/>
          <w:rtl/>
        </w:rPr>
      </w:pPr>
    </w:p>
    <w:p w:rsidR="009F6265" w:rsidRDefault="009F6265" w:rsidP="009F6265">
      <w:pPr>
        <w:pStyle w:val="Paragraphedeliste"/>
        <w:bidi/>
        <w:spacing w:line="360" w:lineRule="auto"/>
        <w:jc w:val="center"/>
        <w:rPr>
          <w:rFonts w:ascii="Arabic Typesetting" w:hAnsi="Arabic Typesetting" w:cs="Arabic Typesetting"/>
          <w:sz w:val="96"/>
          <w:szCs w:val="96"/>
          <w:rtl/>
        </w:rPr>
      </w:pPr>
    </w:p>
    <w:p w:rsidR="009F6265" w:rsidRDefault="009F6265" w:rsidP="009F6265">
      <w:pPr>
        <w:pStyle w:val="Paragraphedeliste"/>
        <w:bidi/>
        <w:spacing w:line="360" w:lineRule="auto"/>
        <w:jc w:val="center"/>
        <w:rPr>
          <w:rFonts w:ascii="Arabic Typesetting" w:hAnsi="Arabic Typesetting" w:cs="Arabic Typesetting"/>
          <w:sz w:val="96"/>
          <w:szCs w:val="96"/>
          <w:rtl/>
        </w:rPr>
      </w:pPr>
    </w:p>
    <w:p w:rsidR="009F6265" w:rsidRDefault="009F6265" w:rsidP="009F6265">
      <w:pPr>
        <w:pStyle w:val="Paragraphedeliste"/>
        <w:bidi/>
        <w:spacing w:line="360" w:lineRule="auto"/>
        <w:jc w:val="center"/>
        <w:rPr>
          <w:rFonts w:ascii="Arabic Typesetting" w:hAnsi="Arabic Typesetting" w:cs="Arabic Typesetting"/>
          <w:sz w:val="96"/>
          <w:szCs w:val="96"/>
          <w:rtl/>
        </w:rPr>
      </w:pPr>
    </w:p>
    <w:p w:rsidR="009F6265" w:rsidRDefault="009F6265" w:rsidP="009F6265">
      <w:pPr>
        <w:pStyle w:val="Paragraphedeliste"/>
        <w:bidi/>
        <w:spacing w:line="360" w:lineRule="auto"/>
        <w:jc w:val="center"/>
        <w:rPr>
          <w:rFonts w:ascii="Arabic Typesetting" w:hAnsi="Arabic Typesetting" w:cs="Arabic Typesetting"/>
          <w:sz w:val="96"/>
          <w:szCs w:val="96"/>
          <w:rtl/>
        </w:rPr>
      </w:pPr>
    </w:p>
    <w:p w:rsidR="00021E26" w:rsidRDefault="00021E26">
      <w:bookmarkStart w:id="2" w:name="_GoBack"/>
      <w:bookmarkEnd w:id="2"/>
    </w:p>
    <w:sectPr w:rsidR="00021E2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6265" w:rsidRDefault="009F6265" w:rsidP="009F6265">
      <w:pPr>
        <w:spacing w:after="0" w:line="240" w:lineRule="auto"/>
      </w:pPr>
      <w:r>
        <w:separator/>
      </w:r>
    </w:p>
  </w:endnote>
  <w:endnote w:type="continuationSeparator" w:id="0">
    <w:p w:rsidR="009F6265" w:rsidRDefault="009F6265" w:rsidP="009F62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abic Typesetting">
    <w:panose1 w:val="03020402040406030203"/>
    <w:charset w:val="00"/>
    <w:family w:val="script"/>
    <w:pitch w:val="variable"/>
    <w:sig w:usb0="80002007" w:usb1="80000000" w:usb2="00000008" w:usb3="00000000" w:csb0="000000D3"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6265" w:rsidRDefault="009F6265" w:rsidP="009F6265">
      <w:pPr>
        <w:spacing w:after="0" w:line="240" w:lineRule="auto"/>
      </w:pPr>
      <w:r>
        <w:separator/>
      </w:r>
    </w:p>
  </w:footnote>
  <w:footnote w:type="continuationSeparator" w:id="0">
    <w:p w:rsidR="009F6265" w:rsidRDefault="009F6265" w:rsidP="009F6265">
      <w:pPr>
        <w:spacing w:after="0" w:line="240" w:lineRule="auto"/>
      </w:pPr>
      <w:r>
        <w:continuationSeparator/>
      </w:r>
    </w:p>
  </w:footnote>
  <w:footnote w:id="1">
    <w:p w:rsidR="009F6265" w:rsidRPr="00CC3063" w:rsidRDefault="009F6265" w:rsidP="009F6265">
      <w:pPr>
        <w:pStyle w:val="Paragraphedeliste"/>
        <w:bidi/>
        <w:spacing w:after="0" w:line="240" w:lineRule="auto"/>
        <w:ind w:left="424"/>
        <w:rPr>
          <w:rFonts w:ascii="Simplified Arabic" w:hAnsi="Simplified Arabic" w:cs="Simplified Arabic"/>
          <w:sz w:val="24"/>
          <w:szCs w:val="24"/>
          <w:rtl/>
          <w:lang w:bidi="ar-DZ"/>
        </w:rPr>
      </w:pPr>
      <w:r w:rsidRPr="00265E98">
        <w:rPr>
          <w:rStyle w:val="Appelnotedebasdep"/>
          <w:sz w:val="24"/>
          <w:szCs w:val="24"/>
        </w:rPr>
        <w:footnoteRef/>
      </w:r>
      <w:r w:rsidRPr="00CC3063">
        <w:rPr>
          <w:rFonts w:ascii="Simplified Arabic" w:eastAsia="Times New Roman" w:hAnsi="Simplified Arabic" w:cs="Simplified Arabic"/>
          <w:color w:val="000080"/>
          <w:sz w:val="28"/>
          <w:szCs w:val="28"/>
          <w:rtl/>
          <w:lang w:eastAsia="fr-FR" w:bidi="ar-MA"/>
        </w:rPr>
        <w:t>جوزيف شريم: ( الاتجاهات النقدية والنفسانية )، مجلة الفكر العربي المعاصر، العدد:18-19 ، بيروت،  لبنان، سنة 1984م</w:t>
      </w:r>
      <w:r w:rsidRPr="00CC3063">
        <w:rPr>
          <w:rFonts w:ascii="Simplified Arabic" w:hAnsi="Simplified Arabic" w:cs="Simplified Arabic"/>
          <w:sz w:val="24"/>
          <w:szCs w:val="24"/>
          <w:lang w:bidi="ar-DZ"/>
        </w:rPr>
        <w:t>.</w:t>
      </w:r>
    </w:p>
    <w:p w:rsidR="009F6265" w:rsidRPr="00CC3063" w:rsidRDefault="009F6265" w:rsidP="009F6265">
      <w:pPr>
        <w:pStyle w:val="Paragraphedeliste"/>
        <w:bidi/>
        <w:spacing w:after="0" w:line="240" w:lineRule="auto"/>
        <w:rPr>
          <w:sz w:val="14"/>
          <w:szCs w:val="14"/>
          <w:lang w:bidi="ar-DZ"/>
        </w:rPr>
      </w:pPr>
    </w:p>
  </w:footnote>
  <w:footnote w:id="2">
    <w:p w:rsidR="009F6265" w:rsidRPr="00CC3063" w:rsidRDefault="009F6265" w:rsidP="009F6265">
      <w:pPr>
        <w:pStyle w:val="Paragraphedeliste"/>
        <w:bidi/>
        <w:spacing w:after="0" w:line="240" w:lineRule="auto"/>
        <w:ind w:left="424"/>
        <w:rPr>
          <w:rFonts w:ascii="Simplified Arabic" w:hAnsi="Simplified Arabic" w:cs="Simplified Arabic"/>
          <w:sz w:val="24"/>
          <w:szCs w:val="24"/>
          <w:rtl/>
          <w:lang w:bidi="ar-DZ"/>
        </w:rPr>
      </w:pPr>
      <w:r w:rsidRPr="00265E98">
        <w:rPr>
          <w:rStyle w:val="Appelnotedebasdep"/>
          <w:sz w:val="24"/>
          <w:szCs w:val="24"/>
        </w:rPr>
        <w:footnoteRef/>
      </w:r>
      <w:r w:rsidRPr="00CC3063">
        <w:rPr>
          <w:rFonts w:ascii="Simplified Arabic" w:eastAsia="Times New Roman" w:hAnsi="Simplified Arabic" w:cs="Simplified Arabic"/>
          <w:color w:val="000080"/>
          <w:sz w:val="28"/>
          <w:szCs w:val="28"/>
          <w:rtl/>
          <w:lang w:eastAsia="fr-FR" w:bidi="ar-MA"/>
        </w:rPr>
        <w:t>حميد الحمداني: سحر الموضوع، منشورات دراسات سال، ط1، 1990م</w:t>
      </w:r>
    </w:p>
    <w:p w:rsidR="009F6265" w:rsidRPr="00CC3063" w:rsidRDefault="009F6265" w:rsidP="009F6265">
      <w:pPr>
        <w:pStyle w:val="Paragraphedeliste"/>
        <w:bidi/>
        <w:spacing w:after="0" w:line="240" w:lineRule="auto"/>
        <w:rPr>
          <w:sz w:val="14"/>
          <w:szCs w:val="14"/>
          <w:lang w:bidi="ar-DZ"/>
        </w:rPr>
      </w:pPr>
    </w:p>
  </w:footnote>
  <w:footnote w:id="3">
    <w:p w:rsidR="009F6265" w:rsidRPr="00A30D9E" w:rsidRDefault="009F6265" w:rsidP="009F6265">
      <w:pPr>
        <w:bidi/>
        <w:spacing w:after="0" w:line="240" w:lineRule="auto"/>
        <w:jc w:val="lowKashida"/>
        <w:rPr>
          <w:rFonts w:ascii="Simplified Arabic" w:eastAsia="Times New Roman" w:hAnsi="Simplified Arabic" w:cs="Simplified Arabic"/>
          <w:color w:val="FFF3E3"/>
          <w:sz w:val="28"/>
          <w:szCs w:val="28"/>
          <w:rtl/>
          <w:lang w:eastAsia="fr-FR"/>
        </w:rPr>
      </w:pPr>
      <w:r w:rsidRPr="00265E98">
        <w:rPr>
          <w:rStyle w:val="Appelnotedebasdep"/>
          <w:sz w:val="24"/>
          <w:szCs w:val="24"/>
        </w:rPr>
        <w:footnoteRef/>
      </w:r>
      <w:r w:rsidRPr="00A30D9E">
        <w:rPr>
          <w:rFonts w:ascii="Simplified Arabic" w:eastAsia="Times New Roman" w:hAnsi="Simplified Arabic" w:cs="Simplified Arabic"/>
          <w:color w:val="000080"/>
          <w:sz w:val="28"/>
          <w:szCs w:val="28"/>
          <w:rtl/>
          <w:lang w:eastAsia="fr-FR" w:bidi="ar-MA"/>
        </w:rPr>
        <w:t>حسن المنيعي</w:t>
      </w:r>
      <w:r>
        <w:rPr>
          <w:rFonts w:ascii="Simplified Arabic" w:eastAsia="Times New Roman" w:hAnsi="Simplified Arabic" w:cs="Simplified Arabic" w:hint="cs"/>
          <w:color w:val="000080"/>
          <w:sz w:val="28"/>
          <w:szCs w:val="28"/>
          <w:rtl/>
          <w:lang w:eastAsia="fr-FR" w:bidi="ar-MA"/>
        </w:rPr>
        <w:t>،</w:t>
      </w:r>
      <w:r w:rsidRPr="00A30D9E">
        <w:rPr>
          <w:rFonts w:ascii="Simplified Arabic" w:eastAsia="Times New Roman" w:hAnsi="Simplified Arabic" w:cs="Simplified Arabic"/>
          <w:color w:val="000080"/>
          <w:sz w:val="28"/>
          <w:szCs w:val="28"/>
          <w:rtl/>
          <w:lang w:eastAsia="fr-FR" w:bidi="ar-MA"/>
        </w:rPr>
        <w:t xml:space="preserve"> نفحات عن الأدب والفن، دار الآفاق الجديدة، بيروت، لبنان،  ط1،1981م؛</w:t>
      </w:r>
    </w:p>
    <w:p w:rsidR="009F6265" w:rsidRPr="00A30D9E" w:rsidRDefault="009F6265" w:rsidP="009F6265">
      <w:pPr>
        <w:pStyle w:val="Paragraphedeliste"/>
        <w:bidi/>
        <w:spacing w:after="0" w:line="240" w:lineRule="auto"/>
        <w:ind w:left="424"/>
        <w:rPr>
          <w:sz w:val="12"/>
          <w:szCs w:val="12"/>
        </w:rPr>
      </w:pPr>
    </w:p>
  </w:footnote>
  <w:footnote w:id="4">
    <w:p w:rsidR="009F6265" w:rsidRPr="00A30D9E" w:rsidRDefault="009F6265" w:rsidP="009F6265">
      <w:pPr>
        <w:bidi/>
        <w:spacing w:after="0" w:line="240" w:lineRule="auto"/>
        <w:jc w:val="lowKashida"/>
        <w:rPr>
          <w:rFonts w:ascii="Simplified Arabic" w:eastAsia="Times New Roman" w:hAnsi="Simplified Arabic" w:cs="Simplified Arabic"/>
          <w:color w:val="FFF3E3"/>
          <w:sz w:val="28"/>
          <w:szCs w:val="28"/>
          <w:rtl/>
          <w:lang w:eastAsia="fr-FR"/>
        </w:rPr>
      </w:pPr>
      <w:r w:rsidRPr="00265E98">
        <w:rPr>
          <w:rStyle w:val="Appelnotedebasdep"/>
          <w:sz w:val="24"/>
          <w:szCs w:val="24"/>
        </w:rPr>
        <w:footnoteRef/>
      </w:r>
      <w:r w:rsidRPr="00A30D9E">
        <w:rPr>
          <w:rFonts w:ascii="Simplified Arabic" w:eastAsia="Times New Roman" w:hAnsi="Simplified Arabic" w:cs="Simplified Arabic"/>
          <w:color w:val="000080"/>
          <w:sz w:val="32"/>
          <w:szCs w:val="32"/>
          <w:rtl/>
          <w:lang w:eastAsia="fr-FR" w:bidi="ar-MA"/>
        </w:rPr>
        <w:t>روبرت ماجليولا</w:t>
      </w:r>
      <w:r>
        <w:rPr>
          <w:rFonts w:ascii="Simplified Arabic" w:eastAsia="Times New Roman" w:hAnsi="Simplified Arabic" w:cs="Simplified Arabic" w:hint="cs"/>
          <w:color w:val="000080"/>
          <w:sz w:val="32"/>
          <w:szCs w:val="32"/>
          <w:rtl/>
          <w:lang w:eastAsia="fr-FR" w:bidi="ar-MA"/>
        </w:rPr>
        <w:t>،</w:t>
      </w:r>
      <w:r w:rsidRPr="00A30D9E">
        <w:rPr>
          <w:rFonts w:ascii="Simplified Arabic" w:eastAsia="Times New Roman" w:hAnsi="Simplified Arabic" w:cs="Simplified Arabic"/>
          <w:color w:val="000080"/>
          <w:sz w:val="32"/>
          <w:szCs w:val="32"/>
          <w:rtl/>
          <w:lang w:eastAsia="fr-FR" w:bidi="ar-MA"/>
        </w:rPr>
        <w:t xml:space="preserve"> التناول الظاهري للأدب: </w:t>
      </w:r>
      <w:r w:rsidRPr="00A30D9E">
        <w:rPr>
          <w:rFonts w:ascii="Simplified Arabic" w:eastAsia="Times New Roman" w:hAnsi="Simplified Arabic" w:cs="Simplified Arabic" w:hint="cs"/>
          <w:color w:val="000080"/>
          <w:sz w:val="32"/>
          <w:szCs w:val="32"/>
          <w:rtl/>
          <w:lang w:eastAsia="fr-FR" w:bidi="ar-MA"/>
        </w:rPr>
        <w:t>نظريته،</w:t>
      </w:r>
      <w:r w:rsidRPr="00A30D9E">
        <w:rPr>
          <w:rFonts w:ascii="Simplified Arabic" w:eastAsia="Times New Roman" w:hAnsi="Simplified Arabic" w:cs="Simplified Arabic"/>
          <w:color w:val="000080"/>
          <w:sz w:val="32"/>
          <w:szCs w:val="32"/>
          <w:rtl/>
          <w:lang w:eastAsia="fr-FR" w:bidi="ar-MA"/>
        </w:rPr>
        <w:t xml:space="preserve"> مناهجه، ترجمة: عبد الفتاح الديدي، مجلة فصول المصرية، العدد:3</w:t>
      </w:r>
    </w:p>
    <w:p w:rsidR="009F6265" w:rsidRPr="00A30D9E" w:rsidRDefault="009F6265" w:rsidP="009F6265">
      <w:pPr>
        <w:pStyle w:val="Paragraphedeliste"/>
        <w:bidi/>
        <w:spacing w:after="0" w:line="240" w:lineRule="auto"/>
        <w:ind w:left="424"/>
        <w:rPr>
          <w:sz w:val="12"/>
          <w:szCs w:val="12"/>
        </w:rPr>
      </w:pPr>
    </w:p>
  </w:footnote>
  <w:footnote w:id="5">
    <w:p w:rsidR="009F6265" w:rsidRPr="00A30D9E" w:rsidRDefault="009F6265" w:rsidP="009F6265">
      <w:pPr>
        <w:bidi/>
        <w:spacing w:after="0" w:line="240" w:lineRule="auto"/>
        <w:jc w:val="lowKashida"/>
        <w:rPr>
          <w:rFonts w:ascii="Simplified Arabic" w:eastAsia="Times New Roman" w:hAnsi="Simplified Arabic" w:cs="Simplified Arabic"/>
          <w:color w:val="FFF3E3"/>
          <w:sz w:val="28"/>
          <w:szCs w:val="28"/>
          <w:rtl/>
          <w:lang w:eastAsia="fr-FR"/>
        </w:rPr>
      </w:pPr>
      <w:r w:rsidRPr="00265E98">
        <w:rPr>
          <w:rStyle w:val="Appelnotedebasdep"/>
          <w:sz w:val="24"/>
          <w:szCs w:val="24"/>
        </w:rPr>
        <w:footnoteRef/>
      </w:r>
      <w:r w:rsidRPr="002C1185">
        <w:rPr>
          <w:rFonts w:ascii="Simplified Arabic" w:eastAsia="Times New Roman" w:hAnsi="Simplified Arabic" w:cs="Simplified Arabic"/>
          <w:color w:val="000080"/>
          <w:sz w:val="32"/>
          <w:szCs w:val="32"/>
          <w:rtl/>
          <w:lang w:eastAsia="fr-FR" w:bidi="ar-MA"/>
        </w:rPr>
        <w:t>سعيد علوش</w:t>
      </w:r>
      <w:r>
        <w:rPr>
          <w:rFonts w:ascii="Simplified Arabic" w:eastAsia="Times New Roman" w:hAnsi="Simplified Arabic" w:cs="Simplified Arabic" w:hint="cs"/>
          <w:color w:val="000080"/>
          <w:sz w:val="32"/>
          <w:szCs w:val="32"/>
          <w:rtl/>
          <w:lang w:eastAsia="fr-FR" w:bidi="ar-MA"/>
        </w:rPr>
        <w:t>،</w:t>
      </w:r>
      <w:r w:rsidRPr="00A30D9E">
        <w:rPr>
          <w:rFonts w:ascii="Simplified Arabic" w:eastAsia="Times New Roman" w:hAnsi="Simplified Arabic" w:cs="Simplified Arabic"/>
          <w:color w:val="000080"/>
          <w:sz w:val="32"/>
          <w:szCs w:val="32"/>
          <w:rtl/>
          <w:lang w:eastAsia="fr-FR" w:bidi="ar-MA"/>
        </w:rPr>
        <w:t>النقد الموضوعاتي</w:t>
      </w:r>
      <w:r w:rsidRPr="002C1185">
        <w:rPr>
          <w:rFonts w:ascii="Simplified Arabic" w:eastAsia="Times New Roman" w:hAnsi="Simplified Arabic" w:cs="Simplified Arabic"/>
          <w:color w:val="000080"/>
          <w:sz w:val="32"/>
          <w:szCs w:val="32"/>
          <w:rtl/>
          <w:lang w:eastAsia="fr-FR" w:bidi="ar-MA"/>
        </w:rPr>
        <w:t>، شركة بابل للطباعة والنشر والتوزيع، الرباط، الطبعة الأولى سنة 1989م</w:t>
      </w:r>
      <w:r w:rsidRPr="00A30D9E">
        <w:rPr>
          <w:rFonts w:ascii="Simplified Arabic" w:eastAsia="Times New Roman" w:hAnsi="Simplified Arabic" w:cs="Simplified Arabic"/>
          <w:color w:val="000080"/>
          <w:sz w:val="32"/>
          <w:szCs w:val="32"/>
          <w:rtl/>
          <w:lang w:eastAsia="fr-FR" w:bidi="ar-MA"/>
        </w:rPr>
        <w:t xml:space="preserve"> 3</w:t>
      </w:r>
    </w:p>
    <w:p w:rsidR="009F6265" w:rsidRPr="00A30D9E" w:rsidRDefault="009F6265" w:rsidP="009F6265">
      <w:pPr>
        <w:pStyle w:val="Paragraphedeliste"/>
        <w:bidi/>
        <w:spacing w:after="0" w:line="240" w:lineRule="auto"/>
        <w:ind w:left="424"/>
        <w:rPr>
          <w:sz w:val="12"/>
          <w:szCs w:val="12"/>
        </w:rPr>
      </w:pPr>
    </w:p>
  </w:footnote>
  <w:footnote w:id="6">
    <w:p w:rsidR="009F6265" w:rsidRPr="002C1185" w:rsidRDefault="009F6265" w:rsidP="009F6265">
      <w:pPr>
        <w:bidi/>
        <w:spacing w:after="0" w:line="360" w:lineRule="auto"/>
        <w:jc w:val="both"/>
        <w:rPr>
          <w:rFonts w:ascii="Simplified Arabic" w:eastAsia="Times New Roman" w:hAnsi="Simplified Arabic" w:cs="Simplified Arabic"/>
          <w:color w:val="FFF3E3"/>
          <w:sz w:val="32"/>
          <w:szCs w:val="32"/>
          <w:rtl/>
          <w:lang w:eastAsia="fr-FR"/>
        </w:rPr>
      </w:pPr>
      <w:r w:rsidRPr="00265E98">
        <w:rPr>
          <w:rStyle w:val="Appelnotedebasdep"/>
          <w:sz w:val="24"/>
          <w:szCs w:val="24"/>
        </w:rPr>
        <w:footnoteRef/>
      </w:r>
      <w:r w:rsidRPr="002C1185">
        <w:rPr>
          <w:rFonts w:ascii="Simplified Arabic" w:eastAsia="Times New Roman" w:hAnsi="Simplified Arabic" w:cs="Simplified Arabic"/>
          <w:color w:val="000080"/>
          <w:sz w:val="32"/>
          <w:szCs w:val="32"/>
          <w:rtl/>
          <w:lang w:eastAsia="fr-FR" w:bidi="ar-MA"/>
        </w:rPr>
        <w:t xml:space="preserve">سعيد يقطين: </w:t>
      </w:r>
      <w:r w:rsidRPr="002C1185">
        <w:rPr>
          <w:rFonts w:ascii="Simplified Arabic" w:eastAsia="Times New Roman" w:hAnsi="Simplified Arabic" w:cs="Simplified Arabic"/>
          <w:color w:val="000080"/>
          <w:sz w:val="32"/>
          <w:szCs w:val="32"/>
          <w:u w:val="single"/>
          <w:rtl/>
          <w:lang w:eastAsia="fr-FR" w:bidi="ar-MA"/>
        </w:rPr>
        <w:t>القراءة والتجربة</w:t>
      </w:r>
      <w:r w:rsidRPr="002C1185">
        <w:rPr>
          <w:rFonts w:ascii="Simplified Arabic" w:eastAsia="Times New Roman" w:hAnsi="Simplified Arabic" w:cs="Simplified Arabic"/>
          <w:color w:val="000080"/>
          <w:sz w:val="32"/>
          <w:szCs w:val="32"/>
          <w:rtl/>
          <w:lang w:eastAsia="fr-FR" w:bidi="ar-MA"/>
        </w:rPr>
        <w:t xml:space="preserve">، دار الثقافة، الدار البيضاء، ط1، 1985م؛ </w:t>
      </w:r>
    </w:p>
    <w:p w:rsidR="009F6265" w:rsidRPr="00A30D9E" w:rsidRDefault="009F6265" w:rsidP="009F6265">
      <w:pPr>
        <w:bidi/>
        <w:spacing w:after="0" w:line="240" w:lineRule="auto"/>
        <w:jc w:val="lowKashida"/>
        <w:rPr>
          <w:rFonts w:ascii="Simplified Arabic" w:eastAsia="Times New Roman" w:hAnsi="Simplified Arabic" w:cs="Simplified Arabic"/>
          <w:color w:val="FFF3E3"/>
          <w:sz w:val="28"/>
          <w:szCs w:val="28"/>
          <w:rtl/>
          <w:lang w:eastAsia="fr-FR"/>
        </w:rPr>
      </w:pPr>
    </w:p>
    <w:p w:rsidR="009F6265" w:rsidRPr="00A30D9E" w:rsidRDefault="009F6265" w:rsidP="009F6265">
      <w:pPr>
        <w:pStyle w:val="Paragraphedeliste"/>
        <w:bidi/>
        <w:spacing w:after="0" w:line="240" w:lineRule="auto"/>
        <w:ind w:left="424"/>
        <w:rPr>
          <w:sz w:val="12"/>
          <w:szCs w:val="12"/>
        </w:rPr>
      </w:pPr>
    </w:p>
  </w:footnote>
  <w:footnote w:id="7">
    <w:p w:rsidR="009F6265" w:rsidRPr="00A30D9E" w:rsidRDefault="009F6265" w:rsidP="009F6265">
      <w:pPr>
        <w:bidi/>
        <w:spacing w:after="0" w:line="240" w:lineRule="auto"/>
        <w:jc w:val="both"/>
        <w:rPr>
          <w:rFonts w:ascii="Simplified Arabic" w:eastAsia="Times New Roman" w:hAnsi="Simplified Arabic" w:cs="Simplified Arabic"/>
          <w:color w:val="FFF3E3"/>
          <w:sz w:val="28"/>
          <w:szCs w:val="28"/>
          <w:rtl/>
          <w:lang w:eastAsia="fr-FR"/>
        </w:rPr>
      </w:pPr>
      <w:r w:rsidRPr="00265E98">
        <w:rPr>
          <w:rStyle w:val="Appelnotedebasdep"/>
          <w:sz w:val="24"/>
          <w:szCs w:val="24"/>
        </w:rPr>
        <w:footnoteRef/>
      </w:r>
      <w:r w:rsidRPr="00A30D9E">
        <w:rPr>
          <w:rFonts w:ascii="Simplified Arabic" w:eastAsia="Times New Roman" w:hAnsi="Simplified Arabic" w:cs="Simplified Arabic"/>
          <w:color w:val="000080"/>
          <w:sz w:val="28"/>
          <w:szCs w:val="28"/>
          <w:rtl/>
          <w:lang w:eastAsia="fr-FR" w:bidi="ar-MA"/>
        </w:rPr>
        <w:t>الشكلانيون الروس</w:t>
      </w:r>
      <w:r>
        <w:rPr>
          <w:rFonts w:ascii="Simplified Arabic" w:eastAsia="Times New Roman" w:hAnsi="Simplified Arabic" w:cs="Simplified Arabic" w:hint="cs"/>
          <w:color w:val="000080"/>
          <w:sz w:val="28"/>
          <w:szCs w:val="28"/>
          <w:rtl/>
          <w:lang w:eastAsia="fr-FR" w:bidi="ar-MA"/>
        </w:rPr>
        <w:t>،</w:t>
      </w:r>
      <w:r w:rsidRPr="00A30D9E">
        <w:rPr>
          <w:rFonts w:ascii="Simplified Arabic" w:eastAsia="Times New Roman" w:hAnsi="Simplified Arabic" w:cs="Simplified Arabic"/>
          <w:color w:val="000080"/>
          <w:sz w:val="28"/>
          <w:szCs w:val="28"/>
          <w:rtl/>
          <w:lang w:eastAsia="fr-FR" w:bidi="ar-MA"/>
        </w:rPr>
        <w:t xml:space="preserve"> نظرية المنهج الشكلي، ترجمة إبراهيم الخطيب ، الشركة المغربية للناشرين المتحدين، مؤسسة الأبحاث العربية، ط1،1982م؛ </w:t>
      </w:r>
    </w:p>
    <w:p w:rsidR="009F6265" w:rsidRPr="00A30D9E" w:rsidRDefault="009F6265" w:rsidP="009F6265">
      <w:pPr>
        <w:bidi/>
        <w:spacing w:after="0" w:line="360" w:lineRule="auto"/>
        <w:jc w:val="both"/>
        <w:rPr>
          <w:sz w:val="10"/>
          <w:szCs w:val="10"/>
        </w:rPr>
      </w:pPr>
    </w:p>
  </w:footnote>
  <w:footnote w:id="8">
    <w:p w:rsidR="009F6265" w:rsidRPr="00A30D9E" w:rsidRDefault="009F6265" w:rsidP="009F6265">
      <w:pPr>
        <w:bidi/>
        <w:spacing w:after="0" w:line="240" w:lineRule="auto"/>
        <w:jc w:val="both"/>
        <w:rPr>
          <w:rFonts w:ascii="Simplified Arabic" w:eastAsia="Times New Roman" w:hAnsi="Simplified Arabic" w:cs="Simplified Arabic"/>
          <w:color w:val="FFF3E3"/>
          <w:sz w:val="28"/>
          <w:szCs w:val="28"/>
          <w:rtl/>
          <w:lang w:eastAsia="fr-FR"/>
        </w:rPr>
      </w:pPr>
      <w:r w:rsidRPr="00265E98">
        <w:rPr>
          <w:rStyle w:val="Appelnotedebasdep"/>
          <w:sz w:val="24"/>
          <w:szCs w:val="24"/>
        </w:rPr>
        <w:footnoteRef/>
      </w:r>
      <w:r w:rsidRPr="002C1185">
        <w:rPr>
          <w:rFonts w:ascii="Simplified Arabic" w:eastAsia="Times New Roman" w:hAnsi="Simplified Arabic" w:cs="Simplified Arabic"/>
          <w:color w:val="000080"/>
          <w:sz w:val="32"/>
          <w:szCs w:val="32"/>
          <w:rtl/>
          <w:lang w:eastAsia="fr-FR" w:bidi="ar-MA"/>
        </w:rPr>
        <w:t>فؤاد أبو منصور</w:t>
      </w:r>
      <w:r>
        <w:rPr>
          <w:rFonts w:ascii="Simplified Arabic" w:eastAsia="Times New Roman" w:hAnsi="Simplified Arabic" w:cs="Simplified Arabic" w:hint="cs"/>
          <w:color w:val="000080"/>
          <w:sz w:val="32"/>
          <w:szCs w:val="32"/>
          <w:rtl/>
          <w:lang w:eastAsia="fr-FR" w:bidi="ar-MA"/>
        </w:rPr>
        <w:t>،</w:t>
      </w:r>
      <w:r w:rsidRPr="00E671C7">
        <w:rPr>
          <w:rFonts w:ascii="Simplified Arabic" w:eastAsia="Times New Roman" w:hAnsi="Simplified Arabic" w:cs="Simplified Arabic"/>
          <w:color w:val="000080"/>
          <w:sz w:val="32"/>
          <w:szCs w:val="32"/>
          <w:rtl/>
          <w:lang w:eastAsia="fr-FR" w:bidi="ar-MA"/>
        </w:rPr>
        <w:t>النقد البنيوي الحديث بين لبنان وأوربا</w:t>
      </w:r>
      <w:r w:rsidRPr="002C1185">
        <w:rPr>
          <w:rFonts w:ascii="Simplified Arabic" w:eastAsia="Times New Roman" w:hAnsi="Simplified Arabic" w:cs="Simplified Arabic"/>
          <w:color w:val="000080"/>
          <w:sz w:val="32"/>
          <w:szCs w:val="32"/>
          <w:rtl/>
          <w:lang w:eastAsia="fr-FR" w:bidi="ar-MA"/>
        </w:rPr>
        <w:t>، دار الجيل، بيروت ، لبنان، ط1، 1985م</w:t>
      </w:r>
      <w:r>
        <w:rPr>
          <w:rFonts w:ascii="Simplified Arabic" w:eastAsia="Times New Roman" w:hAnsi="Simplified Arabic" w:cs="Simplified Arabic" w:hint="cs"/>
          <w:color w:val="000080"/>
          <w:sz w:val="28"/>
          <w:szCs w:val="28"/>
          <w:rtl/>
          <w:lang w:eastAsia="fr-FR" w:bidi="ar-MA"/>
        </w:rPr>
        <w:t>.</w:t>
      </w:r>
    </w:p>
    <w:p w:rsidR="009F6265" w:rsidRPr="00A30D9E" w:rsidRDefault="009F6265" w:rsidP="009F6265">
      <w:pPr>
        <w:bidi/>
        <w:spacing w:after="0" w:line="240" w:lineRule="auto"/>
        <w:jc w:val="both"/>
        <w:rPr>
          <w:sz w:val="10"/>
          <w:szCs w:val="10"/>
        </w:rPr>
      </w:pPr>
    </w:p>
  </w:footnote>
  <w:footnote w:id="9">
    <w:p w:rsidR="009F6265" w:rsidRPr="00E671C7" w:rsidRDefault="009F6265" w:rsidP="009F6265">
      <w:pPr>
        <w:bidi/>
        <w:spacing w:after="0" w:line="240" w:lineRule="auto"/>
        <w:jc w:val="both"/>
        <w:rPr>
          <w:rFonts w:ascii="Simplified Arabic" w:eastAsia="Times New Roman" w:hAnsi="Simplified Arabic" w:cs="Simplified Arabic"/>
          <w:color w:val="FFF3E3"/>
          <w:sz w:val="28"/>
          <w:szCs w:val="28"/>
          <w:rtl/>
          <w:lang w:eastAsia="fr-FR"/>
        </w:rPr>
      </w:pPr>
      <w:r w:rsidRPr="00265E98">
        <w:rPr>
          <w:rStyle w:val="Appelnotedebasdep"/>
          <w:sz w:val="24"/>
          <w:szCs w:val="24"/>
        </w:rPr>
        <w:footnoteRef/>
      </w:r>
      <w:r w:rsidRPr="00E671C7">
        <w:rPr>
          <w:rFonts w:ascii="Simplified Arabic" w:eastAsia="Times New Roman" w:hAnsi="Simplified Arabic" w:cs="Simplified Arabic"/>
          <w:color w:val="000080"/>
          <w:sz w:val="28"/>
          <w:szCs w:val="28"/>
          <w:rtl/>
          <w:lang w:eastAsia="fr-FR" w:bidi="ar-MA"/>
        </w:rPr>
        <w:t xml:space="preserve">عبد الكريم حسن: ( نقد المنهج الموضوعي)، </w:t>
      </w:r>
      <w:r w:rsidRPr="00E671C7">
        <w:rPr>
          <w:rFonts w:ascii="Simplified Arabic" w:eastAsia="Times New Roman" w:hAnsi="Simplified Arabic" w:cs="Simplified Arabic"/>
          <w:color w:val="000080"/>
          <w:sz w:val="28"/>
          <w:szCs w:val="28"/>
          <w:u w:val="single"/>
          <w:rtl/>
          <w:lang w:eastAsia="fr-FR" w:bidi="ar-MA"/>
        </w:rPr>
        <w:t>مجلة الفكرالعربي المعاصر</w:t>
      </w:r>
      <w:r w:rsidRPr="00E671C7">
        <w:rPr>
          <w:rFonts w:ascii="Simplified Arabic" w:eastAsia="Times New Roman" w:hAnsi="Simplified Arabic" w:cs="Simplified Arabic"/>
          <w:color w:val="000080"/>
          <w:sz w:val="28"/>
          <w:szCs w:val="28"/>
          <w:rtl/>
          <w:lang w:eastAsia="fr-FR" w:bidi="ar-MA"/>
        </w:rPr>
        <w:t xml:space="preserve">، بيروت، لبنان، العددان: 44-45؛ </w:t>
      </w:r>
    </w:p>
    <w:p w:rsidR="009F6265" w:rsidRPr="00A30D9E" w:rsidRDefault="009F6265" w:rsidP="009F6265">
      <w:pPr>
        <w:bidi/>
        <w:spacing w:after="0" w:line="240" w:lineRule="auto"/>
        <w:jc w:val="both"/>
        <w:rPr>
          <w:sz w:val="10"/>
          <w:szCs w:val="10"/>
        </w:rPr>
      </w:pPr>
    </w:p>
  </w:footnote>
  <w:footnote w:id="10">
    <w:p w:rsidR="009F6265" w:rsidRPr="001408D0" w:rsidRDefault="009F6265" w:rsidP="009F6265">
      <w:pPr>
        <w:bidi/>
        <w:spacing w:after="0" w:line="240" w:lineRule="auto"/>
        <w:jc w:val="both"/>
        <w:rPr>
          <w:rFonts w:ascii="Simplified Arabic" w:eastAsia="Times New Roman" w:hAnsi="Simplified Arabic" w:cs="Simplified Arabic"/>
          <w:color w:val="FFF3E3"/>
          <w:sz w:val="24"/>
          <w:szCs w:val="24"/>
          <w:rtl/>
          <w:lang w:eastAsia="fr-FR"/>
        </w:rPr>
      </w:pPr>
      <w:r w:rsidRPr="00265E98">
        <w:rPr>
          <w:rStyle w:val="Appelnotedebasdep"/>
          <w:sz w:val="24"/>
          <w:szCs w:val="24"/>
        </w:rPr>
        <w:footnoteRef/>
      </w:r>
      <w:r w:rsidRPr="001408D0">
        <w:rPr>
          <w:rFonts w:ascii="Simplified Arabic" w:eastAsia="Times New Roman" w:hAnsi="Simplified Arabic" w:cs="Simplified Arabic"/>
          <w:color w:val="000080"/>
          <w:sz w:val="28"/>
          <w:szCs w:val="28"/>
          <w:rtl/>
          <w:lang w:eastAsia="fr-FR" w:bidi="ar-MA"/>
        </w:rPr>
        <w:t>عبد الكريم حسن</w:t>
      </w:r>
      <w:r w:rsidRPr="001408D0">
        <w:rPr>
          <w:rFonts w:ascii="Simplified Arabic" w:eastAsia="Times New Roman" w:hAnsi="Simplified Arabic" w:cs="Simplified Arabic" w:hint="cs"/>
          <w:color w:val="000080"/>
          <w:sz w:val="28"/>
          <w:szCs w:val="28"/>
          <w:rtl/>
          <w:lang w:eastAsia="fr-FR" w:bidi="ar-MA"/>
        </w:rPr>
        <w:t xml:space="preserve">، </w:t>
      </w:r>
      <w:r w:rsidRPr="001408D0">
        <w:rPr>
          <w:rFonts w:ascii="Simplified Arabic" w:eastAsia="Times New Roman" w:hAnsi="Simplified Arabic" w:cs="Simplified Arabic"/>
          <w:color w:val="000080"/>
          <w:sz w:val="28"/>
          <w:szCs w:val="28"/>
          <w:rtl/>
          <w:lang w:eastAsia="fr-FR" w:bidi="ar-MA"/>
        </w:rPr>
        <w:t>الموضوعية البنيوية دراسة في شعر السياب، طبعة المؤسسة العربية للدراسات والنشر، سنة 1983م</w:t>
      </w:r>
    </w:p>
    <w:p w:rsidR="009F6265" w:rsidRPr="001408D0" w:rsidRDefault="009F6265" w:rsidP="009F6265">
      <w:pPr>
        <w:bidi/>
        <w:spacing w:after="0" w:line="240" w:lineRule="auto"/>
        <w:jc w:val="both"/>
        <w:rPr>
          <w:sz w:val="8"/>
          <w:szCs w:val="8"/>
        </w:rPr>
      </w:pPr>
    </w:p>
  </w:footnote>
  <w:footnote w:id="11">
    <w:p w:rsidR="009F6265" w:rsidRPr="00A30D9E" w:rsidRDefault="009F6265" w:rsidP="009F6265">
      <w:pPr>
        <w:bidi/>
        <w:spacing w:after="0" w:line="240" w:lineRule="auto"/>
        <w:jc w:val="both"/>
        <w:rPr>
          <w:sz w:val="10"/>
          <w:szCs w:val="10"/>
        </w:rPr>
      </w:pPr>
      <w:r w:rsidRPr="001408D0">
        <w:rPr>
          <w:rStyle w:val="Appelnotedebasdep"/>
        </w:rPr>
        <w:footnoteRef/>
      </w:r>
      <w:r w:rsidRPr="001408D0">
        <w:rPr>
          <w:rFonts w:ascii="Simplified Arabic" w:eastAsia="Times New Roman" w:hAnsi="Simplified Arabic" w:cs="Simplified Arabic"/>
          <w:color w:val="000080"/>
          <w:sz w:val="28"/>
          <w:szCs w:val="28"/>
          <w:rtl/>
          <w:lang w:eastAsia="fr-FR" w:bidi="ar-MA"/>
        </w:rPr>
        <w:t>علي شلق</w:t>
      </w:r>
      <w:r w:rsidRPr="001408D0">
        <w:rPr>
          <w:rFonts w:ascii="Simplified Arabic" w:eastAsia="Times New Roman" w:hAnsi="Simplified Arabic" w:cs="Simplified Arabic" w:hint="cs"/>
          <w:color w:val="000080"/>
          <w:sz w:val="28"/>
          <w:szCs w:val="28"/>
          <w:rtl/>
          <w:lang w:eastAsia="fr-FR" w:bidi="ar-MA"/>
        </w:rPr>
        <w:t>،</w:t>
      </w:r>
      <w:r w:rsidRPr="001408D0">
        <w:rPr>
          <w:rFonts w:ascii="Simplified Arabic" w:eastAsia="Times New Roman" w:hAnsi="Simplified Arabic" w:cs="Simplified Arabic"/>
          <w:color w:val="000080"/>
          <w:sz w:val="28"/>
          <w:szCs w:val="28"/>
          <w:rtl/>
          <w:lang w:eastAsia="fr-FR" w:bidi="ar-MA"/>
        </w:rPr>
        <w:t xml:space="preserve"> القبلة في الشعر العربي القديم والحديث، دار الآفاق، بيروت، لبنان، طبعة 1982م</w:t>
      </w:r>
    </w:p>
  </w:footnote>
  <w:footnote w:id="12">
    <w:p w:rsidR="009F6265" w:rsidRPr="001408D0" w:rsidRDefault="009F6265" w:rsidP="009F6265">
      <w:pPr>
        <w:bidi/>
        <w:spacing w:after="0" w:line="240" w:lineRule="auto"/>
        <w:jc w:val="both"/>
        <w:rPr>
          <w:sz w:val="8"/>
          <w:szCs w:val="8"/>
        </w:rPr>
      </w:pPr>
      <w:r w:rsidRPr="00265E98">
        <w:rPr>
          <w:rStyle w:val="Appelnotedebasdep"/>
          <w:sz w:val="24"/>
          <w:szCs w:val="24"/>
        </w:rPr>
        <w:footnoteRef/>
      </w:r>
      <w:r w:rsidRPr="001408D0">
        <w:rPr>
          <w:rFonts w:ascii="Simplified Arabic" w:eastAsia="Times New Roman" w:hAnsi="Simplified Arabic" w:cs="Simplified Arabic"/>
          <w:color w:val="000080"/>
          <w:sz w:val="28"/>
          <w:szCs w:val="28"/>
          <w:rtl/>
          <w:lang w:eastAsia="fr-FR" w:bidi="ar-MA"/>
        </w:rPr>
        <w:t>علي شلق</w:t>
      </w:r>
      <w:r w:rsidRPr="001408D0">
        <w:rPr>
          <w:rFonts w:ascii="Simplified Arabic" w:eastAsia="Times New Roman" w:hAnsi="Simplified Arabic" w:cs="Simplified Arabic" w:hint="cs"/>
          <w:color w:val="000080"/>
          <w:sz w:val="28"/>
          <w:szCs w:val="28"/>
          <w:rtl/>
          <w:lang w:eastAsia="fr-FR" w:bidi="ar-MA"/>
        </w:rPr>
        <w:t>،</w:t>
      </w:r>
      <w:r w:rsidRPr="001408D0">
        <w:rPr>
          <w:rFonts w:ascii="Simplified Arabic" w:eastAsia="Times New Roman" w:hAnsi="Simplified Arabic" w:cs="Simplified Arabic"/>
          <w:color w:val="000080"/>
          <w:sz w:val="28"/>
          <w:szCs w:val="28"/>
          <w:rtl/>
          <w:lang w:eastAsia="fr-FR" w:bidi="ar-MA"/>
        </w:rPr>
        <w:t xml:space="preserve"> المتنبي شاعر ألفاظه تتوهج فرسانا تأسر الزمان، المؤسسة الجامعية للدراسات والنشر والتوزيع، ط 1، 1982م</w:t>
      </w:r>
    </w:p>
  </w:footnote>
  <w:footnote w:id="13">
    <w:p w:rsidR="009F6265" w:rsidRPr="001408D0" w:rsidRDefault="009F6265" w:rsidP="009F6265">
      <w:pPr>
        <w:bidi/>
        <w:spacing w:after="0" w:line="240" w:lineRule="auto"/>
        <w:jc w:val="both"/>
        <w:rPr>
          <w:sz w:val="8"/>
          <w:szCs w:val="8"/>
        </w:rPr>
      </w:pPr>
      <w:r w:rsidRPr="00265E98">
        <w:rPr>
          <w:rStyle w:val="Appelnotedebasdep"/>
          <w:sz w:val="24"/>
          <w:szCs w:val="24"/>
        </w:rPr>
        <w:footnoteRef/>
      </w:r>
      <w:r w:rsidRPr="001408D0">
        <w:rPr>
          <w:rFonts w:ascii="Simplified Arabic" w:eastAsia="Times New Roman" w:hAnsi="Simplified Arabic" w:cs="Simplified Arabic"/>
          <w:color w:val="000080"/>
          <w:sz w:val="28"/>
          <w:szCs w:val="28"/>
          <w:rtl/>
          <w:lang w:eastAsia="fr-FR" w:bidi="ar-MA"/>
        </w:rPr>
        <w:t>علي شلق: ابن الرومي في الصورة والوجود، الطبعة الأولى سنة 1982م، بدون تحديد لمكان النشر</w:t>
      </w:r>
    </w:p>
  </w:footnote>
  <w:footnote w:id="14">
    <w:p w:rsidR="009F6265" w:rsidRPr="001408D0" w:rsidRDefault="009F6265" w:rsidP="009F6265">
      <w:pPr>
        <w:bidi/>
        <w:spacing w:after="0" w:line="240" w:lineRule="auto"/>
        <w:jc w:val="both"/>
        <w:rPr>
          <w:sz w:val="6"/>
          <w:szCs w:val="6"/>
        </w:rPr>
      </w:pPr>
      <w:r w:rsidRPr="00265E98">
        <w:rPr>
          <w:rStyle w:val="Appelnotedebasdep"/>
          <w:sz w:val="24"/>
          <w:szCs w:val="24"/>
        </w:rPr>
        <w:footnoteRef/>
      </w:r>
      <w:r w:rsidRPr="001408D0">
        <w:rPr>
          <w:rFonts w:ascii="Simplified Arabic" w:eastAsia="Times New Roman" w:hAnsi="Simplified Arabic" w:cs="Simplified Arabic"/>
          <w:color w:val="000080"/>
          <w:sz w:val="28"/>
          <w:szCs w:val="28"/>
          <w:rtl/>
          <w:lang w:eastAsia="fr-FR" w:bidi="ar-MA"/>
        </w:rPr>
        <w:t>علي شلق: أبو العلاء المعري والضبابية المشرقة، الطبعة الأولى سنة 1981م بدون تحديد لمكان النشر</w:t>
      </w:r>
    </w:p>
  </w:footnote>
  <w:footnote w:id="15">
    <w:p w:rsidR="009F6265" w:rsidRPr="002C1185" w:rsidRDefault="009F6265" w:rsidP="009F6265">
      <w:pPr>
        <w:bidi/>
        <w:spacing w:after="0" w:line="360" w:lineRule="auto"/>
        <w:jc w:val="both"/>
        <w:rPr>
          <w:rFonts w:ascii="Simplified Arabic" w:eastAsia="Times New Roman" w:hAnsi="Simplified Arabic" w:cs="Simplified Arabic"/>
          <w:color w:val="FFF3E3"/>
          <w:sz w:val="32"/>
          <w:szCs w:val="32"/>
          <w:lang w:eastAsia="fr-FR"/>
        </w:rPr>
      </w:pPr>
      <w:r w:rsidRPr="00265E98">
        <w:rPr>
          <w:rStyle w:val="Appelnotedebasdep"/>
          <w:sz w:val="24"/>
          <w:szCs w:val="24"/>
        </w:rPr>
        <w:footnoteRef/>
      </w:r>
      <w:r w:rsidRPr="002C1185">
        <w:rPr>
          <w:rFonts w:ascii="Simplified Arabic" w:eastAsia="Times New Roman" w:hAnsi="Simplified Arabic" w:cs="Simplified Arabic"/>
          <w:color w:val="000080"/>
          <w:sz w:val="32"/>
          <w:szCs w:val="32"/>
          <w:lang w:eastAsia="fr-FR"/>
        </w:rPr>
        <w:t xml:space="preserve">Royer Fayolle : </w:t>
      </w:r>
      <w:r w:rsidRPr="002C1185">
        <w:rPr>
          <w:rFonts w:ascii="Simplified Arabic" w:eastAsia="Times New Roman" w:hAnsi="Simplified Arabic" w:cs="Simplified Arabic"/>
          <w:color w:val="000080"/>
          <w:sz w:val="32"/>
          <w:szCs w:val="32"/>
          <w:u w:val="single"/>
          <w:lang w:eastAsia="fr-FR"/>
        </w:rPr>
        <w:t>La critique Littéraire</w:t>
      </w:r>
      <w:r w:rsidRPr="002C1185">
        <w:rPr>
          <w:rFonts w:ascii="Simplified Arabic" w:eastAsia="Times New Roman" w:hAnsi="Simplified Arabic" w:cs="Simplified Arabic"/>
          <w:color w:val="000080"/>
          <w:sz w:val="32"/>
          <w:szCs w:val="32"/>
          <w:lang w:eastAsia="fr-FR"/>
        </w:rPr>
        <w:t>. A. Colin 1964;</w:t>
      </w:r>
    </w:p>
    <w:p w:rsidR="009F6265" w:rsidRPr="001408D0" w:rsidRDefault="009F6265" w:rsidP="009F6265">
      <w:pPr>
        <w:bidi/>
        <w:spacing w:after="0" w:line="240" w:lineRule="auto"/>
        <w:jc w:val="both"/>
        <w:rPr>
          <w:sz w:val="6"/>
          <w:szCs w:val="6"/>
        </w:rPr>
      </w:pPr>
    </w:p>
  </w:footnote>
  <w:footnote w:id="16">
    <w:p w:rsidR="009F6265" w:rsidRPr="002C1185" w:rsidRDefault="009F6265" w:rsidP="009F6265">
      <w:pPr>
        <w:bidi/>
        <w:spacing w:after="0" w:line="360" w:lineRule="auto"/>
        <w:jc w:val="both"/>
        <w:rPr>
          <w:rFonts w:ascii="Simplified Arabic" w:eastAsia="Times New Roman" w:hAnsi="Simplified Arabic" w:cs="Simplified Arabic"/>
          <w:color w:val="FFF3E3"/>
          <w:sz w:val="32"/>
          <w:szCs w:val="32"/>
          <w:lang w:eastAsia="fr-FR"/>
        </w:rPr>
      </w:pPr>
      <w:r w:rsidRPr="00265E98">
        <w:rPr>
          <w:rStyle w:val="Appelnotedebasdep"/>
          <w:sz w:val="24"/>
          <w:szCs w:val="24"/>
        </w:rPr>
        <w:footnoteRef/>
      </w:r>
      <w:r w:rsidRPr="002C1185">
        <w:rPr>
          <w:rFonts w:ascii="Simplified Arabic" w:eastAsia="Times New Roman" w:hAnsi="Simplified Arabic" w:cs="Simplified Arabic"/>
          <w:color w:val="000080"/>
          <w:sz w:val="32"/>
          <w:szCs w:val="32"/>
          <w:lang w:eastAsia="fr-FR"/>
        </w:rPr>
        <w:t>- T.Todorov:</w:t>
      </w:r>
      <w:r w:rsidRPr="002C1185">
        <w:rPr>
          <w:rFonts w:ascii="Simplified Arabic" w:eastAsia="Times New Roman" w:hAnsi="Simplified Arabic" w:cs="Simplified Arabic"/>
          <w:color w:val="000080"/>
          <w:sz w:val="32"/>
          <w:szCs w:val="32"/>
          <w:u w:val="single"/>
          <w:lang w:eastAsia="fr-FR"/>
        </w:rPr>
        <w:t>Introduction à la littératurefantastique</w:t>
      </w:r>
      <w:r w:rsidRPr="002C1185">
        <w:rPr>
          <w:rFonts w:ascii="Simplified Arabic" w:eastAsia="Times New Roman" w:hAnsi="Simplified Arabic" w:cs="Simplified Arabic"/>
          <w:color w:val="000080"/>
          <w:sz w:val="32"/>
          <w:szCs w:val="32"/>
          <w:lang w:eastAsia="fr-FR"/>
        </w:rPr>
        <w:t>.Seuil, Paris</w:t>
      </w:r>
    </w:p>
    <w:p w:rsidR="009F6265" w:rsidRPr="001408D0" w:rsidRDefault="009F6265" w:rsidP="009F6265">
      <w:pPr>
        <w:bidi/>
        <w:spacing w:after="0" w:line="240" w:lineRule="auto"/>
        <w:jc w:val="both"/>
        <w:rPr>
          <w:sz w:val="6"/>
          <w:szCs w:val="6"/>
        </w:rPr>
      </w:pPr>
    </w:p>
  </w:footnote>
  <w:footnote w:id="17">
    <w:p w:rsidR="009F6265" w:rsidRPr="00027999" w:rsidRDefault="009F6265" w:rsidP="009F6265">
      <w:pPr>
        <w:bidi/>
        <w:spacing w:after="0" w:line="240" w:lineRule="auto"/>
        <w:jc w:val="both"/>
        <w:rPr>
          <w:rFonts w:ascii="Simplified Arabic" w:eastAsia="Times New Roman" w:hAnsi="Simplified Arabic" w:cs="Simplified Arabic"/>
          <w:color w:val="FFF3E3"/>
          <w:sz w:val="28"/>
          <w:szCs w:val="28"/>
          <w:lang w:eastAsia="fr-FR"/>
        </w:rPr>
      </w:pPr>
      <w:r w:rsidRPr="00027999">
        <w:rPr>
          <w:rStyle w:val="Appelnotedebasdep"/>
        </w:rPr>
        <w:footnoteRef/>
      </w:r>
      <w:r w:rsidRPr="00027999">
        <w:rPr>
          <w:rFonts w:ascii="Simplified Arabic" w:eastAsia="Times New Roman" w:hAnsi="Simplified Arabic" w:cs="Simplified Arabic"/>
          <w:color w:val="000080"/>
          <w:sz w:val="28"/>
          <w:szCs w:val="28"/>
          <w:lang w:eastAsia="fr-FR"/>
        </w:rPr>
        <w:t>- </w:t>
      </w:r>
      <w:r w:rsidRPr="00027999">
        <w:rPr>
          <w:rFonts w:ascii="Simplified Arabic" w:eastAsia="Times New Roman" w:hAnsi="Simplified Arabic" w:cs="Simplified Arabic"/>
          <w:color w:val="000080"/>
          <w:sz w:val="28"/>
          <w:szCs w:val="28"/>
          <w:rtl/>
          <w:lang w:eastAsia="fr-FR" w:bidi="ar-MA"/>
        </w:rPr>
        <w:t>فؤاد أبو منصور</w:t>
      </w:r>
      <w:r w:rsidRPr="00027999">
        <w:rPr>
          <w:rFonts w:ascii="Simplified Arabic" w:eastAsia="Times New Roman" w:hAnsi="Simplified Arabic" w:cs="Simplified Arabic" w:hint="cs"/>
          <w:color w:val="000080"/>
          <w:sz w:val="28"/>
          <w:szCs w:val="28"/>
          <w:rtl/>
          <w:lang w:eastAsia="fr-FR" w:bidi="ar-MA"/>
        </w:rPr>
        <w:t>،</w:t>
      </w:r>
      <w:r w:rsidRPr="00027999">
        <w:rPr>
          <w:rFonts w:ascii="Simplified Arabic" w:eastAsia="Times New Roman" w:hAnsi="Simplified Arabic" w:cs="Simplified Arabic"/>
          <w:color w:val="000080"/>
          <w:sz w:val="28"/>
          <w:szCs w:val="28"/>
          <w:u w:val="single"/>
          <w:rtl/>
          <w:lang w:eastAsia="fr-FR" w:bidi="ar-MA"/>
        </w:rPr>
        <w:t>النقد البنيوي الحديث</w:t>
      </w:r>
      <w:r w:rsidRPr="00027999">
        <w:rPr>
          <w:rFonts w:ascii="Simplified Arabic" w:eastAsia="Times New Roman" w:hAnsi="Simplified Arabic" w:cs="Simplified Arabic"/>
          <w:color w:val="000080"/>
          <w:sz w:val="28"/>
          <w:szCs w:val="28"/>
          <w:rtl/>
          <w:lang w:eastAsia="fr-FR" w:bidi="ar-MA"/>
        </w:rPr>
        <w:t>، ص 179-180</w:t>
      </w:r>
    </w:p>
    <w:p w:rsidR="009F6265" w:rsidRPr="00027999" w:rsidRDefault="009F6265" w:rsidP="009F6265">
      <w:pPr>
        <w:bidi/>
        <w:spacing w:after="0" w:line="240" w:lineRule="auto"/>
        <w:jc w:val="both"/>
        <w:rPr>
          <w:sz w:val="4"/>
          <w:szCs w:val="4"/>
        </w:rPr>
      </w:pPr>
    </w:p>
  </w:footnote>
  <w:footnote w:id="18">
    <w:p w:rsidR="009F6265" w:rsidRPr="00027999" w:rsidRDefault="009F6265" w:rsidP="009F6265">
      <w:pPr>
        <w:bidi/>
        <w:spacing w:after="0" w:line="240" w:lineRule="auto"/>
        <w:jc w:val="both"/>
        <w:rPr>
          <w:rFonts w:ascii="Simplified Arabic" w:eastAsia="Times New Roman" w:hAnsi="Simplified Arabic" w:cs="Simplified Arabic"/>
          <w:color w:val="FFF3E3"/>
          <w:sz w:val="28"/>
          <w:szCs w:val="28"/>
          <w:rtl/>
          <w:lang w:eastAsia="fr-FR"/>
        </w:rPr>
      </w:pPr>
      <w:r w:rsidRPr="00027999">
        <w:rPr>
          <w:rStyle w:val="Appelnotedebasdep"/>
        </w:rPr>
        <w:footnoteRef/>
      </w:r>
      <w:r w:rsidRPr="00027999">
        <w:rPr>
          <w:rFonts w:ascii="Simplified Arabic" w:eastAsia="Times New Roman" w:hAnsi="Simplified Arabic" w:cs="Simplified Arabic"/>
          <w:color w:val="000080"/>
          <w:sz w:val="28"/>
          <w:szCs w:val="28"/>
          <w:lang w:eastAsia="fr-FR"/>
        </w:rPr>
        <w:t>- </w:t>
      </w:r>
      <w:r w:rsidRPr="00027999">
        <w:rPr>
          <w:rFonts w:ascii="Simplified Arabic" w:eastAsia="Times New Roman" w:hAnsi="Simplified Arabic" w:cs="Simplified Arabic"/>
          <w:color w:val="000080"/>
          <w:sz w:val="28"/>
          <w:szCs w:val="28"/>
          <w:rtl/>
          <w:lang w:eastAsia="fr-FR" w:bidi="ar-MA"/>
        </w:rPr>
        <w:t>عبد الكريم حسن: (نقد المنهج الموضوعي</w:t>
      </w:r>
      <w:proofErr w:type="gramStart"/>
      <w:r w:rsidRPr="00027999">
        <w:rPr>
          <w:rFonts w:ascii="Simplified Arabic" w:eastAsia="Times New Roman" w:hAnsi="Simplified Arabic" w:cs="Simplified Arabic"/>
          <w:color w:val="000080"/>
          <w:sz w:val="28"/>
          <w:szCs w:val="28"/>
          <w:rtl/>
          <w:lang w:eastAsia="fr-FR" w:bidi="ar-MA"/>
        </w:rPr>
        <w:t>)،</w:t>
      </w:r>
      <w:proofErr w:type="gramEnd"/>
      <w:r w:rsidRPr="00027999">
        <w:rPr>
          <w:rFonts w:ascii="Simplified Arabic" w:eastAsia="Times New Roman" w:hAnsi="Simplified Arabic" w:cs="Simplified Arabic"/>
          <w:color w:val="000080"/>
          <w:sz w:val="28"/>
          <w:szCs w:val="28"/>
          <w:rtl/>
          <w:lang w:eastAsia="fr-FR" w:bidi="ar-MA"/>
        </w:rPr>
        <w:t xml:space="preserve"> </w:t>
      </w:r>
      <w:r w:rsidRPr="00027999">
        <w:rPr>
          <w:rFonts w:ascii="Simplified Arabic" w:eastAsia="Times New Roman" w:hAnsi="Simplified Arabic" w:cs="Simplified Arabic"/>
          <w:color w:val="000080"/>
          <w:sz w:val="28"/>
          <w:szCs w:val="28"/>
          <w:u w:val="single"/>
          <w:rtl/>
          <w:lang w:eastAsia="fr-FR" w:bidi="ar-MA"/>
        </w:rPr>
        <w:t>مجلة الفكرالعربي المعاصر</w:t>
      </w:r>
      <w:r w:rsidRPr="00027999">
        <w:rPr>
          <w:rFonts w:ascii="Simplified Arabic" w:eastAsia="Times New Roman" w:hAnsi="Simplified Arabic" w:cs="Simplified Arabic"/>
          <w:color w:val="000080"/>
          <w:sz w:val="28"/>
          <w:szCs w:val="28"/>
          <w:rtl/>
          <w:lang w:eastAsia="fr-FR" w:bidi="ar-MA"/>
        </w:rPr>
        <w:t>، بيروت، لبنان،  العددان: ص</w:t>
      </w:r>
      <w:r>
        <w:rPr>
          <w:rFonts w:ascii="Simplified Arabic" w:eastAsia="Times New Roman" w:hAnsi="Simplified Arabic" w:cs="Simplified Arabic" w:hint="cs"/>
          <w:color w:val="000080"/>
          <w:sz w:val="28"/>
          <w:szCs w:val="28"/>
          <w:rtl/>
          <w:lang w:eastAsia="fr-FR" w:bidi="ar-MA"/>
        </w:rPr>
        <w:t xml:space="preserve"> 44-45</w:t>
      </w:r>
    </w:p>
    <w:p w:rsidR="009F6265" w:rsidRPr="001408D0" w:rsidRDefault="009F6265" w:rsidP="009F6265">
      <w:pPr>
        <w:bidi/>
        <w:spacing w:after="0" w:line="360" w:lineRule="auto"/>
        <w:jc w:val="both"/>
        <w:rPr>
          <w:sz w:val="6"/>
          <w:szCs w:val="6"/>
        </w:rPr>
      </w:pPr>
    </w:p>
  </w:footnote>
  <w:footnote w:id="19">
    <w:p w:rsidR="009F6265" w:rsidRPr="00027999" w:rsidRDefault="009F6265" w:rsidP="009F6265">
      <w:pPr>
        <w:bidi/>
        <w:spacing w:after="0" w:line="240" w:lineRule="auto"/>
        <w:jc w:val="both"/>
        <w:rPr>
          <w:rFonts w:ascii="Simplified Arabic" w:eastAsia="Times New Roman" w:hAnsi="Simplified Arabic" w:cs="Simplified Arabic"/>
          <w:color w:val="FFF3E3"/>
          <w:sz w:val="28"/>
          <w:szCs w:val="28"/>
          <w:rtl/>
          <w:lang w:eastAsia="fr-FR"/>
        </w:rPr>
      </w:pPr>
      <w:r w:rsidRPr="00027999">
        <w:rPr>
          <w:rStyle w:val="Appelnotedebasdep"/>
        </w:rPr>
        <w:footnoteRef/>
      </w:r>
      <w:r w:rsidRPr="00027999">
        <w:rPr>
          <w:rFonts w:ascii="Simplified Arabic" w:eastAsia="Times New Roman" w:hAnsi="Simplified Arabic" w:cs="Simplified Arabic"/>
          <w:color w:val="000080"/>
          <w:sz w:val="28"/>
          <w:szCs w:val="28"/>
          <w:lang w:eastAsia="fr-FR"/>
        </w:rPr>
        <w:t>- </w:t>
      </w:r>
      <w:r w:rsidRPr="00027999">
        <w:rPr>
          <w:rFonts w:ascii="Simplified Arabic" w:eastAsia="Times New Roman" w:hAnsi="Simplified Arabic" w:cs="Simplified Arabic"/>
          <w:color w:val="000080"/>
          <w:sz w:val="28"/>
          <w:szCs w:val="28"/>
          <w:rtl/>
          <w:lang w:eastAsia="fr-FR" w:bidi="ar-MA"/>
        </w:rPr>
        <w:t>عبد الكريم حسن: (نقد المنهج الموضوعي</w:t>
      </w:r>
      <w:proofErr w:type="gramStart"/>
      <w:r w:rsidRPr="00027999">
        <w:rPr>
          <w:rFonts w:ascii="Simplified Arabic" w:eastAsia="Times New Roman" w:hAnsi="Simplified Arabic" w:cs="Simplified Arabic"/>
          <w:color w:val="000080"/>
          <w:sz w:val="28"/>
          <w:szCs w:val="28"/>
          <w:rtl/>
          <w:lang w:eastAsia="fr-FR" w:bidi="ar-MA"/>
        </w:rPr>
        <w:t>)،</w:t>
      </w:r>
      <w:proofErr w:type="gramEnd"/>
      <w:r w:rsidRPr="00027999">
        <w:rPr>
          <w:rFonts w:ascii="Simplified Arabic" w:eastAsia="Times New Roman" w:hAnsi="Simplified Arabic" w:cs="Simplified Arabic"/>
          <w:color w:val="000080"/>
          <w:sz w:val="28"/>
          <w:szCs w:val="28"/>
          <w:rtl/>
          <w:lang w:eastAsia="fr-FR" w:bidi="ar-MA"/>
        </w:rPr>
        <w:t xml:space="preserve"> </w:t>
      </w:r>
      <w:r w:rsidRPr="00027999">
        <w:rPr>
          <w:rFonts w:ascii="Simplified Arabic" w:eastAsia="Times New Roman" w:hAnsi="Simplified Arabic" w:cs="Simplified Arabic"/>
          <w:color w:val="000080"/>
          <w:sz w:val="28"/>
          <w:szCs w:val="28"/>
          <w:u w:val="single"/>
          <w:rtl/>
          <w:lang w:eastAsia="fr-FR" w:bidi="ar-MA"/>
        </w:rPr>
        <w:t>مجلة الفكرالعربي المعاصر</w:t>
      </w:r>
      <w:r w:rsidRPr="00027999">
        <w:rPr>
          <w:rFonts w:ascii="Simplified Arabic" w:eastAsia="Times New Roman" w:hAnsi="Simplified Arabic" w:cs="Simplified Arabic"/>
          <w:color w:val="000080"/>
          <w:sz w:val="28"/>
          <w:szCs w:val="28"/>
          <w:rtl/>
          <w:lang w:eastAsia="fr-FR" w:bidi="ar-MA"/>
        </w:rPr>
        <w:t>، بيروت، لبنان،  العددان: ، ص</w:t>
      </w:r>
      <w:r>
        <w:rPr>
          <w:rFonts w:ascii="Simplified Arabic" w:eastAsia="Times New Roman" w:hAnsi="Simplified Arabic" w:cs="Simplified Arabic" w:hint="cs"/>
          <w:color w:val="000080"/>
          <w:sz w:val="28"/>
          <w:szCs w:val="28"/>
          <w:rtl/>
          <w:lang w:eastAsia="fr-FR" w:bidi="ar-MA"/>
        </w:rPr>
        <w:t xml:space="preserve"> 39</w:t>
      </w:r>
      <w:r w:rsidRPr="00027999">
        <w:rPr>
          <w:rFonts w:ascii="Simplified Arabic" w:eastAsia="Times New Roman" w:hAnsi="Simplified Arabic" w:cs="Simplified Arabic"/>
          <w:color w:val="000080"/>
          <w:sz w:val="28"/>
          <w:szCs w:val="28"/>
          <w:rtl/>
          <w:lang w:eastAsia="fr-FR" w:bidi="ar-MA"/>
        </w:rPr>
        <w:t xml:space="preserve">؛ </w:t>
      </w:r>
    </w:p>
    <w:p w:rsidR="009F6265" w:rsidRPr="001408D0" w:rsidRDefault="009F6265" w:rsidP="009F6265">
      <w:pPr>
        <w:bidi/>
        <w:spacing w:after="0" w:line="360" w:lineRule="auto"/>
        <w:jc w:val="both"/>
        <w:rPr>
          <w:sz w:val="6"/>
          <w:szCs w:val="6"/>
        </w:rPr>
      </w:pPr>
    </w:p>
  </w:footnote>
  <w:footnote w:id="20">
    <w:p w:rsidR="009F6265" w:rsidRPr="00027999" w:rsidRDefault="009F6265" w:rsidP="009F6265">
      <w:pPr>
        <w:bidi/>
        <w:spacing w:after="0" w:line="240" w:lineRule="auto"/>
        <w:jc w:val="both"/>
        <w:rPr>
          <w:rFonts w:ascii="Simplified Arabic" w:eastAsia="Times New Roman" w:hAnsi="Simplified Arabic" w:cs="Simplified Arabic"/>
          <w:color w:val="FFF3E3"/>
          <w:sz w:val="28"/>
          <w:szCs w:val="28"/>
          <w:rtl/>
          <w:lang w:eastAsia="fr-FR"/>
        </w:rPr>
      </w:pPr>
      <w:r w:rsidRPr="00027999">
        <w:rPr>
          <w:rStyle w:val="Appelnotedebasdep"/>
        </w:rPr>
        <w:footnoteRef/>
      </w:r>
      <w:r w:rsidRPr="00027999">
        <w:rPr>
          <w:rFonts w:ascii="Simplified Arabic" w:eastAsia="Times New Roman" w:hAnsi="Simplified Arabic" w:cs="Simplified Arabic"/>
          <w:color w:val="000080"/>
          <w:sz w:val="28"/>
          <w:szCs w:val="28"/>
          <w:lang w:eastAsia="fr-FR"/>
        </w:rPr>
        <w:t>- </w:t>
      </w:r>
      <w:r w:rsidRPr="00027999">
        <w:rPr>
          <w:rFonts w:ascii="Simplified Arabic" w:eastAsia="Times New Roman" w:hAnsi="Simplified Arabic" w:cs="Simplified Arabic"/>
          <w:color w:val="000080"/>
          <w:sz w:val="28"/>
          <w:szCs w:val="28"/>
          <w:rtl/>
          <w:lang w:eastAsia="fr-FR" w:bidi="ar-MA"/>
        </w:rPr>
        <w:t>عبد الكريم حسن: (نقد المنهج الموضوعي</w:t>
      </w:r>
      <w:proofErr w:type="gramStart"/>
      <w:r w:rsidRPr="00027999">
        <w:rPr>
          <w:rFonts w:ascii="Simplified Arabic" w:eastAsia="Times New Roman" w:hAnsi="Simplified Arabic" w:cs="Simplified Arabic"/>
          <w:color w:val="000080"/>
          <w:sz w:val="28"/>
          <w:szCs w:val="28"/>
          <w:rtl/>
          <w:lang w:eastAsia="fr-FR" w:bidi="ar-MA"/>
        </w:rPr>
        <w:t>)،</w:t>
      </w:r>
      <w:proofErr w:type="gramEnd"/>
      <w:r w:rsidRPr="00027999">
        <w:rPr>
          <w:rFonts w:ascii="Simplified Arabic" w:eastAsia="Times New Roman" w:hAnsi="Simplified Arabic" w:cs="Simplified Arabic"/>
          <w:color w:val="000080"/>
          <w:sz w:val="28"/>
          <w:szCs w:val="28"/>
          <w:rtl/>
          <w:lang w:eastAsia="fr-FR" w:bidi="ar-MA"/>
        </w:rPr>
        <w:t xml:space="preserve"> </w:t>
      </w:r>
      <w:r w:rsidRPr="00027999">
        <w:rPr>
          <w:rFonts w:ascii="Simplified Arabic" w:eastAsia="Times New Roman" w:hAnsi="Simplified Arabic" w:cs="Simplified Arabic"/>
          <w:color w:val="000080"/>
          <w:sz w:val="28"/>
          <w:szCs w:val="28"/>
          <w:u w:val="single"/>
          <w:rtl/>
          <w:lang w:eastAsia="fr-FR" w:bidi="ar-MA"/>
        </w:rPr>
        <w:t>مجلة الفكرالعربي المعاصر</w:t>
      </w:r>
      <w:r w:rsidRPr="00027999">
        <w:rPr>
          <w:rFonts w:ascii="Simplified Arabic" w:eastAsia="Times New Roman" w:hAnsi="Simplified Arabic" w:cs="Simplified Arabic"/>
          <w:color w:val="000080"/>
          <w:sz w:val="28"/>
          <w:szCs w:val="28"/>
          <w:rtl/>
          <w:lang w:eastAsia="fr-FR" w:bidi="ar-MA"/>
        </w:rPr>
        <w:t>، بيروت، لبنان،  العددان: ، ص</w:t>
      </w:r>
      <w:r>
        <w:rPr>
          <w:rFonts w:ascii="Simplified Arabic" w:eastAsia="Times New Roman" w:hAnsi="Simplified Arabic" w:cs="Simplified Arabic" w:hint="cs"/>
          <w:color w:val="000080"/>
          <w:sz w:val="28"/>
          <w:szCs w:val="28"/>
          <w:rtl/>
          <w:lang w:eastAsia="fr-FR" w:bidi="ar-MA"/>
        </w:rPr>
        <w:t xml:space="preserve"> 40</w:t>
      </w:r>
      <w:r w:rsidRPr="00027999">
        <w:rPr>
          <w:rFonts w:ascii="Simplified Arabic" w:eastAsia="Times New Roman" w:hAnsi="Simplified Arabic" w:cs="Simplified Arabic"/>
          <w:color w:val="000080"/>
          <w:sz w:val="28"/>
          <w:szCs w:val="28"/>
          <w:rtl/>
          <w:lang w:eastAsia="fr-FR" w:bidi="ar-MA"/>
        </w:rPr>
        <w:t xml:space="preserve">؛ </w:t>
      </w:r>
    </w:p>
    <w:p w:rsidR="009F6265" w:rsidRPr="001408D0" w:rsidRDefault="009F6265" w:rsidP="009F6265">
      <w:pPr>
        <w:bidi/>
        <w:spacing w:after="0" w:line="360" w:lineRule="auto"/>
        <w:jc w:val="both"/>
        <w:rPr>
          <w:sz w:val="6"/>
          <w:szCs w:val="6"/>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6265"/>
    <w:rsid w:val="00021E26"/>
    <w:rsid w:val="009F626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6265"/>
    <w:rPr>
      <w:rFonts w:ascii="Calibri" w:eastAsia="Calibri" w:hAnsi="Calibri"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F6265"/>
    <w:pPr>
      <w:ind w:left="720"/>
      <w:contextualSpacing/>
    </w:pPr>
  </w:style>
  <w:style w:type="character" w:styleId="Appelnotedebasdep">
    <w:name w:val="footnote reference"/>
    <w:basedOn w:val="Policepardfaut"/>
    <w:uiPriority w:val="99"/>
    <w:semiHidden/>
    <w:unhideWhenUsed/>
    <w:rsid w:val="009F626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6265"/>
    <w:rPr>
      <w:rFonts w:ascii="Calibri" w:eastAsia="Calibri" w:hAnsi="Calibri"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F6265"/>
    <w:pPr>
      <w:ind w:left="720"/>
      <w:contextualSpacing/>
    </w:pPr>
  </w:style>
  <w:style w:type="character" w:styleId="Appelnotedebasdep">
    <w:name w:val="footnote reference"/>
    <w:basedOn w:val="Policepardfaut"/>
    <w:uiPriority w:val="99"/>
    <w:semiHidden/>
    <w:unhideWhenUsed/>
    <w:rsid w:val="009F626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rabicnadwah.com/articles/muqaraba-hamadaoui.htm" TargetMode="External"/><Relationship Id="rId13" Type="http://schemas.openxmlformats.org/officeDocument/2006/relationships/hyperlink" Target="https://www.arabicnadwah.com/articles/muqaraba-hamadaoui.htm" TargetMode="External"/><Relationship Id="rId18" Type="http://schemas.openxmlformats.org/officeDocument/2006/relationships/hyperlink" Target="https://www.arabicnadwah.com/articles/muqaraba-hamadaoui.htm" TargetMode="External"/><Relationship Id="rId26" Type="http://schemas.openxmlformats.org/officeDocument/2006/relationships/hyperlink" Target="https://www.arabicnadwah.com/articles/muqaraba-hamadaoui.htm" TargetMode="External"/><Relationship Id="rId3" Type="http://schemas.openxmlformats.org/officeDocument/2006/relationships/settings" Target="settings.xml"/><Relationship Id="rId21" Type="http://schemas.openxmlformats.org/officeDocument/2006/relationships/hyperlink" Target="https://www.arabicnadwah.com/articles/muqaraba-hamadaoui.htm" TargetMode="External"/><Relationship Id="rId34" Type="http://schemas.openxmlformats.org/officeDocument/2006/relationships/fontTable" Target="fontTable.xml"/><Relationship Id="rId7" Type="http://schemas.openxmlformats.org/officeDocument/2006/relationships/hyperlink" Target="https://www.arabicnadwah.com/articles/muqaraba-hamadaoui.htm" TargetMode="External"/><Relationship Id="rId12" Type="http://schemas.openxmlformats.org/officeDocument/2006/relationships/hyperlink" Target="https://www.arabicnadwah.com/articles/muqaraba-hamadaoui.htm" TargetMode="External"/><Relationship Id="rId17" Type="http://schemas.openxmlformats.org/officeDocument/2006/relationships/hyperlink" Target="https://www.arabicnadwah.com/articles/muqaraba-hamadaoui.htm" TargetMode="External"/><Relationship Id="rId25" Type="http://schemas.openxmlformats.org/officeDocument/2006/relationships/hyperlink" Target="https://www.arabicnadwah.com/articles/muqaraba-hamadaoui.htm" TargetMode="External"/><Relationship Id="rId33" Type="http://schemas.openxmlformats.org/officeDocument/2006/relationships/hyperlink" Target="https://www.arabicnadwah.com/articles/muqaraba-hamadaoui.htm" TargetMode="External"/><Relationship Id="rId2" Type="http://schemas.microsoft.com/office/2007/relationships/stylesWithEffects" Target="stylesWithEffects.xml"/><Relationship Id="rId16" Type="http://schemas.openxmlformats.org/officeDocument/2006/relationships/hyperlink" Target="https://www.arabicnadwah.com/articles/muqaraba-hamadaoui.htm" TargetMode="External"/><Relationship Id="rId20" Type="http://schemas.openxmlformats.org/officeDocument/2006/relationships/hyperlink" Target="https://www.arabicnadwah.com/articles/muqaraba-hamadaoui.htm" TargetMode="External"/><Relationship Id="rId29" Type="http://schemas.openxmlformats.org/officeDocument/2006/relationships/hyperlink" Target="https://www.arabicnadwah.com/articles/muqaraba-hamadaoui.htm"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www.arabicnadwah.com/articles/muqaraba-hamadaoui.htm" TargetMode="External"/><Relationship Id="rId24" Type="http://schemas.openxmlformats.org/officeDocument/2006/relationships/hyperlink" Target="https://www.arabicnadwah.com/articles/muqaraba-hamadaoui.htm" TargetMode="External"/><Relationship Id="rId32" Type="http://schemas.openxmlformats.org/officeDocument/2006/relationships/hyperlink" Target="https://www.arabicnadwah.com/articles/muqaraba-hamadaoui.htm" TargetMode="External"/><Relationship Id="rId5" Type="http://schemas.openxmlformats.org/officeDocument/2006/relationships/footnotes" Target="footnotes.xml"/><Relationship Id="rId15" Type="http://schemas.openxmlformats.org/officeDocument/2006/relationships/hyperlink" Target="https://www.arabicnadwah.com/articles/muqaraba-hamadaoui.htm" TargetMode="External"/><Relationship Id="rId23" Type="http://schemas.openxmlformats.org/officeDocument/2006/relationships/hyperlink" Target="https://www.arabicnadwah.com/articles/muqaraba-hamadaoui.htm" TargetMode="External"/><Relationship Id="rId28" Type="http://schemas.openxmlformats.org/officeDocument/2006/relationships/hyperlink" Target="https://www.arabicnadwah.com/articles/muqaraba-hamadaoui.htm" TargetMode="External"/><Relationship Id="rId10" Type="http://schemas.openxmlformats.org/officeDocument/2006/relationships/hyperlink" Target="https://www.arabicnadwah.com/articles/muqaraba-hamadaoui.htm" TargetMode="External"/><Relationship Id="rId19" Type="http://schemas.openxmlformats.org/officeDocument/2006/relationships/hyperlink" Target="https://www.arabicnadwah.com/articles/muqaraba-hamadaoui.htm" TargetMode="External"/><Relationship Id="rId31" Type="http://schemas.openxmlformats.org/officeDocument/2006/relationships/hyperlink" Target="https://www.arabicnadwah.com/articles/muqaraba-hamadaoui.htm" TargetMode="External"/><Relationship Id="rId4" Type="http://schemas.openxmlformats.org/officeDocument/2006/relationships/webSettings" Target="webSettings.xml"/><Relationship Id="rId9" Type="http://schemas.openxmlformats.org/officeDocument/2006/relationships/hyperlink" Target="https://www.arabicnadwah.com/articles/muqaraba-hamadaoui.htm" TargetMode="External"/><Relationship Id="rId14" Type="http://schemas.openxmlformats.org/officeDocument/2006/relationships/hyperlink" Target="https://www.arabicnadwah.com/articles/muqaraba-hamadaoui.htm" TargetMode="External"/><Relationship Id="rId22" Type="http://schemas.openxmlformats.org/officeDocument/2006/relationships/hyperlink" Target="https://www.arabicnadwah.com/articles/muqaraba-hamadaoui.htm" TargetMode="External"/><Relationship Id="rId27" Type="http://schemas.openxmlformats.org/officeDocument/2006/relationships/hyperlink" Target="https://www.arabicnadwah.com/articles/muqaraba-hamadaoui.htm" TargetMode="External"/><Relationship Id="rId30" Type="http://schemas.openxmlformats.org/officeDocument/2006/relationships/hyperlink" Target="https://www.arabicnadwah.com/articles/muqaraba-hamadaoui.htm" TargetMode="External"/><Relationship Id="rId35"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3565</Words>
  <Characters>19610</Characters>
  <Application>Microsoft Office Word</Application>
  <DocSecurity>0</DocSecurity>
  <Lines>163</Lines>
  <Paragraphs>46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 GC</dc:creator>
  <cp:lastModifiedBy>MAH GC</cp:lastModifiedBy>
  <cp:revision>1</cp:revision>
  <dcterms:created xsi:type="dcterms:W3CDTF">2021-04-27T11:58:00Z</dcterms:created>
  <dcterms:modified xsi:type="dcterms:W3CDTF">2021-04-27T11:58:00Z</dcterms:modified>
</cp:coreProperties>
</file>