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57" w:rsidRPr="00860D57" w:rsidRDefault="00860D57" w:rsidP="00860D57">
      <w:pPr>
        <w:bidi/>
        <w:spacing w:line="360" w:lineRule="auto"/>
        <w:jc w:val="center"/>
        <w:rPr>
          <w:rFonts w:asciiTheme="minorBidi" w:hAnsiTheme="minorBidi" w:cstheme="minorBidi"/>
          <w:b/>
          <w:bCs/>
          <w:sz w:val="72"/>
          <w:szCs w:val="72"/>
          <w:rtl/>
          <w:lang w:bidi="ar-DZ"/>
        </w:rPr>
      </w:pPr>
      <w:r w:rsidRPr="00860D57">
        <w:rPr>
          <w:rFonts w:asciiTheme="minorBidi" w:hAnsiTheme="minorBidi" w:cstheme="minorBidi"/>
          <w:b/>
          <w:bCs/>
          <w:sz w:val="72"/>
          <w:szCs w:val="72"/>
          <w:rtl/>
          <w:lang w:bidi="ar-DZ"/>
        </w:rPr>
        <w:t>تمهيد:</w:t>
      </w:r>
    </w:p>
    <w:p w:rsidR="00860D57" w:rsidRPr="00860D57" w:rsidRDefault="00860D57" w:rsidP="00860D57">
      <w:pPr>
        <w:bidi/>
        <w:spacing w:line="360" w:lineRule="auto"/>
        <w:jc w:val="center"/>
        <w:rPr>
          <w:rFonts w:asciiTheme="minorBidi" w:hAnsiTheme="minorBidi" w:cstheme="minorBidi"/>
          <w:b/>
          <w:bCs/>
          <w:sz w:val="72"/>
          <w:szCs w:val="72"/>
          <w:rtl/>
          <w:lang w:bidi="ar-DZ"/>
        </w:rPr>
      </w:pPr>
      <w:r w:rsidRPr="00860D57">
        <w:rPr>
          <w:rFonts w:asciiTheme="minorBidi" w:hAnsiTheme="minorBidi" w:cstheme="minorBidi"/>
          <w:b/>
          <w:bCs/>
          <w:sz w:val="72"/>
          <w:szCs w:val="72"/>
          <w:rtl/>
          <w:lang w:bidi="ar-DZ"/>
        </w:rPr>
        <w:t>تعريف النظرية</w:t>
      </w:r>
    </w:p>
    <w:p w:rsidR="00860D57" w:rsidRPr="00860D57" w:rsidRDefault="00860D57" w:rsidP="00860D57">
      <w:pPr>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 إذا كان لا بد من تعريف نظرية الأدب فإنه لا يمكننا الولوج إلى ذلك إلا بعد تعريف الأدب.</w:t>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للأدب عدة تعاريف يمكننا إجمالها بالقول:(بأنه كتابة تخييلية </w:t>
      </w:r>
      <w:r w:rsidRPr="00860D57">
        <w:rPr>
          <w:rFonts w:asciiTheme="minorBidi" w:hAnsiTheme="minorBidi" w:cstheme="minorBidi"/>
          <w:sz w:val="32"/>
          <w:szCs w:val="32"/>
          <w:lang w:bidi="ar-DZ"/>
        </w:rPr>
        <w:t>Imaginative</w:t>
      </w:r>
      <w:r w:rsidRPr="00860D57">
        <w:rPr>
          <w:rFonts w:asciiTheme="minorBidi" w:hAnsiTheme="minorBidi" w:cstheme="minorBidi"/>
          <w:sz w:val="32"/>
          <w:szCs w:val="32"/>
          <w:rtl/>
          <w:lang w:bidi="ar-DZ"/>
        </w:rPr>
        <w:t xml:space="preserve"> بمعنى التخييل </w:t>
      </w:r>
      <w:r w:rsidRPr="00860D57">
        <w:rPr>
          <w:rFonts w:asciiTheme="minorBidi" w:hAnsiTheme="minorBidi" w:cstheme="minorBidi"/>
          <w:sz w:val="32"/>
          <w:szCs w:val="32"/>
          <w:lang w:bidi="ar-DZ"/>
        </w:rPr>
        <w:t>fiction</w:t>
      </w:r>
      <w:r w:rsidRPr="00860D57">
        <w:rPr>
          <w:rFonts w:asciiTheme="minorBidi" w:hAnsiTheme="minorBidi" w:cstheme="minorBidi"/>
          <w:sz w:val="32"/>
          <w:szCs w:val="32"/>
          <w:rtl/>
          <w:lang w:bidi="ar-DZ"/>
        </w:rPr>
        <w:t>، أي الكتابة ليست حقيقية بالمعنى الحرفي للكلمة، لكن إلقاء نظرة سريعة على ما يدرجه الناس عموما تحت عنوان الأدب تكفي للقول إن هذا التعريف لا يفي بالغرض)</w:t>
      </w:r>
      <w:r w:rsidRPr="00860D57">
        <w:rPr>
          <w:rStyle w:val="Appelnotedebasdep"/>
          <w:rFonts w:asciiTheme="minorBidi" w:hAnsiTheme="minorBidi" w:cstheme="minorBidi"/>
          <w:sz w:val="32"/>
          <w:szCs w:val="32"/>
          <w:rtl/>
          <w:lang w:bidi="ar-DZ"/>
        </w:rPr>
        <w:footnoteReference w:id="1"/>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وقد يصعب الإلمام بتعريف واحد للأدب، فالكتابة الأدبية لا يمكن أن تكون حقيقيةً لأن الأدب يأتي عن طريق التخييل، وإذا نظرنا للأدب بوصفه خطابا (فإن معالجة الأدب بكونه كذلك معناه النظر إلى النص بوصفه علامات متوسطة بين مستخدمي اللغة: ليس فحسب علاقات الكلام بل أيضا علاقات الوعي والإيديولوجيا والمساهمة والطبقة إذ لا يعود النص شيئا، بل يغدو فعلا أو عملية)</w:t>
      </w:r>
      <w:r w:rsidRPr="00860D57">
        <w:rPr>
          <w:rStyle w:val="Appelnotedebasdep"/>
          <w:rFonts w:asciiTheme="minorBidi" w:hAnsiTheme="minorBidi" w:cstheme="minorBidi"/>
          <w:sz w:val="32"/>
          <w:szCs w:val="32"/>
          <w:rtl/>
          <w:lang w:bidi="ar-DZ"/>
        </w:rPr>
        <w:footnoteReference w:id="2"/>
      </w:r>
      <w:r w:rsidRPr="00860D57">
        <w:rPr>
          <w:rFonts w:asciiTheme="minorBidi" w:hAnsiTheme="minorBidi" w:cstheme="minorBidi"/>
          <w:sz w:val="32"/>
          <w:szCs w:val="32"/>
          <w:rtl/>
          <w:lang w:bidi="ar-DZ"/>
        </w:rPr>
        <w:t xml:space="preserve"> فالأدب يمكننا معالجته كخطاب حيث لا تقتصر الدراسة على علاقات أجزاء الكلام بل بالتفاعل الحاصل بين الكاتب والقارئ أين تكمن الإيديولوجيات الناتجة عن النشاط الفكري والثقافي بينهما.</w:t>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lastRenderedPageBreak/>
        <w:t xml:space="preserve">كما نجد تعريفا آخر للأدب من المنطلق الثقافي ورد عند </w:t>
      </w:r>
      <w:r w:rsidRPr="00860D57">
        <w:rPr>
          <w:rFonts w:asciiTheme="minorBidi" w:hAnsiTheme="minorBidi" w:cstheme="minorBidi"/>
          <w:b/>
          <w:bCs/>
          <w:sz w:val="32"/>
          <w:szCs w:val="32"/>
          <w:rtl/>
          <w:lang w:bidi="ar-DZ"/>
        </w:rPr>
        <w:t xml:space="preserve">يوري </w:t>
      </w:r>
      <w:proofErr w:type="spellStart"/>
      <w:r w:rsidRPr="00860D57">
        <w:rPr>
          <w:rFonts w:asciiTheme="minorBidi" w:hAnsiTheme="minorBidi" w:cstheme="minorBidi"/>
          <w:b/>
          <w:bCs/>
          <w:sz w:val="32"/>
          <w:szCs w:val="32"/>
          <w:rtl/>
          <w:lang w:bidi="ar-DZ"/>
        </w:rPr>
        <w:t>لوتمان</w:t>
      </w:r>
      <w:proofErr w:type="spellEnd"/>
      <w:r w:rsidRPr="00860D57">
        <w:rPr>
          <w:rFonts w:asciiTheme="minorBidi" w:hAnsiTheme="minorBidi" w:cstheme="minorBidi"/>
          <w:sz w:val="32"/>
          <w:szCs w:val="32"/>
          <w:rtl/>
          <w:lang w:bidi="ar-DZ"/>
        </w:rPr>
        <w:t xml:space="preserve"> إذ يقول: (إن نحن اعتدنا الأدب مجموعة محددة من النصوص، فإنه ينبغي أن يُلحظ أولا أن هذه النصوص   لا تِؤلف سوى جزء من النظام العام للثقافة، إن وجود النصوص الأدبية يتضمن كل من الحضور المتزامن للنصوص غير الأدبية والقدرة من جانب المجموعة التي تستخدمها على التمييز بينها....عندما نكون غير متيقنين من تحديد حورية الماء ....بأنها امرأة أو سمكة، أو تحديد الشعر الحر بالشعر أو النثر، نُصدر عن هذه التقسيمات التصنيفية كما هي، وبهذا الفهم يسبق تصورنا للأدب منطقيا، لا تاريخيا، الأدب نفسه)</w:t>
      </w:r>
      <w:r w:rsidRPr="00860D57">
        <w:rPr>
          <w:rStyle w:val="Appelnotedebasdep"/>
          <w:rFonts w:asciiTheme="minorBidi" w:hAnsiTheme="minorBidi" w:cstheme="minorBidi"/>
          <w:sz w:val="32"/>
          <w:szCs w:val="32"/>
          <w:rtl/>
          <w:lang w:bidi="ar-DZ"/>
        </w:rPr>
        <w:footnoteReference w:id="3"/>
      </w:r>
      <w:r w:rsidRPr="00860D57">
        <w:rPr>
          <w:rFonts w:asciiTheme="minorBidi" w:hAnsiTheme="minorBidi" w:cstheme="minorBidi"/>
          <w:sz w:val="32"/>
          <w:szCs w:val="32"/>
          <w:rtl/>
          <w:lang w:bidi="ar-DZ"/>
        </w:rPr>
        <w:t>، إن النصوص الأدبية هي بذلك وليدة ثقافات  متشعبة  تُستحضر في النصوص وعلى القارئ بخبرته تلقي هذه النصوص والتفاعل معها من منطلق ثقافته، وبذلك تتعدد القراءات تبعا لتعدد ثقافات القراء.</w:t>
      </w: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jc w:val="center"/>
        <w:rPr>
          <w:rFonts w:asciiTheme="minorBidi" w:hAnsiTheme="minorBidi" w:cstheme="minorBidi"/>
          <w:sz w:val="32"/>
          <w:szCs w:val="32"/>
          <w:rtl/>
          <w:lang w:bidi="ar-DZ"/>
        </w:rPr>
      </w:pPr>
    </w:p>
    <w:p w:rsidR="00860D57" w:rsidRPr="00860D57" w:rsidRDefault="00860D57" w:rsidP="00860D57">
      <w:pPr>
        <w:bidi/>
        <w:spacing w:line="360" w:lineRule="auto"/>
        <w:jc w:val="center"/>
        <w:rPr>
          <w:rFonts w:asciiTheme="minorBidi" w:hAnsiTheme="minorBidi" w:cstheme="minorBidi"/>
          <w:sz w:val="56"/>
          <w:szCs w:val="56"/>
          <w:rtl/>
          <w:lang w:bidi="ar-DZ"/>
        </w:rPr>
      </w:pPr>
    </w:p>
    <w:p w:rsidR="00860D57" w:rsidRPr="00860D57" w:rsidRDefault="00860D57" w:rsidP="00860D57">
      <w:pPr>
        <w:bidi/>
        <w:spacing w:line="360" w:lineRule="auto"/>
        <w:jc w:val="center"/>
        <w:rPr>
          <w:rFonts w:asciiTheme="minorBidi" w:hAnsiTheme="minorBidi" w:cstheme="minorBidi"/>
          <w:sz w:val="56"/>
          <w:szCs w:val="56"/>
          <w:rtl/>
          <w:lang w:bidi="ar-DZ"/>
        </w:rPr>
      </w:pPr>
      <w:r w:rsidRPr="00860D57">
        <w:rPr>
          <w:rFonts w:asciiTheme="minorBidi" w:hAnsiTheme="minorBidi" w:cstheme="minorBidi"/>
          <w:sz w:val="56"/>
          <w:szCs w:val="56"/>
          <w:rtl/>
          <w:lang w:bidi="ar-DZ"/>
        </w:rPr>
        <w:lastRenderedPageBreak/>
        <w:t>المحاضرة الأولى</w:t>
      </w: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jc w:val="center"/>
        <w:rPr>
          <w:rFonts w:asciiTheme="minorBidi" w:hAnsiTheme="minorBidi" w:cstheme="minorBidi"/>
          <w:b/>
          <w:bCs/>
          <w:sz w:val="44"/>
          <w:szCs w:val="44"/>
          <w:rtl/>
          <w:lang w:bidi="ar-DZ"/>
        </w:rPr>
      </w:pPr>
      <w:r w:rsidRPr="00860D57">
        <w:rPr>
          <w:rFonts w:asciiTheme="minorBidi" w:hAnsiTheme="minorBidi" w:cstheme="minorBidi"/>
          <w:b/>
          <w:bCs/>
          <w:sz w:val="44"/>
          <w:szCs w:val="44"/>
          <w:rtl/>
          <w:lang w:bidi="ar-DZ"/>
        </w:rPr>
        <w:t>نظرية الأدب...الماهية والمفهوم</w:t>
      </w: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jc w:val="center"/>
        <w:rPr>
          <w:rFonts w:asciiTheme="minorBidi" w:hAnsiTheme="minorBidi" w:cstheme="minorBidi"/>
          <w:b/>
          <w:bCs/>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           برزت نظرية الأدب خلال السبعينيات والثمانينيات من القرن الماضي، (...لارتباطها بالأدب بوصفه تخصصا مؤسساتيا جعل من المحتم إرساء قواعد جامعة لها، خاصة وأن دراسة الأدب تقتضي من الاهتمام ما من شأنه أن يتجاوز الاهتمام بالتجربة والجمالية والذوق الشخصي....</w:t>
      </w:r>
      <w:r w:rsidRPr="00860D57">
        <w:rPr>
          <w:rFonts w:asciiTheme="minorBidi" w:hAnsiTheme="minorBidi" w:cstheme="minorBidi"/>
          <w:sz w:val="32"/>
          <w:szCs w:val="32"/>
          <w:lang w:bidi="ar-DZ"/>
        </w:rPr>
        <w:t xml:space="preserve"> </w:t>
      </w:r>
      <w:r w:rsidRPr="00860D57">
        <w:rPr>
          <w:rFonts w:asciiTheme="minorBidi" w:hAnsiTheme="minorBidi" w:cstheme="minorBidi"/>
          <w:sz w:val="32"/>
          <w:szCs w:val="32"/>
          <w:rtl/>
          <w:lang w:bidi="ar-DZ"/>
        </w:rPr>
        <w:t xml:space="preserve">ويعود الاهتمام بالنظرية إلى النقد الجديد...والنظرية في هذا </w:t>
      </w:r>
      <w:r w:rsidRPr="00860D57">
        <w:rPr>
          <w:rFonts w:asciiTheme="minorBidi" w:hAnsiTheme="minorBidi" w:cstheme="minorBidi"/>
          <w:sz w:val="32"/>
          <w:szCs w:val="32"/>
          <w:rtl/>
          <w:lang w:bidi="ar-DZ"/>
        </w:rPr>
        <w:lastRenderedPageBreak/>
        <w:t>المجال تستهدف تأمل المعنى والتركيز على الفهم وليس الحقائق او الكون التي هي مجال العلم...)</w:t>
      </w:r>
      <w:r w:rsidRPr="00860D57">
        <w:rPr>
          <w:rStyle w:val="Appelnotedebasdep"/>
          <w:rFonts w:asciiTheme="minorBidi" w:hAnsiTheme="minorBidi" w:cstheme="minorBidi"/>
          <w:sz w:val="32"/>
          <w:szCs w:val="32"/>
          <w:rtl/>
          <w:lang w:bidi="ar-DZ"/>
        </w:rPr>
        <w:footnoteReference w:id="4"/>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تُعرف نظرية الأدب بأنها مجموعة من الأفكار والآراء القوية المتسقة والعميقة والمستندة إلى نظرية المعرفة أو فلسفة محددة والتي تهتم بالبحث في نشأة الأدب وطبيعته ووظيفته.</w:t>
      </w:r>
      <w:r w:rsidRPr="00860D57">
        <w:rPr>
          <w:rStyle w:val="Appelnotedebasdep"/>
          <w:rFonts w:asciiTheme="minorBidi" w:hAnsiTheme="minorBidi" w:cstheme="minorBidi"/>
          <w:sz w:val="32"/>
          <w:szCs w:val="32"/>
          <w:rtl/>
          <w:lang w:bidi="ar-DZ"/>
        </w:rPr>
        <w:footnoteReference w:id="5"/>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تدرس نظرية الأدب الظاهرة الأدبية بعامة، من منطلق شمولي في سبيل استنباط وتأصيل مفاهيم عامة تبين حقيقة الأدب وآثاره، وهذا ما يميزها عن غيرها من مجالات الدراسة الأدبية الأخرى فهي تحاول تقديم إجابات متسقة حول الأدب لأننا قد نجد كثيرا من الأفكار التي لا تستند على فلسفة محددة ولا ترقى إلى مستوى النظرية، إن اللبنات الأولى لأفكار نظريات عُرفت منذ القدم"</w:t>
      </w:r>
      <w:r w:rsidRPr="00860D57">
        <w:rPr>
          <w:rStyle w:val="Appelnotedebasdep"/>
          <w:rFonts w:asciiTheme="minorBidi" w:hAnsiTheme="minorBidi" w:cstheme="minorBidi"/>
          <w:sz w:val="32"/>
          <w:szCs w:val="32"/>
          <w:rtl/>
          <w:lang w:bidi="ar-DZ"/>
        </w:rPr>
        <w:footnoteReference w:id="6"/>
      </w:r>
      <w:r w:rsidRPr="00860D57">
        <w:rPr>
          <w:rFonts w:asciiTheme="minorBidi" w:hAnsiTheme="minorBidi" w:cstheme="minorBidi"/>
          <w:sz w:val="32"/>
          <w:szCs w:val="32"/>
          <w:rtl/>
          <w:lang w:bidi="ar-DZ"/>
        </w:rPr>
        <w:t>.</w:t>
      </w:r>
    </w:p>
    <w:p w:rsidR="00860D57" w:rsidRPr="00860D57" w:rsidRDefault="00860D57" w:rsidP="00860D5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يُعد النقد الأدبي وتاريخ الأدب أكثر حقول الدراسة الأدبية تداخلا مع نظرية الأدب، (فالناقد يتعامل مع النص ليبين مواطن الجودة والرداءة</w:t>
      </w:r>
      <w:proofErr w:type="gramStart"/>
      <w:r w:rsidRPr="00860D57">
        <w:rPr>
          <w:rFonts w:asciiTheme="minorBidi" w:hAnsiTheme="minorBidi" w:cstheme="minorBidi"/>
          <w:sz w:val="32"/>
          <w:szCs w:val="32"/>
          <w:rtl/>
          <w:lang w:bidi="ar-DZ"/>
        </w:rPr>
        <w:t>....او</w:t>
      </w:r>
      <w:proofErr w:type="gramEnd"/>
      <w:r w:rsidRPr="00860D57">
        <w:rPr>
          <w:rFonts w:asciiTheme="minorBidi" w:hAnsiTheme="minorBidi" w:cstheme="minorBidi"/>
          <w:sz w:val="32"/>
          <w:szCs w:val="32"/>
          <w:rtl/>
          <w:lang w:bidi="ar-DZ"/>
        </w:rPr>
        <w:t xml:space="preserve"> ليبين لنا مدى انفعاله به أو ليصدر لنا حكما أو تقويما له، أما المنظّر الأدبي فيهتم بجملة من النصوص لا لكي يدرس أحكاما أو يصور انفعاله إزاء هذه الأعمال وإنما كي يستنبط مبادئ عامة شاملة تبين حقيقة الأدب وأثره كظاهرة عامة أيضا)</w:t>
      </w:r>
      <w:r w:rsidRPr="00860D57">
        <w:rPr>
          <w:rStyle w:val="Appelnotedebasdep"/>
          <w:rFonts w:asciiTheme="minorBidi" w:hAnsiTheme="minorBidi" w:cstheme="minorBidi"/>
          <w:sz w:val="32"/>
          <w:szCs w:val="32"/>
          <w:rtl/>
          <w:lang w:bidi="ar-DZ"/>
        </w:rPr>
        <w:footnoteReference w:id="7"/>
      </w:r>
      <w:r w:rsidRPr="00860D57">
        <w:rPr>
          <w:rFonts w:asciiTheme="minorBidi" w:hAnsiTheme="minorBidi" w:cstheme="minorBidi"/>
          <w:sz w:val="32"/>
          <w:szCs w:val="32"/>
          <w:rtl/>
          <w:lang w:bidi="ar-DZ"/>
        </w:rPr>
        <w:t xml:space="preserve">. وإذا عدنا إلى تعريفها باختصار </w:t>
      </w:r>
      <w:proofErr w:type="gramStart"/>
      <w:r w:rsidRPr="00860D57">
        <w:rPr>
          <w:rFonts w:asciiTheme="minorBidi" w:hAnsiTheme="minorBidi" w:cstheme="minorBidi"/>
          <w:sz w:val="32"/>
          <w:szCs w:val="32"/>
          <w:rtl/>
          <w:lang w:bidi="ar-DZ"/>
        </w:rPr>
        <w:t>فــ(</w:t>
      </w:r>
      <w:proofErr w:type="gramEnd"/>
      <w:r w:rsidRPr="00860D57">
        <w:rPr>
          <w:rFonts w:asciiTheme="minorBidi" w:hAnsiTheme="minorBidi" w:cstheme="minorBidi"/>
          <w:sz w:val="32"/>
          <w:szCs w:val="32"/>
          <w:rtl/>
          <w:lang w:bidi="ar-DZ"/>
        </w:rPr>
        <w:t xml:space="preserve">إن النظرية سواء كانت علمية أو أدبية تنطوي على مجموعة </w:t>
      </w:r>
      <w:r w:rsidRPr="00860D57">
        <w:rPr>
          <w:rFonts w:asciiTheme="minorBidi" w:hAnsiTheme="minorBidi" w:cstheme="minorBidi"/>
          <w:sz w:val="32"/>
          <w:szCs w:val="32"/>
          <w:lang w:bidi="ar-DZ"/>
        </w:rPr>
        <w:t xml:space="preserve"> </w:t>
      </w:r>
      <w:r w:rsidRPr="00860D57">
        <w:rPr>
          <w:rFonts w:asciiTheme="minorBidi" w:hAnsiTheme="minorBidi" w:cstheme="minorBidi"/>
          <w:sz w:val="32"/>
          <w:szCs w:val="32"/>
          <w:rtl/>
          <w:lang w:bidi="ar-DZ"/>
        </w:rPr>
        <w:t>من التعميمات التأويلية التفسيرية، التي تؤدي على شرح وتفسير نصوص معينة، وبذلك تؤدي وظيفة منهجية )</w:t>
      </w:r>
      <w:r w:rsidRPr="00860D57">
        <w:rPr>
          <w:rStyle w:val="Appelnotedebasdep"/>
          <w:rFonts w:asciiTheme="minorBidi" w:hAnsiTheme="minorBidi" w:cstheme="minorBidi"/>
          <w:sz w:val="32"/>
          <w:szCs w:val="32"/>
          <w:rtl/>
          <w:lang w:bidi="ar-DZ"/>
        </w:rPr>
        <w:footnoteReference w:id="8"/>
      </w:r>
      <w:r w:rsidRPr="00860D57">
        <w:rPr>
          <w:rFonts w:asciiTheme="minorBidi" w:hAnsiTheme="minorBidi" w:cstheme="minorBidi"/>
          <w:sz w:val="32"/>
          <w:szCs w:val="32"/>
          <w:rtl/>
          <w:lang w:bidi="ar-DZ"/>
        </w:rPr>
        <w:t>.</w:t>
      </w: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p>
    <w:p w:rsidR="00860D57" w:rsidRPr="00860D57" w:rsidRDefault="00860D57" w:rsidP="00860D57">
      <w:pPr>
        <w:bidi/>
        <w:spacing w:line="360" w:lineRule="auto"/>
        <w:rPr>
          <w:rFonts w:asciiTheme="minorBidi" w:hAnsiTheme="minorBidi" w:cstheme="minorBidi"/>
          <w:sz w:val="32"/>
          <w:szCs w:val="32"/>
          <w:rtl/>
          <w:lang w:bidi="ar-DZ"/>
        </w:rPr>
      </w:pPr>
      <w:bookmarkStart w:id="0" w:name="_GoBack"/>
      <w:bookmarkEnd w:id="0"/>
    </w:p>
    <w:sectPr w:rsidR="00860D57" w:rsidRPr="00860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85" w:rsidRDefault="00AD5A85" w:rsidP="00860D57">
      <w:pPr>
        <w:spacing w:after="0" w:line="240" w:lineRule="auto"/>
      </w:pPr>
      <w:r>
        <w:separator/>
      </w:r>
    </w:p>
  </w:endnote>
  <w:endnote w:type="continuationSeparator" w:id="0">
    <w:p w:rsidR="00AD5A85" w:rsidRDefault="00AD5A85" w:rsidP="0086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85" w:rsidRDefault="00AD5A85" w:rsidP="00860D57">
      <w:pPr>
        <w:spacing w:after="0" w:line="240" w:lineRule="auto"/>
      </w:pPr>
      <w:r>
        <w:separator/>
      </w:r>
    </w:p>
  </w:footnote>
  <w:footnote w:type="continuationSeparator" w:id="0">
    <w:p w:rsidR="00AD5A85" w:rsidRDefault="00AD5A85" w:rsidP="00860D57">
      <w:pPr>
        <w:spacing w:after="0" w:line="240" w:lineRule="auto"/>
      </w:pPr>
      <w:r>
        <w:continuationSeparator/>
      </w:r>
    </w:p>
  </w:footnote>
  <w:footnote w:id="1">
    <w:p w:rsidR="00860D57" w:rsidRPr="006D1F89" w:rsidRDefault="00860D57" w:rsidP="00860D57">
      <w:pPr>
        <w:pStyle w:val="Notedebasdepage"/>
        <w:bidi/>
        <w:rPr>
          <w:sz w:val="28"/>
          <w:szCs w:val="28"/>
          <w:rtl/>
          <w:lang w:bidi="ar-DZ"/>
        </w:rPr>
      </w:pPr>
      <w:r>
        <w:rPr>
          <w:rFonts w:hint="cs"/>
          <w:sz w:val="28"/>
          <w:szCs w:val="28"/>
          <w:rtl/>
        </w:rPr>
        <w:t xml:space="preserve"> </w:t>
      </w:r>
      <w:r w:rsidRPr="006D1F89">
        <w:rPr>
          <w:rStyle w:val="Appelnotedebasdep"/>
          <w:sz w:val="28"/>
          <w:szCs w:val="28"/>
        </w:rPr>
        <w:footnoteRef/>
      </w:r>
      <w:r>
        <w:rPr>
          <w:rFonts w:hint="cs"/>
          <w:sz w:val="28"/>
          <w:szCs w:val="28"/>
          <w:rtl/>
        </w:rPr>
        <w:t xml:space="preserve">  </w:t>
      </w:r>
      <w:r w:rsidRPr="006D1F89">
        <w:rPr>
          <w:sz w:val="28"/>
          <w:szCs w:val="28"/>
        </w:rPr>
        <w:t xml:space="preserve"> </w:t>
      </w:r>
      <w:r>
        <w:rPr>
          <w:rFonts w:hint="cs"/>
          <w:sz w:val="28"/>
          <w:szCs w:val="28"/>
          <w:rtl/>
        </w:rPr>
        <w:t xml:space="preserve">تيري </w:t>
      </w:r>
      <w:proofErr w:type="spellStart"/>
      <w:r>
        <w:rPr>
          <w:rFonts w:hint="cs"/>
          <w:sz w:val="28"/>
          <w:szCs w:val="28"/>
          <w:rtl/>
        </w:rPr>
        <w:t>إيغلتون</w:t>
      </w:r>
      <w:proofErr w:type="spellEnd"/>
      <w:r>
        <w:rPr>
          <w:rFonts w:hint="cs"/>
          <w:sz w:val="28"/>
          <w:szCs w:val="28"/>
          <w:rtl/>
        </w:rPr>
        <w:t>، نظرية الأدب، تر: تائر ديب، منشورات وزارة الثقافة السورية، دمشق،1995، ص90</w:t>
      </w:r>
    </w:p>
  </w:footnote>
  <w:footnote w:id="2">
    <w:p w:rsidR="00860D57" w:rsidRPr="00AE0CBD" w:rsidRDefault="00860D57" w:rsidP="00860D57">
      <w:pPr>
        <w:pStyle w:val="Notedebasdepage"/>
        <w:bidi/>
        <w:rPr>
          <w:sz w:val="28"/>
          <w:szCs w:val="28"/>
          <w:rtl/>
        </w:rPr>
      </w:pPr>
      <w:r w:rsidRPr="00AE0CBD">
        <w:rPr>
          <w:sz w:val="22"/>
          <w:szCs w:val="22"/>
        </w:rPr>
        <w:footnoteRef/>
      </w:r>
      <w:r w:rsidRPr="00AE0CBD">
        <w:rPr>
          <w:sz w:val="28"/>
          <w:szCs w:val="28"/>
        </w:rPr>
        <w:t xml:space="preserve"> </w:t>
      </w:r>
      <w:r>
        <w:rPr>
          <w:rFonts w:hint="cs"/>
          <w:sz w:val="28"/>
          <w:szCs w:val="28"/>
          <w:rtl/>
        </w:rPr>
        <w:t xml:space="preserve">  ينظر ك، م، نيوتن، نظرية الأدب في القرن العشرين، تر: عيسى علي </w:t>
      </w:r>
      <w:proofErr w:type="spellStart"/>
      <w:proofErr w:type="gramStart"/>
      <w:r>
        <w:rPr>
          <w:rFonts w:hint="cs"/>
          <w:sz w:val="28"/>
          <w:szCs w:val="28"/>
          <w:rtl/>
        </w:rPr>
        <w:t>العاكوب</w:t>
      </w:r>
      <w:proofErr w:type="spellEnd"/>
      <w:r>
        <w:rPr>
          <w:rFonts w:hint="cs"/>
          <w:sz w:val="28"/>
          <w:szCs w:val="28"/>
          <w:rtl/>
        </w:rPr>
        <w:t xml:space="preserve"> ،</w:t>
      </w:r>
      <w:proofErr w:type="gramEnd"/>
      <w:r>
        <w:rPr>
          <w:rFonts w:hint="cs"/>
          <w:sz w:val="28"/>
          <w:szCs w:val="28"/>
          <w:rtl/>
        </w:rPr>
        <w:t xml:space="preserve"> ط1، ع للدراسات والبحوث الإنسانية والاجتماعية، مصر،1996، ص132</w:t>
      </w:r>
    </w:p>
  </w:footnote>
  <w:footnote w:id="3">
    <w:p w:rsidR="00860D57" w:rsidRPr="00777D7A" w:rsidRDefault="00860D57" w:rsidP="00860D57">
      <w:pPr>
        <w:pStyle w:val="Notedebasdepage"/>
        <w:bidi/>
        <w:rPr>
          <w:sz w:val="28"/>
          <w:szCs w:val="28"/>
          <w:rtl/>
        </w:rPr>
      </w:pPr>
      <w:r w:rsidRPr="00777D7A">
        <w:rPr>
          <w:rStyle w:val="Appelnotedebasdep"/>
          <w:sz w:val="28"/>
          <w:szCs w:val="28"/>
        </w:rPr>
        <w:footnoteRef/>
      </w:r>
      <w:r w:rsidRPr="00777D7A">
        <w:rPr>
          <w:sz w:val="28"/>
          <w:szCs w:val="28"/>
        </w:rPr>
        <w:t xml:space="preserve"> </w:t>
      </w:r>
      <w:r w:rsidRPr="00777D7A">
        <w:rPr>
          <w:rFonts w:hint="cs"/>
          <w:sz w:val="28"/>
          <w:szCs w:val="28"/>
          <w:rtl/>
        </w:rPr>
        <w:t xml:space="preserve"> </w:t>
      </w:r>
      <w:r>
        <w:rPr>
          <w:rFonts w:hint="cs"/>
          <w:rtl/>
        </w:rPr>
        <w:t xml:space="preserve">  </w:t>
      </w:r>
      <w:r w:rsidRPr="00777D7A">
        <w:rPr>
          <w:rFonts w:hint="cs"/>
          <w:sz w:val="28"/>
          <w:szCs w:val="28"/>
          <w:rtl/>
        </w:rPr>
        <w:t>ينظر ك، م، نيوتن، نظرية الأدب في القرن العشرين، ص186</w:t>
      </w:r>
    </w:p>
  </w:footnote>
  <w:footnote w:id="4">
    <w:p w:rsidR="00860D57" w:rsidRPr="00777D7A" w:rsidRDefault="00860D57" w:rsidP="00860D57">
      <w:pPr>
        <w:pStyle w:val="Notedebasdepage"/>
        <w:bidi/>
        <w:rPr>
          <w:sz w:val="28"/>
          <w:szCs w:val="28"/>
          <w:rtl/>
          <w:lang w:bidi="ar-DZ"/>
        </w:rPr>
      </w:pPr>
      <w:r w:rsidRPr="00777D7A">
        <w:rPr>
          <w:rStyle w:val="Appelnotedebasdep"/>
          <w:sz w:val="28"/>
          <w:szCs w:val="28"/>
        </w:rPr>
        <w:footnoteRef/>
      </w:r>
      <w:r w:rsidRPr="00777D7A">
        <w:rPr>
          <w:sz w:val="28"/>
          <w:szCs w:val="28"/>
        </w:rPr>
        <w:t xml:space="preserve"> </w:t>
      </w:r>
      <w:r w:rsidRPr="00777D7A">
        <w:rPr>
          <w:rFonts w:hint="cs"/>
          <w:sz w:val="28"/>
          <w:szCs w:val="28"/>
          <w:rtl/>
        </w:rPr>
        <w:t xml:space="preserve">  </w:t>
      </w:r>
      <w:proofErr w:type="spellStart"/>
      <w:r w:rsidRPr="00777D7A">
        <w:rPr>
          <w:rFonts w:hint="cs"/>
          <w:sz w:val="28"/>
          <w:szCs w:val="28"/>
          <w:rtl/>
        </w:rPr>
        <w:t>ميجان</w:t>
      </w:r>
      <w:proofErr w:type="spellEnd"/>
      <w:r w:rsidRPr="00777D7A">
        <w:rPr>
          <w:rFonts w:hint="cs"/>
          <w:sz w:val="28"/>
          <w:szCs w:val="28"/>
          <w:rtl/>
        </w:rPr>
        <w:t xml:space="preserve"> الرويلي، سعد البازعي، دليل الناقد الأدبي، المركز الثقافي العربي، ط3، الدار البيضاء،2002، ص277 </w:t>
      </w:r>
    </w:p>
  </w:footnote>
  <w:footnote w:id="5">
    <w:p w:rsidR="00860D57" w:rsidRPr="002F598B" w:rsidRDefault="00860D57" w:rsidP="00860D57">
      <w:pPr>
        <w:bidi/>
        <w:rPr>
          <w:sz w:val="32"/>
          <w:szCs w:val="32"/>
          <w:rtl/>
        </w:rPr>
      </w:pPr>
      <w:r w:rsidRPr="006A1BD9">
        <w:rPr>
          <w:rFonts w:hint="cs"/>
          <w:sz w:val="28"/>
          <w:szCs w:val="28"/>
          <w:rtl/>
        </w:rPr>
        <w:t xml:space="preserve"> </w:t>
      </w:r>
      <w:r w:rsidRPr="006A1BD9">
        <w:rPr>
          <w:rStyle w:val="Appelnotedebasdep"/>
          <w:sz w:val="28"/>
          <w:szCs w:val="28"/>
        </w:rPr>
        <w:footnoteRef/>
      </w:r>
      <w:r w:rsidRPr="006A1BD9">
        <w:rPr>
          <w:rFonts w:hint="cs"/>
          <w:sz w:val="28"/>
          <w:szCs w:val="28"/>
          <w:rtl/>
        </w:rPr>
        <w:t xml:space="preserve"> د أحمد العدواني،</w:t>
      </w:r>
      <w:r>
        <w:rPr>
          <w:rFonts w:hint="cs"/>
          <w:rtl/>
        </w:rPr>
        <w:t xml:space="preserve"> </w:t>
      </w:r>
      <w:r w:rsidRPr="00E63741">
        <w:rPr>
          <w:rFonts w:hint="cs"/>
          <w:sz w:val="28"/>
          <w:szCs w:val="28"/>
          <w:rtl/>
        </w:rPr>
        <w:t>تعريف نظرية الأدب 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1" w:history="1">
        <w:r w:rsidRPr="00DB2C8B">
          <w:rPr>
            <w:rStyle w:val="Lienhypertexte"/>
          </w:rPr>
          <w:t>https://lissanarab.blogspot.com/2019/03/blog-post_33.html</w:t>
        </w:r>
      </w:hyperlink>
      <w:r>
        <w:rPr>
          <w:rFonts w:hint="cs"/>
          <w:rtl/>
        </w:rPr>
        <w:t xml:space="preserve"> </w:t>
      </w:r>
    </w:p>
  </w:footnote>
  <w:footnote w:id="6">
    <w:p w:rsidR="00860D57" w:rsidRDefault="00860D57" w:rsidP="00860D57">
      <w:pPr>
        <w:pStyle w:val="Notedebasdepage"/>
        <w:bidi/>
        <w:rPr>
          <w:rtl/>
          <w:lang w:bidi="ar-DZ"/>
        </w:rPr>
      </w:pPr>
      <w:r w:rsidRPr="00093826">
        <w:rPr>
          <w:rStyle w:val="Appelnotedebasdep"/>
          <w:sz w:val="28"/>
          <w:szCs w:val="28"/>
        </w:rPr>
        <w:footnoteRef/>
      </w:r>
      <w:r w:rsidRPr="00093826">
        <w:rPr>
          <w:sz w:val="28"/>
          <w:szCs w:val="28"/>
        </w:rPr>
        <w:t xml:space="preserve"> </w:t>
      </w:r>
      <w:r>
        <w:rPr>
          <w:rFonts w:hint="cs"/>
          <w:rtl/>
          <w:lang w:bidi="ar-DZ"/>
        </w:rPr>
        <w:t xml:space="preserve">  </w:t>
      </w:r>
      <w:r w:rsidRPr="004C6384">
        <w:rPr>
          <w:rFonts w:hint="cs"/>
          <w:sz w:val="28"/>
          <w:szCs w:val="28"/>
          <w:rtl/>
          <w:lang w:bidi="ar-DZ"/>
        </w:rPr>
        <w:t xml:space="preserve">يُنظر، </w:t>
      </w:r>
      <w:r w:rsidRPr="006A1BD9">
        <w:rPr>
          <w:rFonts w:hint="cs"/>
          <w:sz w:val="28"/>
          <w:szCs w:val="28"/>
          <w:rtl/>
        </w:rPr>
        <w:t>د أحمد العدواني،</w:t>
      </w:r>
      <w:r>
        <w:rPr>
          <w:rFonts w:hint="cs"/>
          <w:rtl/>
        </w:rPr>
        <w:t xml:space="preserve"> </w:t>
      </w:r>
      <w:r w:rsidRPr="00E63741">
        <w:rPr>
          <w:rFonts w:hint="cs"/>
          <w:sz w:val="28"/>
          <w:szCs w:val="28"/>
          <w:rtl/>
        </w:rPr>
        <w:t>تعريف نظرية الأدب 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2" w:history="1">
        <w:r w:rsidRPr="00DB2C8B">
          <w:rPr>
            <w:rStyle w:val="Lienhypertexte"/>
          </w:rPr>
          <w:t>https://lissanarab.blogspot.com/2019/03/blog-post_33.html</w:t>
        </w:r>
      </w:hyperlink>
    </w:p>
  </w:footnote>
  <w:footnote w:id="7">
    <w:p w:rsidR="00860D57" w:rsidRPr="004C6384" w:rsidRDefault="00860D57" w:rsidP="00860D57">
      <w:pPr>
        <w:pStyle w:val="Notedebasdepage"/>
        <w:bidi/>
        <w:rPr>
          <w:sz w:val="28"/>
          <w:szCs w:val="28"/>
          <w:rtl/>
          <w:lang w:bidi="ar-DZ"/>
        </w:rPr>
      </w:pPr>
      <w:r w:rsidRPr="004C6384">
        <w:rPr>
          <w:rStyle w:val="Appelnotedebasdep"/>
          <w:sz w:val="28"/>
          <w:szCs w:val="28"/>
        </w:rPr>
        <w:footnoteRef/>
      </w:r>
      <w:r w:rsidRPr="004C6384">
        <w:rPr>
          <w:sz w:val="28"/>
          <w:szCs w:val="28"/>
        </w:rPr>
        <w:t xml:space="preserve"> </w:t>
      </w:r>
      <w:r w:rsidRPr="004C6384">
        <w:rPr>
          <w:rFonts w:hint="cs"/>
          <w:sz w:val="28"/>
          <w:szCs w:val="28"/>
          <w:rtl/>
          <w:lang w:bidi="ar-DZ"/>
        </w:rPr>
        <w:t xml:space="preserve">  ينظر، د شكري عزيز ماضي، في نظرية الأدب، المؤسسة العربية للدراسات والنشر، عمان، الاردن "1،2005، ص14</w:t>
      </w:r>
    </w:p>
  </w:footnote>
  <w:footnote w:id="8">
    <w:p w:rsidR="00860D57" w:rsidRPr="00093826" w:rsidRDefault="00860D57" w:rsidP="00860D57">
      <w:pPr>
        <w:pStyle w:val="Notedebasdepage"/>
        <w:bidi/>
        <w:rPr>
          <w:sz w:val="28"/>
          <w:szCs w:val="28"/>
          <w:rtl/>
          <w:lang w:bidi="ar-DZ"/>
        </w:rPr>
      </w:pPr>
      <w:r w:rsidRPr="00093826">
        <w:rPr>
          <w:rStyle w:val="Appelnotedebasdep"/>
          <w:sz w:val="28"/>
          <w:szCs w:val="28"/>
        </w:rPr>
        <w:footnoteRef/>
      </w:r>
      <w:r w:rsidRPr="00093826">
        <w:rPr>
          <w:sz w:val="28"/>
          <w:szCs w:val="28"/>
        </w:rPr>
        <w:t xml:space="preserve"> </w:t>
      </w:r>
      <w:r>
        <w:rPr>
          <w:rFonts w:hint="cs"/>
          <w:rtl/>
        </w:rPr>
        <w:t xml:space="preserve">  </w:t>
      </w:r>
      <w:proofErr w:type="spellStart"/>
      <w:r w:rsidRPr="00777D7A">
        <w:rPr>
          <w:rFonts w:hint="cs"/>
          <w:sz w:val="28"/>
          <w:szCs w:val="28"/>
          <w:rtl/>
        </w:rPr>
        <w:t>ميجان</w:t>
      </w:r>
      <w:proofErr w:type="spellEnd"/>
      <w:r w:rsidRPr="00777D7A">
        <w:rPr>
          <w:rFonts w:hint="cs"/>
          <w:sz w:val="28"/>
          <w:szCs w:val="28"/>
          <w:rtl/>
        </w:rPr>
        <w:t xml:space="preserve"> الرويلي، سعد البازعي، دليل الناقد الأدبي، ص277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9A1"/>
    <w:multiLevelType w:val="hybridMultilevel"/>
    <w:tmpl w:val="43DA5B1A"/>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1F2457B3"/>
    <w:multiLevelType w:val="hybridMultilevel"/>
    <w:tmpl w:val="B9C08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33792A"/>
    <w:multiLevelType w:val="hybridMultilevel"/>
    <w:tmpl w:val="275AF4CC"/>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3">
    <w:nsid w:val="36F64C04"/>
    <w:multiLevelType w:val="hybridMultilevel"/>
    <w:tmpl w:val="0FE29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57"/>
    <w:rsid w:val="001B2648"/>
    <w:rsid w:val="00860D57"/>
    <w:rsid w:val="00AD5A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5190F-6473-4CA9-9D55-15F32C17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57"/>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D57"/>
    <w:pPr>
      <w:ind w:left="720"/>
      <w:contextualSpacing/>
    </w:pPr>
  </w:style>
  <w:style w:type="character" w:styleId="Lienhypertexte">
    <w:name w:val="Hyperlink"/>
    <w:basedOn w:val="Policepardfaut"/>
    <w:uiPriority w:val="99"/>
    <w:unhideWhenUsed/>
    <w:rsid w:val="00860D57"/>
    <w:rPr>
      <w:color w:val="0563C1" w:themeColor="hyperlink"/>
      <w:u w:val="single"/>
    </w:rPr>
  </w:style>
  <w:style w:type="paragraph" w:styleId="Notedebasdepage">
    <w:name w:val="footnote text"/>
    <w:basedOn w:val="Normal"/>
    <w:link w:val="NotedebasdepageCar"/>
    <w:uiPriority w:val="99"/>
    <w:unhideWhenUsed/>
    <w:rsid w:val="00860D57"/>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860D57"/>
    <w:rPr>
      <w:sz w:val="20"/>
      <w:szCs w:val="20"/>
    </w:rPr>
  </w:style>
  <w:style w:type="character" w:styleId="Appelnotedebasdep">
    <w:name w:val="footnote reference"/>
    <w:basedOn w:val="Policepardfaut"/>
    <w:uiPriority w:val="99"/>
    <w:semiHidden/>
    <w:unhideWhenUsed/>
    <w:rsid w:val="00860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ssanarab.blogspot.com/2019/03/blog-post_33.html" TargetMode="External"/><Relationship Id="rId1"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2021-10-22T18:39:00Z</dcterms:created>
  <dcterms:modified xsi:type="dcterms:W3CDTF">2021-10-22T18:46:00Z</dcterms:modified>
</cp:coreProperties>
</file>