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57E" w:rsidRPr="00500767" w:rsidRDefault="00500767" w:rsidP="00500767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500767">
        <w:rPr>
          <w:rFonts w:asciiTheme="majorBidi" w:hAnsiTheme="majorBidi" w:cstheme="majorBidi"/>
          <w:b/>
          <w:bCs/>
          <w:sz w:val="24"/>
          <w:szCs w:val="24"/>
        </w:rPr>
        <w:t>TP N°2</w:t>
      </w:r>
      <w:r w:rsidRPr="00500767">
        <w:rPr>
          <w:rFonts w:asciiTheme="majorBidi" w:hAnsiTheme="majorBidi" w:cstheme="majorBidi"/>
          <w:b/>
          <w:bCs/>
        </w:rPr>
        <w:t xml:space="preserve"> </w:t>
      </w:r>
      <w:r w:rsidR="00FB357E" w:rsidRPr="00500767">
        <w:rPr>
          <w:rFonts w:asciiTheme="majorBidi" w:hAnsiTheme="majorBidi" w:cstheme="majorBidi"/>
          <w:b/>
          <w:bCs/>
        </w:rPr>
        <w:t>Méthode d’analyse microbiologique du beurre</w:t>
      </w:r>
    </w:p>
    <w:p w:rsidR="00FB357E" w:rsidRPr="00500767" w:rsidRDefault="00FB357E" w:rsidP="00500767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500767">
        <w:rPr>
          <w:rFonts w:asciiTheme="majorBidi" w:hAnsiTheme="majorBidi" w:cstheme="majorBidi"/>
          <w:b/>
          <w:bCs/>
        </w:rPr>
        <w:t xml:space="preserve">- Echantillonnage </w:t>
      </w:r>
    </w:p>
    <w:p w:rsidR="00FB357E" w:rsidRPr="00500767" w:rsidRDefault="00FB357E" w:rsidP="00500767">
      <w:pPr>
        <w:spacing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Le contrôle doit porter sur 5 préemballages issus d'un lot de même fabrication.</w:t>
      </w:r>
    </w:p>
    <w:p w:rsidR="00FB357E" w:rsidRPr="00500767" w:rsidRDefault="00FB357E" w:rsidP="00500767">
      <w:pPr>
        <w:spacing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Selon la masse conditionnée dans un préemballage, le prélèvement sera constitué de la manière suivante :</w:t>
      </w:r>
    </w:p>
    <w:p w:rsidR="00FB357E" w:rsidRPr="00500767" w:rsidRDefault="001B7860" w:rsidP="00500767">
      <w:pPr>
        <w:spacing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0" locked="0" layoutInCell="1" allowOverlap="1" wp14:anchorId="19DDA2A9">
            <wp:simplePos x="0" y="0"/>
            <wp:positionH relativeFrom="rightMargin">
              <wp:posOffset>193040</wp:posOffset>
            </wp:positionH>
            <wp:positionV relativeFrom="paragraph">
              <wp:posOffset>351155</wp:posOffset>
            </wp:positionV>
            <wp:extent cx="831850" cy="869880"/>
            <wp:effectExtent l="0" t="0" r="6350" b="69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57E" w:rsidRPr="00500767">
        <w:rPr>
          <w:rFonts w:asciiTheme="majorBidi" w:hAnsiTheme="majorBidi" w:cstheme="majorBidi"/>
        </w:rPr>
        <w:t>- Poids unitaire inférieur à 1 kg : 5 préemballages intacts de 125 g à 250 g.</w:t>
      </w:r>
    </w:p>
    <w:p w:rsidR="00FB357E" w:rsidRPr="00500767" w:rsidRDefault="00FB357E" w:rsidP="00500767">
      <w:pPr>
        <w:spacing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 xml:space="preserve">- Poids unitaire supérieur à 1 kg : à partir de 5 préemballages, prélever chacun 5 morceaux de 200 g environ. Le prélèvement sera réalisé </w:t>
      </w:r>
      <w:r w:rsidRPr="00500767">
        <w:rPr>
          <w:rFonts w:asciiTheme="majorBidi" w:hAnsiTheme="majorBidi" w:cstheme="majorBidi"/>
          <w:u w:val="single"/>
        </w:rPr>
        <w:t>au moyen d'une sonde à beurre</w:t>
      </w:r>
      <w:r w:rsidRPr="00500767">
        <w:rPr>
          <w:rFonts w:asciiTheme="majorBidi" w:hAnsiTheme="majorBidi" w:cstheme="majorBidi"/>
        </w:rPr>
        <w:t xml:space="preserve">. Ou prélever d'une manière aseptique par préemballage, </w:t>
      </w:r>
      <w:r w:rsidR="00431277">
        <w:rPr>
          <w:rFonts w:asciiTheme="majorBidi" w:hAnsiTheme="majorBidi" w:cstheme="majorBidi"/>
        </w:rPr>
        <w:t>1</w:t>
      </w:r>
      <w:r w:rsidRPr="00500767">
        <w:rPr>
          <w:rFonts w:asciiTheme="majorBidi" w:hAnsiTheme="majorBidi" w:cstheme="majorBidi"/>
        </w:rPr>
        <w:t xml:space="preserve"> morceau de 300 g à 400 g de produit de forme pyramidale.</w:t>
      </w:r>
    </w:p>
    <w:p w:rsidR="00FB357E" w:rsidRPr="00500767" w:rsidRDefault="00FB357E" w:rsidP="00500767">
      <w:pPr>
        <w:spacing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Les prélèvements seront transportés et conservés jusqu'au moment de l'analyse à une température positive n'excédant pas + 6° C.</w:t>
      </w:r>
    </w:p>
    <w:p w:rsidR="00FB357E" w:rsidRPr="00500767" w:rsidRDefault="00FB357E" w:rsidP="0050076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0767">
        <w:rPr>
          <w:rFonts w:asciiTheme="majorBidi" w:hAnsiTheme="majorBidi" w:cstheme="majorBidi"/>
          <w:b/>
          <w:bCs/>
        </w:rPr>
        <w:t>2- Préparation de l'échantillon pour essai</w:t>
      </w:r>
    </w:p>
    <w:p w:rsidR="0071091E" w:rsidRPr="00500767" w:rsidRDefault="0071091E" w:rsidP="0050076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0767">
        <w:rPr>
          <w:rFonts w:asciiTheme="majorBidi" w:hAnsiTheme="majorBidi" w:cstheme="majorBidi"/>
          <w:b/>
          <w:bCs/>
        </w:rPr>
        <w:t xml:space="preserve">2.1 Unité préemballée : </w:t>
      </w:r>
    </w:p>
    <w:p w:rsidR="00FB357E" w:rsidRPr="00500767" w:rsidRDefault="0071091E" w:rsidP="00500767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 xml:space="preserve">Développer soigneusement le papier d'emballage et d'une manière aseptique </w:t>
      </w:r>
      <w:r w:rsidRPr="00C15ABF">
        <w:rPr>
          <w:rFonts w:asciiTheme="majorBidi" w:hAnsiTheme="majorBidi" w:cstheme="majorBidi"/>
          <w:u w:val="single"/>
        </w:rPr>
        <w:t>sans éliminer</w:t>
      </w:r>
      <w:r w:rsidRPr="00500767">
        <w:rPr>
          <w:rFonts w:asciiTheme="majorBidi" w:hAnsiTheme="majorBidi" w:cstheme="majorBidi"/>
        </w:rPr>
        <w:t xml:space="preserve"> la couche superficielle, transférer 50 g de produit dans un godet de centrifugation à capsule vissée stérile.</w:t>
      </w:r>
    </w:p>
    <w:p w:rsidR="0071091E" w:rsidRPr="00500767" w:rsidRDefault="0071091E" w:rsidP="0050076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0767">
        <w:rPr>
          <w:rFonts w:asciiTheme="majorBidi" w:hAnsiTheme="majorBidi" w:cstheme="majorBidi"/>
          <w:b/>
          <w:bCs/>
        </w:rPr>
        <w:t xml:space="preserve">2.2 Prélèvement opéré par sonde à beurre </w:t>
      </w:r>
    </w:p>
    <w:p w:rsidR="0071091E" w:rsidRPr="00500767" w:rsidRDefault="0071091E" w:rsidP="00500767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Transférer d'une manière aseptique 50 g de produit dans le godet de centrifugation.</w:t>
      </w:r>
    </w:p>
    <w:p w:rsidR="00CB6FC0" w:rsidRPr="00500767" w:rsidRDefault="00CB6FC0" w:rsidP="0050076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0767">
        <w:rPr>
          <w:rFonts w:asciiTheme="majorBidi" w:hAnsiTheme="majorBidi" w:cstheme="majorBidi"/>
          <w:b/>
          <w:bCs/>
        </w:rPr>
        <w:t>2.3 Prélèvement sous forme d'une masse pyramidale</w:t>
      </w:r>
    </w:p>
    <w:p w:rsidR="00C15ABF" w:rsidRPr="00500767" w:rsidRDefault="00CB6FC0" w:rsidP="00C15ABF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A l'aide d'un couteau nettoyé à l'alcool et flambé, enlever la couche superficielle sur 1cm environ d'épaisseur et introduire aseptiquement 50 g de produit dans le godet de centrifugation. Conservation au réfrigérateur entre 0 °C et + 5 ° C, jusqu'au moment de la préparation de la phase aqueuse.</w:t>
      </w:r>
    </w:p>
    <w:p w:rsidR="00EC3D89" w:rsidRPr="00500767" w:rsidRDefault="00EC3D89" w:rsidP="0050076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0767">
        <w:rPr>
          <w:rFonts w:asciiTheme="majorBidi" w:hAnsiTheme="majorBidi" w:cstheme="majorBidi"/>
          <w:b/>
          <w:bCs/>
        </w:rPr>
        <w:t>3 - Préparation de la phase aqueuse, dilution primaire</w:t>
      </w:r>
    </w:p>
    <w:p w:rsidR="00EC3D89" w:rsidRPr="00500767" w:rsidRDefault="00EC3D89" w:rsidP="0050076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0767">
        <w:rPr>
          <w:rFonts w:asciiTheme="majorBidi" w:hAnsiTheme="majorBidi" w:cstheme="majorBidi"/>
          <w:b/>
          <w:bCs/>
        </w:rPr>
        <w:t>3.1 Beurre cru et beurre pasteurisé :</w:t>
      </w:r>
    </w:p>
    <w:p w:rsidR="00EC3D89" w:rsidRPr="00500767" w:rsidRDefault="00EC3D89" w:rsidP="00500767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Dans le godet de centrifugation contenant 50 g de beurre, transférer 42 ml de solution à 2% de phosphate dipotassique, pH 7,5 ± 0,1 stérile (4).</w:t>
      </w:r>
    </w:p>
    <w:p w:rsidR="00EC3D89" w:rsidRPr="00500767" w:rsidRDefault="00EC3D89" w:rsidP="00500767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Faire fondre dans un bain-marie n'excédant pas 45° C.</w:t>
      </w:r>
    </w:p>
    <w:p w:rsidR="00EC3D89" w:rsidRPr="00500767" w:rsidRDefault="00EC3D89" w:rsidP="00500767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Dès la fusion du beurre, centrifuger à 1000-2000 t/min. pendant 1 à 2 minutes.  Disposer le godet sur un portoir.</w:t>
      </w:r>
    </w:p>
    <w:p w:rsidR="00EC3D89" w:rsidRPr="00500767" w:rsidRDefault="00EC3D89" w:rsidP="00500767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 xml:space="preserve">Eliminer la matière grasse par aspiration, pour cela utiliser une </w:t>
      </w:r>
      <w:r w:rsidRPr="00500767">
        <w:rPr>
          <w:rFonts w:asciiTheme="majorBidi" w:hAnsiTheme="majorBidi" w:cstheme="majorBidi"/>
          <w:u w:val="single"/>
        </w:rPr>
        <w:t>pipette courte</w:t>
      </w:r>
      <w:r w:rsidRPr="00500767">
        <w:rPr>
          <w:rFonts w:asciiTheme="majorBidi" w:hAnsiTheme="majorBidi" w:cstheme="majorBidi"/>
        </w:rPr>
        <w:t xml:space="preserve"> ou un embout en matière synthétique stérile fixée à l'extrémité d'un tube de caoutchouc relié à un ballon à deux tubulures communiquant à une fiole à vide (piège), elle-même reliée à une trompe à eau.</w:t>
      </w:r>
    </w:p>
    <w:p w:rsidR="0052311B" w:rsidRPr="00500767" w:rsidRDefault="00EC3D89" w:rsidP="00500767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lastRenderedPageBreak/>
        <w:t>Changer de pipette ou d'embout entre chaque échantillon.  Effectuer l'analyse bactériologique sans tarder.</w:t>
      </w:r>
    </w:p>
    <w:p w:rsidR="00EC3D89" w:rsidRPr="00500767" w:rsidRDefault="00EC3D89" w:rsidP="006C2C3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500767">
        <w:rPr>
          <w:rFonts w:asciiTheme="majorBidi" w:hAnsiTheme="majorBidi" w:cstheme="majorBidi"/>
          <w:b/>
          <w:bCs/>
        </w:rPr>
        <w:t>3.2 Corps gras à base de matière grasse butyrique :</w:t>
      </w:r>
    </w:p>
    <w:p w:rsidR="00546783" w:rsidRPr="00500767" w:rsidRDefault="00EC3D89" w:rsidP="006C2C3F">
      <w:pPr>
        <w:spacing w:after="0" w:line="24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Le mode de préparation de la dilution primaire est</w:t>
      </w:r>
      <w:r w:rsidR="00546783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semblable à celui décrit en (3.1); toutefois, la quantité de</w:t>
      </w:r>
      <w:r w:rsidR="00546783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solution  à 2% de phosphate dipotassique à pH 7,5  ± 0,</w:t>
      </w:r>
      <w:proofErr w:type="spellStart"/>
      <w:r w:rsidRPr="00500767">
        <w:rPr>
          <w:rFonts w:asciiTheme="majorBidi" w:hAnsiTheme="majorBidi" w:cstheme="majorBidi"/>
        </w:rPr>
        <w:t>l</w:t>
      </w:r>
      <w:proofErr w:type="spellEnd"/>
      <w:r w:rsidR="00546783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sera calculée selon la teneur en lipides du produit, par</w:t>
      </w:r>
    </w:p>
    <w:p w:rsidR="00EC3D89" w:rsidRPr="00500767" w:rsidRDefault="00EC3D89" w:rsidP="006C2C3F">
      <w:pPr>
        <w:spacing w:after="0" w:line="24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exemple :</w:t>
      </w:r>
    </w:p>
    <w:p w:rsidR="00546783" w:rsidRPr="00500767" w:rsidRDefault="00546783" w:rsidP="006C2C3F">
      <w:pPr>
        <w:spacing w:after="0" w:line="24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— Produit  dont  la teneur en lipides est comprise entre</w:t>
      </w:r>
    </w:p>
    <w:p w:rsidR="00546783" w:rsidRPr="00500767" w:rsidRDefault="00546783" w:rsidP="006C2C3F">
      <w:pPr>
        <w:spacing w:after="0" w:line="24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38 g %  et 41 g% utiliser 20 ml de diluant.</w:t>
      </w:r>
    </w:p>
    <w:p w:rsidR="00546783" w:rsidRPr="00500767" w:rsidRDefault="00546783" w:rsidP="00155E92">
      <w:pPr>
        <w:spacing w:after="0" w:line="24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— Produit dont la teneur en lipides est supérieure ou</w:t>
      </w:r>
      <w:r w:rsidR="007B0C6A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inférieure à  38  g% et 41 g% : pour 50 g de produit,</w:t>
      </w:r>
      <w:r w:rsidR="007B0C6A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utiliser un volume de diluant égal à la moitié de la</w:t>
      </w:r>
      <w:r w:rsidR="00155E92">
        <w:rPr>
          <w:rFonts w:asciiTheme="majorBidi" w:hAnsiTheme="majorBidi" w:cstheme="majorBidi"/>
        </w:rPr>
        <w:t xml:space="preserve">, </w:t>
      </w:r>
      <w:r w:rsidRPr="00500767">
        <w:rPr>
          <w:rFonts w:asciiTheme="majorBidi" w:hAnsiTheme="majorBidi" w:cstheme="majorBidi"/>
        </w:rPr>
        <w:t>quantité des lipides présents dans 100 g de produit.</w:t>
      </w:r>
    </w:p>
    <w:p w:rsidR="00546783" w:rsidRPr="00500767" w:rsidRDefault="00546783" w:rsidP="006C2C3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500767">
        <w:rPr>
          <w:rFonts w:asciiTheme="majorBidi" w:hAnsiTheme="majorBidi" w:cstheme="majorBidi"/>
          <w:b/>
          <w:bCs/>
        </w:rPr>
        <w:t>3.3 Beurre concentré</w:t>
      </w:r>
    </w:p>
    <w:p w:rsidR="00546783" w:rsidRPr="00500767" w:rsidRDefault="00546783" w:rsidP="006C2C3F">
      <w:pPr>
        <w:spacing w:after="0" w:line="24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Le mode de préparation de la dilution primaire est</w:t>
      </w:r>
      <w:r w:rsidR="007B0C6A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semblable à celui décrit en (3.1). mais utiliser comme</w:t>
      </w:r>
      <w:r w:rsidR="007B0C6A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 xml:space="preserve">diluant la solution de </w:t>
      </w:r>
      <w:proofErr w:type="spellStart"/>
      <w:r w:rsidRPr="00500767">
        <w:rPr>
          <w:rFonts w:asciiTheme="majorBidi" w:hAnsiTheme="majorBidi" w:cstheme="majorBidi"/>
        </w:rPr>
        <w:t>tryptone</w:t>
      </w:r>
      <w:proofErr w:type="spellEnd"/>
      <w:r w:rsidRPr="00500767">
        <w:rPr>
          <w:rFonts w:asciiTheme="majorBidi" w:hAnsiTheme="majorBidi" w:cstheme="majorBidi"/>
        </w:rPr>
        <w:t>-sel (se reporter à 4) à raison</w:t>
      </w:r>
    </w:p>
    <w:p w:rsidR="007B0C6A" w:rsidRPr="00500767" w:rsidRDefault="00546783" w:rsidP="006C2C3F">
      <w:pPr>
        <w:spacing w:after="0" w:line="24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de 50 ml.</w:t>
      </w:r>
      <w:r w:rsidR="007B0C6A" w:rsidRPr="00500767">
        <w:rPr>
          <w:rFonts w:asciiTheme="majorBidi" w:hAnsiTheme="majorBidi" w:cstheme="majorBidi"/>
        </w:rPr>
        <w:t xml:space="preserve"> </w:t>
      </w:r>
    </w:p>
    <w:p w:rsidR="00546783" w:rsidRPr="00500767" w:rsidRDefault="00546783" w:rsidP="006C2C3F">
      <w:pPr>
        <w:spacing w:after="0" w:line="24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500767">
        <w:rPr>
          <w:rFonts w:asciiTheme="majorBidi" w:hAnsiTheme="majorBidi" w:cstheme="majorBidi"/>
          <w:b/>
          <w:bCs/>
          <w:u w:val="single"/>
        </w:rPr>
        <w:t>En se basant sur la composition type de chaque produit,</w:t>
      </w:r>
      <w:r w:rsidR="007B0C6A" w:rsidRPr="00500767">
        <w:rPr>
          <w:rFonts w:asciiTheme="majorBidi" w:hAnsiTheme="majorBidi" w:cstheme="majorBidi"/>
          <w:b/>
          <w:bCs/>
          <w:u w:val="single"/>
        </w:rPr>
        <w:t xml:space="preserve"> </w:t>
      </w:r>
      <w:r w:rsidRPr="00500767">
        <w:rPr>
          <w:rFonts w:asciiTheme="majorBidi" w:hAnsiTheme="majorBidi" w:cstheme="majorBidi"/>
          <w:b/>
          <w:bCs/>
          <w:u w:val="single"/>
        </w:rPr>
        <w:t>admettre de manière conventionnelle que 1 ml de la phase</w:t>
      </w:r>
      <w:r w:rsidR="007B0C6A" w:rsidRPr="00500767">
        <w:rPr>
          <w:rFonts w:asciiTheme="majorBidi" w:hAnsiTheme="majorBidi" w:cstheme="majorBidi"/>
          <w:b/>
          <w:bCs/>
          <w:u w:val="single"/>
        </w:rPr>
        <w:t xml:space="preserve"> </w:t>
      </w:r>
      <w:r w:rsidRPr="00500767">
        <w:rPr>
          <w:rFonts w:asciiTheme="majorBidi" w:hAnsiTheme="majorBidi" w:cstheme="majorBidi"/>
          <w:b/>
          <w:bCs/>
          <w:u w:val="single"/>
        </w:rPr>
        <w:t>aqueuse, dilution primaire, représente 1 g. de produit.</w:t>
      </w:r>
    </w:p>
    <w:p w:rsidR="00500767" w:rsidRDefault="00500767" w:rsidP="006C2C3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546783" w:rsidRPr="00500767" w:rsidRDefault="00546783" w:rsidP="002F6D64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0767">
        <w:rPr>
          <w:rFonts w:asciiTheme="majorBidi" w:hAnsiTheme="majorBidi" w:cstheme="majorBidi"/>
          <w:b/>
          <w:bCs/>
        </w:rPr>
        <w:t>4 - Diluants et préparation des dilutions décimales</w:t>
      </w:r>
    </w:p>
    <w:p w:rsidR="00546783" w:rsidRPr="00500767" w:rsidRDefault="00546783" w:rsidP="002F6D64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0767">
        <w:rPr>
          <w:rFonts w:asciiTheme="majorBidi" w:hAnsiTheme="majorBidi" w:cstheme="majorBidi"/>
          <w:b/>
          <w:bCs/>
        </w:rPr>
        <w:t>4.1 Diluants</w:t>
      </w:r>
    </w:p>
    <w:p w:rsidR="00546783" w:rsidRPr="00500767" w:rsidRDefault="00546783" w:rsidP="002F6D64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Deux diluants sont utilisés, pour des raisons pratiques,</w:t>
      </w:r>
      <w:r w:rsidR="007B0C6A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distribuer les diluants, solution à 2% de phosphate</w:t>
      </w:r>
      <w:r w:rsidR="007B0C6A" w:rsidRPr="00500767">
        <w:rPr>
          <w:rFonts w:asciiTheme="majorBidi" w:hAnsiTheme="majorBidi" w:cstheme="majorBidi"/>
        </w:rPr>
        <w:t xml:space="preserve"> dipotassique pH</w:t>
      </w:r>
      <w:r w:rsidRPr="00500767">
        <w:rPr>
          <w:rFonts w:asciiTheme="majorBidi" w:hAnsiTheme="majorBidi" w:cstheme="majorBidi"/>
        </w:rPr>
        <w:t xml:space="preserve"> 7,5  ± 0,1 et solution de </w:t>
      </w:r>
      <w:proofErr w:type="spellStart"/>
      <w:r w:rsidRPr="00500767">
        <w:rPr>
          <w:rFonts w:asciiTheme="majorBidi" w:hAnsiTheme="majorBidi" w:cstheme="majorBidi"/>
        </w:rPr>
        <w:t>tryptone</w:t>
      </w:r>
      <w:proofErr w:type="spellEnd"/>
      <w:r w:rsidRPr="00500767">
        <w:rPr>
          <w:rFonts w:asciiTheme="majorBidi" w:hAnsiTheme="majorBidi" w:cstheme="majorBidi"/>
        </w:rPr>
        <w:t xml:space="preserve"> sel (ou</w:t>
      </w:r>
      <w:r w:rsidR="007B0C6A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 xml:space="preserve">solution de </w:t>
      </w:r>
      <w:proofErr w:type="spellStart"/>
      <w:r w:rsidRPr="00500767">
        <w:rPr>
          <w:rFonts w:asciiTheme="majorBidi" w:hAnsiTheme="majorBidi" w:cstheme="majorBidi"/>
        </w:rPr>
        <w:t>Ringer</w:t>
      </w:r>
      <w:proofErr w:type="spellEnd"/>
      <w:r w:rsidRPr="00500767">
        <w:rPr>
          <w:rFonts w:asciiTheme="majorBidi" w:hAnsiTheme="majorBidi" w:cstheme="majorBidi"/>
        </w:rPr>
        <w:t>) de telle sorte qu'après stérilisation, le</w:t>
      </w:r>
      <w:r w:rsidR="007B0C6A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volume soit de 50 ml.</w:t>
      </w:r>
    </w:p>
    <w:p w:rsidR="007B0C6A" w:rsidRPr="00500767" w:rsidRDefault="007B0C6A" w:rsidP="002F6D64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546783" w:rsidRPr="00500767" w:rsidRDefault="00546783" w:rsidP="002F6D64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0767">
        <w:rPr>
          <w:rFonts w:asciiTheme="majorBidi" w:hAnsiTheme="majorBidi" w:cstheme="majorBidi"/>
          <w:b/>
          <w:bCs/>
        </w:rPr>
        <w:t>4.2 Dilutions décimales</w:t>
      </w:r>
    </w:p>
    <w:p w:rsidR="00546783" w:rsidRPr="00500767" w:rsidRDefault="00546783" w:rsidP="002F6D64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Au moment de l’emploi, distribuer la solution de</w:t>
      </w:r>
      <w:r w:rsidR="007B0C6A" w:rsidRPr="00500767">
        <w:rPr>
          <w:rFonts w:asciiTheme="majorBidi" w:hAnsiTheme="majorBidi" w:cstheme="majorBidi"/>
        </w:rPr>
        <w:t xml:space="preserve"> </w:t>
      </w:r>
      <w:proofErr w:type="spellStart"/>
      <w:r w:rsidRPr="00500767">
        <w:rPr>
          <w:rFonts w:asciiTheme="majorBidi" w:hAnsiTheme="majorBidi" w:cstheme="majorBidi"/>
        </w:rPr>
        <w:t>tryptone</w:t>
      </w:r>
      <w:proofErr w:type="spellEnd"/>
      <w:r w:rsidRPr="00500767">
        <w:rPr>
          <w:rFonts w:asciiTheme="majorBidi" w:hAnsiTheme="majorBidi" w:cstheme="majorBidi"/>
        </w:rPr>
        <w:t xml:space="preserve">-sel (ou solution de </w:t>
      </w:r>
      <w:proofErr w:type="spellStart"/>
      <w:r w:rsidRPr="00500767">
        <w:rPr>
          <w:rFonts w:asciiTheme="majorBidi" w:hAnsiTheme="majorBidi" w:cstheme="majorBidi"/>
        </w:rPr>
        <w:t>Ringer</w:t>
      </w:r>
      <w:proofErr w:type="spellEnd"/>
      <w:r w:rsidRPr="00500767">
        <w:rPr>
          <w:rFonts w:asciiTheme="majorBidi" w:hAnsiTheme="majorBidi" w:cstheme="majorBidi"/>
        </w:rPr>
        <w:t>) à raison de 9 ml dans</w:t>
      </w:r>
      <w:r w:rsidR="007B0C6A" w:rsidRPr="00500767">
        <w:rPr>
          <w:rFonts w:asciiTheme="majorBidi" w:hAnsiTheme="majorBidi" w:cstheme="majorBidi"/>
        </w:rPr>
        <w:t xml:space="preserve"> des tubes</w:t>
      </w:r>
      <w:r w:rsidRPr="00500767">
        <w:rPr>
          <w:rFonts w:asciiTheme="majorBidi" w:hAnsiTheme="majorBidi" w:cstheme="majorBidi"/>
        </w:rPr>
        <w:t xml:space="preserve"> de 20 mm x 200 mm stériles.</w:t>
      </w:r>
    </w:p>
    <w:p w:rsidR="00546783" w:rsidRPr="00500767" w:rsidRDefault="00546783" w:rsidP="002F6D64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Mélanger convenablement la dilution primaire par</w:t>
      </w:r>
      <w:r w:rsidR="007B0C6A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 xml:space="preserve">aspiration et </w:t>
      </w:r>
      <w:r w:rsidR="0002616A" w:rsidRPr="00500767">
        <w:rPr>
          <w:rFonts w:asciiTheme="majorBidi" w:hAnsiTheme="majorBidi" w:cstheme="majorBidi"/>
        </w:rPr>
        <w:t xml:space="preserve">refoulement une dizaine de </w:t>
      </w:r>
      <w:r w:rsidRPr="00500767">
        <w:rPr>
          <w:rFonts w:asciiTheme="majorBidi" w:hAnsiTheme="majorBidi" w:cstheme="majorBidi"/>
        </w:rPr>
        <w:t>fois à l'aide</w:t>
      </w:r>
      <w:r w:rsidR="007B0C6A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d'une  pipette de 1 ml stérile, puis introduire 1 ml dans un</w:t>
      </w:r>
      <w:r w:rsidR="007B0C6A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 xml:space="preserve">tube contenant 9 ml de solution de </w:t>
      </w:r>
      <w:proofErr w:type="spellStart"/>
      <w:r w:rsidRPr="00500767">
        <w:rPr>
          <w:rFonts w:asciiTheme="majorBidi" w:hAnsiTheme="majorBidi" w:cstheme="majorBidi"/>
        </w:rPr>
        <w:t>tryptone</w:t>
      </w:r>
      <w:proofErr w:type="spellEnd"/>
      <w:r w:rsidRPr="00500767">
        <w:rPr>
          <w:rFonts w:asciiTheme="majorBidi" w:hAnsiTheme="majorBidi" w:cstheme="majorBidi"/>
        </w:rPr>
        <w:t>-sel stérile afin</w:t>
      </w:r>
      <w:r w:rsidR="007B0C6A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d'obtenir une dilution au 1/10.</w:t>
      </w:r>
    </w:p>
    <w:p w:rsidR="007B0C6A" w:rsidRPr="00500767" w:rsidRDefault="007B0C6A" w:rsidP="002F6D64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46783" w:rsidRPr="00500767" w:rsidRDefault="00546783" w:rsidP="002F6D64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Mélanger soigneusement pendant 5 à 10 secondes au</w:t>
      </w:r>
      <w:r w:rsidR="0002616A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moyen d'un agitateur à mouvement de rotation excentré.</w:t>
      </w:r>
    </w:p>
    <w:p w:rsidR="00546783" w:rsidRPr="00500767" w:rsidRDefault="00546783" w:rsidP="002F6D64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De manière identique, préparer une dilution au 1/100 et</w:t>
      </w:r>
      <w:r w:rsidR="00377DBD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une dilution au 1/1000.</w:t>
      </w:r>
    </w:p>
    <w:p w:rsidR="00546783" w:rsidRPr="00500767" w:rsidRDefault="00546783" w:rsidP="002F6D64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0767">
        <w:rPr>
          <w:rFonts w:asciiTheme="majorBidi" w:hAnsiTheme="majorBidi" w:cstheme="majorBidi"/>
          <w:b/>
          <w:bCs/>
        </w:rPr>
        <w:t>5 - Expression des résultats</w:t>
      </w:r>
    </w:p>
    <w:p w:rsidR="00546783" w:rsidRPr="00500767" w:rsidRDefault="00546783" w:rsidP="002F6D64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Afin que les résultats de l'analyse bactériologique</w:t>
      </w:r>
      <w:r w:rsidR="00377DBD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puissent permettre une évaluation significative de la</w:t>
      </w:r>
      <w:r w:rsidR="00377DBD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qualité hygiénique des fabrications de beurres crus,</w:t>
      </w:r>
      <w:r w:rsidR="00377DBD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beurres pasteurisés, corps gras à base de matière grasse</w:t>
      </w:r>
      <w:r w:rsidR="00377DBD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 xml:space="preserve">butyrique et beurres concentrés, il y a lieu </w:t>
      </w:r>
      <w:r w:rsidR="00377DBD" w:rsidRPr="00500767">
        <w:rPr>
          <w:rFonts w:asciiTheme="majorBidi" w:hAnsiTheme="majorBidi" w:cstheme="majorBidi"/>
        </w:rPr>
        <w:t xml:space="preserve">de se </w:t>
      </w:r>
      <w:r w:rsidRPr="00500767">
        <w:rPr>
          <w:rFonts w:asciiTheme="majorBidi" w:hAnsiTheme="majorBidi" w:cstheme="majorBidi"/>
        </w:rPr>
        <w:t>conformer au protocole décrit afin de restreindre à un</w:t>
      </w:r>
      <w:r w:rsidR="00377DBD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minimum les divergences d'ordre technique.</w:t>
      </w:r>
    </w:p>
    <w:p w:rsidR="00546783" w:rsidRPr="00500767" w:rsidRDefault="00546783" w:rsidP="002F6D64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lastRenderedPageBreak/>
        <w:t xml:space="preserve">— Durée de l'examen </w:t>
      </w:r>
      <w:r w:rsidR="00377DBD" w:rsidRPr="00500767">
        <w:rPr>
          <w:rFonts w:asciiTheme="majorBidi" w:hAnsiTheme="majorBidi" w:cstheme="majorBidi"/>
        </w:rPr>
        <w:t>bactériologique :</w:t>
      </w:r>
      <w:r w:rsidRPr="00500767">
        <w:rPr>
          <w:rFonts w:asciiTheme="majorBidi" w:hAnsiTheme="majorBidi" w:cstheme="majorBidi"/>
        </w:rPr>
        <w:t xml:space="preserve"> le temps qui</w:t>
      </w:r>
      <w:r w:rsidR="00377DBD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s'écoule entre la fin de la préparation de la dilution</w:t>
      </w:r>
      <w:r w:rsidR="00377DBD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primaire et celui du mélange des dilutions avec le milieu</w:t>
      </w:r>
      <w:r w:rsidR="00377DBD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de culture ne doit pas excéder 15 minutes.</w:t>
      </w:r>
    </w:p>
    <w:p w:rsidR="00546783" w:rsidRPr="00500767" w:rsidRDefault="00546783" w:rsidP="002F6D64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— Température d'incubation et refroidissement des</w:t>
      </w:r>
      <w:r w:rsidR="00377DBD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milieux : tous les appareils utilisés, étuves, bains-marie,</w:t>
      </w:r>
      <w:r w:rsidR="00377DBD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doivent être vérifiés périodiquement (au moins deux fois</w:t>
      </w:r>
      <w:r w:rsidR="00377DBD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par mois).</w:t>
      </w:r>
    </w:p>
    <w:p w:rsidR="00546783" w:rsidRPr="00500767" w:rsidRDefault="00546783" w:rsidP="002F6D64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— Lecture des résultats : selon les indications données.</w:t>
      </w:r>
    </w:p>
    <w:p w:rsidR="00377DBD" w:rsidRPr="00500767" w:rsidRDefault="00377DBD" w:rsidP="002F6D64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966952" w:rsidRDefault="00546783" w:rsidP="002F6D64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Cependant, lorsque les résultats ne peuvent être exprimés</w:t>
      </w:r>
      <w:r w:rsidR="00377DBD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correctement, recommencer l'analyse en examinant une</w:t>
      </w:r>
      <w:r w:rsidR="00377DBD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gamme plus étendue de dilutions.</w:t>
      </w:r>
    </w:p>
    <w:p w:rsidR="00546783" w:rsidRPr="00500767" w:rsidRDefault="00546783" w:rsidP="00966952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 xml:space="preserve"> Si l'examen se situe</w:t>
      </w:r>
      <w:r w:rsidR="00966952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au-delà des délais de consommation (limite ou optimale),</w:t>
      </w:r>
      <w:r w:rsidR="00377DBD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le mentionner sur le bulletin d'analyse.</w:t>
      </w:r>
    </w:p>
    <w:p w:rsidR="00377DBD" w:rsidRPr="00500767" w:rsidRDefault="00546783" w:rsidP="00EC0834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— Qualité des milieux de culture : d'une manière</w:t>
      </w:r>
      <w:r w:rsidR="00377DBD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générale, il est recommandé d'utiliser des milieux</w:t>
      </w:r>
      <w:r w:rsidR="00377DBD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complets déshydratés.</w:t>
      </w:r>
    </w:p>
    <w:p w:rsidR="00377DBD" w:rsidRPr="00500767" w:rsidRDefault="00377DBD" w:rsidP="002F6D64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77DBD" w:rsidRPr="00500767" w:rsidRDefault="00377DBD" w:rsidP="002F6D64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0767">
        <w:rPr>
          <w:rFonts w:asciiTheme="majorBidi" w:hAnsiTheme="majorBidi" w:cstheme="majorBidi"/>
          <w:b/>
          <w:bCs/>
        </w:rPr>
        <w:t xml:space="preserve">5.1 Micro-organismes aérobies à 30° C dits de contamination </w:t>
      </w:r>
    </w:p>
    <w:p w:rsidR="00377DBD" w:rsidRPr="00500767" w:rsidRDefault="00377DBD" w:rsidP="002F6D64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Ce dénombrement est appliqué aux beurres pasteurisés et concerne les micro-organismes provenant de contaminations diverses qui peuvent se produire au cours de la fabrication du beurre. La flore lactique qui a pu être ensemencée dans la crème selon la technologie employée, doit être exclue de ce dénombrement.</w:t>
      </w:r>
    </w:p>
    <w:p w:rsidR="00BA0FBD" w:rsidRPr="00500767" w:rsidRDefault="00BA0FBD" w:rsidP="002F6D64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0767">
        <w:rPr>
          <w:rFonts w:asciiTheme="majorBidi" w:hAnsiTheme="majorBidi" w:cstheme="majorBidi"/>
          <w:b/>
          <w:bCs/>
        </w:rPr>
        <w:t>5.1.2 Ensemencement :</w:t>
      </w:r>
    </w:p>
    <w:p w:rsidR="00BA0FBD" w:rsidRPr="00500767" w:rsidRDefault="00BA0FBD" w:rsidP="002F6D64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 xml:space="preserve">Déposer en double dans des boîtes de </w:t>
      </w:r>
      <w:r w:rsidR="00EC0834" w:rsidRPr="00500767">
        <w:rPr>
          <w:rFonts w:asciiTheme="majorBidi" w:hAnsiTheme="majorBidi" w:cstheme="majorBidi"/>
        </w:rPr>
        <w:t>Pétri 1</w:t>
      </w:r>
      <w:r w:rsidRPr="00500767">
        <w:rPr>
          <w:rFonts w:asciiTheme="majorBidi" w:hAnsiTheme="majorBidi" w:cstheme="majorBidi"/>
        </w:rPr>
        <w:t>ml de la dilution 10</w:t>
      </w:r>
      <w:r w:rsidRPr="00500767">
        <w:rPr>
          <w:rFonts w:asciiTheme="majorBidi" w:hAnsiTheme="majorBidi" w:cstheme="majorBidi"/>
          <w:vertAlign w:val="superscript"/>
        </w:rPr>
        <w:t>-1</w:t>
      </w:r>
      <w:r w:rsidRPr="00500767">
        <w:rPr>
          <w:rFonts w:asciiTheme="majorBidi" w:hAnsiTheme="majorBidi" w:cstheme="majorBidi"/>
        </w:rPr>
        <w:t xml:space="preserve">, 1 ml de la dilution 10 </w:t>
      </w:r>
      <w:r w:rsidRPr="00500767">
        <w:rPr>
          <w:rFonts w:asciiTheme="majorBidi" w:hAnsiTheme="majorBidi" w:cstheme="majorBidi"/>
          <w:vertAlign w:val="superscript"/>
        </w:rPr>
        <w:t>-2</w:t>
      </w:r>
      <w:r w:rsidRPr="00500767">
        <w:rPr>
          <w:rFonts w:asciiTheme="majorBidi" w:hAnsiTheme="majorBidi" w:cstheme="majorBidi"/>
        </w:rPr>
        <w:t xml:space="preserve"> et éventuellement 1ml de la dilution 10 </w:t>
      </w:r>
      <w:r w:rsidRPr="00500767">
        <w:rPr>
          <w:rFonts w:asciiTheme="majorBidi" w:hAnsiTheme="majorBidi" w:cstheme="majorBidi"/>
          <w:vertAlign w:val="superscript"/>
        </w:rPr>
        <w:t>-3</w:t>
      </w:r>
      <w:r w:rsidRPr="00500767">
        <w:rPr>
          <w:rFonts w:asciiTheme="majorBidi" w:hAnsiTheme="majorBidi" w:cstheme="majorBidi"/>
        </w:rPr>
        <w:t xml:space="preserve">. Couler 12 à 15 ml de milieu puis mélanger soigneusement l'inoculum avec le milieu.  </w:t>
      </w:r>
    </w:p>
    <w:p w:rsidR="00BA0FBD" w:rsidRPr="00500767" w:rsidRDefault="00BA0FBD" w:rsidP="002F6D64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Laisser refroidir et après solidification mettre à incuber à 30° C pendant 48 h puis à 20° C ± 1° C pendant 48 h.</w:t>
      </w:r>
    </w:p>
    <w:p w:rsidR="00BA0FBD" w:rsidRPr="00500767" w:rsidRDefault="00BA0FBD" w:rsidP="002F6D64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0767">
        <w:rPr>
          <w:rFonts w:asciiTheme="majorBidi" w:hAnsiTheme="majorBidi" w:cstheme="majorBidi"/>
          <w:b/>
          <w:bCs/>
        </w:rPr>
        <w:t xml:space="preserve">5.1.1 Milieu utilisé </w:t>
      </w:r>
    </w:p>
    <w:p w:rsidR="00BA0FBD" w:rsidRPr="00500767" w:rsidRDefault="00BA0FBD" w:rsidP="002F6D64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Composition</w:t>
      </w:r>
      <w:r w:rsidR="00993694" w:rsidRPr="00500767">
        <w:rPr>
          <w:rFonts w:asciiTheme="majorBidi" w:hAnsiTheme="majorBidi" w:cstheme="majorBidi"/>
        </w:rPr>
        <w:t>(g/l) :</w:t>
      </w:r>
    </w:p>
    <w:p w:rsidR="00BA0FBD" w:rsidRPr="00500767" w:rsidRDefault="00BA0FBD" w:rsidP="002F6D64">
      <w:pPr>
        <w:spacing w:after="0" w:line="360" w:lineRule="auto"/>
        <w:jc w:val="both"/>
        <w:rPr>
          <w:rFonts w:asciiTheme="majorBidi" w:hAnsiTheme="majorBidi" w:cstheme="majorBidi"/>
        </w:rPr>
      </w:pPr>
      <w:proofErr w:type="spellStart"/>
      <w:r w:rsidRPr="00500767">
        <w:rPr>
          <w:rFonts w:asciiTheme="majorBidi" w:hAnsiTheme="majorBidi" w:cstheme="majorBidi"/>
        </w:rPr>
        <w:t>Gelysate</w:t>
      </w:r>
      <w:proofErr w:type="spellEnd"/>
      <w:r w:rsidR="00993694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7,5 g</w:t>
      </w:r>
      <w:r w:rsidR="00993694" w:rsidRPr="00500767">
        <w:rPr>
          <w:rFonts w:asciiTheme="majorBidi" w:hAnsiTheme="majorBidi" w:cstheme="majorBidi"/>
        </w:rPr>
        <w:t xml:space="preserve">, </w:t>
      </w:r>
      <w:proofErr w:type="spellStart"/>
      <w:r w:rsidRPr="00500767">
        <w:rPr>
          <w:rFonts w:asciiTheme="majorBidi" w:hAnsiTheme="majorBidi" w:cstheme="majorBidi"/>
        </w:rPr>
        <w:t>Trypticase</w:t>
      </w:r>
      <w:proofErr w:type="spellEnd"/>
      <w:r w:rsidRPr="00500767">
        <w:rPr>
          <w:rFonts w:asciiTheme="majorBidi" w:hAnsiTheme="majorBidi" w:cstheme="majorBidi"/>
        </w:rPr>
        <w:t xml:space="preserve"> ou </w:t>
      </w:r>
      <w:proofErr w:type="spellStart"/>
      <w:r w:rsidRPr="00500767">
        <w:rPr>
          <w:rFonts w:asciiTheme="majorBidi" w:hAnsiTheme="majorBidi" w:cstheme="majorBidi"/>
        </w:rPr>
        <w:t>Tryptone</w:t>
      </w:r>
      <w:proofErr w:type="spellEnd"/>
      <w:r w:rsidRPr="00500767">
        <w:rPr>
          <w:rFonts w:asciiTheme="majorBidi" w:hAnsiTheme="majorBidi" w:cstheme="majorBidi"/>
        </w:rPr>
        <w:t xml:space="preserve"> 7,</w:t>
      </w:r>
      <w:r w:rsidR="00993694" w:rsidRPr="00500767">
        <w:rPr>
          <w:rFonts w:asciiTheme="majorBidi" w:hAnsiTheme="majorBidi" w:cstheme="majorBidi"/>
        </w:rPr>
        <w:t>5 Chlorure</w:t>
      </w:r>
      <w:r w:rsidRPr="00500767">
        <w:rPr>
          <w:rFonts w:asciiTheme="majorBidi" w:hAnsiTheme="majorBidi" w:cstheme="majorBidi"/>
        </w:rPr>
        <w:t xml:space="preserve"> de sodium5g</w:t>
      </w:r>
      <w:r w:rsidR="00993694" w:rsidRPr="00500767">
        <w:rPr>
          <w:rFonts w:asciiTheme="majorBidi" w:hAnsiTheme="majorBidi" w:cstheme="majorBidi"/>
        </w:rPr>
        <w:t xml:space="preserve">, </w:t>
      </w:r>
      <w:r w:rsidRPr="00500767">
        <w:rPr>
          <w:rFonts w:asciiTheme="majorBidi" w:hAnsiTheme="majorBidi" w:cstheme="majorBidi"/>
        </w:rPr>
        <w:t>Gélose (exempte</w:t>
      </w:r>
      <w:r w:rsidR="00993694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d'hydrates de carbone)</w:t>
      </w:r>
      <w:r w:rsidR="00993694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4 g</w:t>
      </w:r>
      <w:r w:rsidR="00993694" w:rsidRPr="00500767">
        <w:rPr>
          <w:rFonts w:asciiTheme="majorBidi" w:hAnsiTheme="majorBidi" w:cstheme="majorBidi"/>
        </w:rPr>
        <w:t xml:space="preserve">, </w:t>
      </w:r>
      <w:r w:rsidRPr="00500767">
        <w:rPr>
          <w:rFonts w:asciiTheme="majorBidi" w:hAnsiTheme="majorBidi" w:cstheme="majorBidi"/>
        </w:rPr>
        <w:t>Eau distillée1000 ml</w:t>
      </w:r>
      <w:r w:rsidR="00993694" w:rsidRPr="00500767">
        <w:rPr>
          <w:rFonts w:asciiTheme="majorBidi" w:hAnsiTheme="majorBidi" w:cstheme="majorBidi"/>
        </w:rPr>
        <w:t>.</w:t>
      </w:r>
    </w:p>
    <w:p w:rsidR="00BA0FBD" w:rsidRPr="00500767" w:rsidRDefault="00BA0FBD" w:rsidP="002F6D64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Ajuster le pH de sorte, qu'après stérilisation, il soit de</w:t>
      </w:r>
      <w:r w:rsidR="00993694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7,6 ± 0,l  à 25° C.</w:t>
      </w:r>
    </w:p>
    <w:p w:rsidR="00BA0FBD" w:rsidRPr="00500767" w:rsidRDefault="00BA0FBD" w:rsidP="002F6D64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Stériliser à l'autoclave à 121°C pendant 15 minutes.</w:t>
      </w:r>
      <w:r w:rsidR="00993694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Conserver au réfrigérateur pendant 1 mois au</w:t>
      </w:r>
      <w:r w:rsidR="00993694" w:rsidRPr="00500767">
        <w:rPr>
          <w:rFonts w:asciiTheme="majorBidi" w:hAnsiTheme="majorBidi" w:cstheme="majorBidi"/>
        </w:rPr>
        <w:t xml:space="preserve"> </w:t>
      </w:r>
      <w:r w:rsidRPr="00500767">
        <w:rPr>
          <w:rFonts w:asciiTheme="majorBidi" w:hAnsiTheme="majorBidi" w:cstheme="majorBidi"/>
        </w:rPr>
        <w:t>maximum.</w:t>
      </w:r>
    </w:p>
    <w:p w:rsidR="00BA0FBD" w:rsidRPr="00500767" w:rsidRDefault="00BA0FBD" w:rsidP="002F6D64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A0FBD" w:rsidRPr="00500767" w:rsidRDefault="00BA0FBD" w:rsidP="002F6D64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0767">
        <w:rPr>
          <w:rFonts w:asciiTheme="majorBidi" w:hAnsiTheme="majorBidi" w:cstheme="majorBidi"/>
          <w:b/>
          <w:bCs/>
        </w:rPr>
        <w:t>5.1.3 Lecture des boîtes :</w:t>
      </w:r>
    </w:p>
    <w:p w:rsidR="00377DBD" w:rsidRPr="00500767" w:rsidRDefault="00BA0FBD" w:rsidP="002F6D64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 xml:space="preserve">Retenir pour comptage les boîtes contenant entre 10 et 300 colonies. Dénombrer toutes les colonies en évitant d'inclure dans le comptage les colonies en « </w:t>
      </w:r>
      <w:r w:rsidRPr="00500767">
        <w:rPr>
          <w:rFonts w:asciiTheme="majorBidi" w:hAnsiTheme="majorBidi" w:cstheme="majorBidi"/>
          <w:b/>
          <w:bCs/>
        </w:rPr>
        <w:t>pointe d'épingle</w:t>
      </w:r>
      <w:r w:rsidRPr="00500767">
        <w:rPr>
          <w:rFonts w:asciiTheme="majorBidi" w:hAnsiTheme="majorBidi" w:cstheme="majorBidi"/>
        </w:rPr>
        <w:t xml:space="preserve"> » qui représentent une </w:t>
      </w:r>
      <w:r w:rsidRPr="00500767">
        <w:rPr>
          <w:rFonts w:asciiTheme="majorBidi" w:hAnsiTheme="majorBidi" w:cstheme="majorBidi"/>
          <w:u w:val="single"/>
        </w:rPr>
        <w:t>flore lactique</w:t>
      </w:r>
      <w:r w:rsidRPr="00500767">
        <w:rPr>
          <w:rFonts w:asciiTheme="majorBidi" w:hAnsiTheme="majorBidi" w:cstheme="majorBidi"/>
        </w:rPr>
        <w:t xml:space="preserve">.  Néanmoins, certaines souches d'espèces lactiques peuvent se </w:t>
      </w:r>
      <w:r w:rsidRPr="00500767">
        <w:rPr>
          <w:rFonts w:asciiTheme="majorBidi" w:hAnsiTheme="majorBidi" w:cstheme="majorBidi"/>
        </w:rPr>
        <w:lastRenderedPageBreak/>
        <w:t>développer convenablement et l'attention doit être retenue par la régularité de l'aspect morphologique, colonies lenticulaires ou rondes ; il est alors conseillé d'effectuer l'épreuve de la catalase, celle-ci doit être négative pour les espèces lactiques.</w:t>
      </w:r>
    </w:p>
    <w:p w:rsidR="00993694" w:rsidRPr="00500767" w:rsidRDefault="00993694" w:rsidP="002F6D64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0767">
        <w:rPr>
          <w:rFonts w:asciiTheme="majorBidi" w:hAnsiTheme="majorBidi" w:cstheme="majorBidi"/>
          <w:b/>
          <w:bCs/>
        </w:rPr>
        <w:t>5 1.4 Expression des résultats :</w:t>
      </w:r>
    </w:p>
    <w:p w:rsidR="00993694" w:rsidRPr="00500767" w:rsidRDefault="00993694" w:rsidP="002F6D64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Calculer le nombre de micro-organismes de contamination par millilitre de dilution primaire,</w:t>
      </w:r>
    </w:p>
    <w:p w:rsidR="00993694" w:rsidRPr="00500767" w:rsidRDefault="00A971A2" w:rsidP="002F6D64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C’est</w:t>
      </w:r>
      <w:r w:rsidR="00993694" w:rsidRPr="00500767">
        <w:rPr>
          <w:rFonts w:asciiTheme="majorBidi" w:hAnsiTheme="majorBidi" w:cstheme="majorBidi"/>
        </w:rPr>
        <w:t>-à-dire par gramme de beurre selon le mode de calcul suivant :</w:t>
      </w:r>
    </w:p>
    <w:p w:rsidR="00993694" w:rsidRPr="00500767" w:rsidRDefault="00993694" w:rsidP="002F6D64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</w:rPr>
        <w:t>— Cas où seuls les comptages d'une dilution sont retenus : effectuer la moyenne arithmétique.</w:t>
      </w:r>
    </w:p>
    <w:p w:rsidR="00993694" w:rsidRPr="00500767" w:rsidRDefault="00993694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75A31745">
            <wp:simplePos x="0" y="0"/>
            <wp:positionH relativeFrom="column">
              <wp:posOffset>819150</wp:posOffset>
            </wp:positionH>
            <wp:positionV relativeFrom="paragraph">
              <wp:posOffset>217805</wp:posOffset>
            </wp:positionV>
            <wp:extent cx="876300" cy="387350"/>
            <wp:effectExtent l="0" t="0" r="0" b="0"/>
            <wp:wrapTight wrapText="bothSides">
              <wp:wrapPolygon edited="0">
                <wp:start x="0" y="0"/>
                <wp:lineTo x="0" y="20184"/>
                <wp:lineTo x="21130" y="20184"/>
                <wp:lineTo x="21130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767">
        <w:rPr>
          <w:rFonts w:asciiTheme="majorBidi" w:hAnsiTheme="majorBidi" w:cstheme="majorBidi"/>
        </w:rPr>
        <w:t>— Cas où les comptages de deux dilutions successives sont retenus : appliquer la formule suivante :</w:t>
      </w:r>
      <w:r w:rsidRPr="00500767">
        <w:rPr>
          <w:rFonts w:asciiTheme="majorBidi" w:hAnsiTheme="majorBidi" w:cstheme="majorBidi"/>
          <w:noProof/>
        </w:rPr>
        <w:t xml:space="preserve"> </w:t>
      </w:r>
    </w:p>
    <w:p w:rsidR="008C44AA" w:rsidRPr="00500767" w:rsidRDefault="008C44AA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</w:p>
    <w:p w:rsidR="008C44AA" w:rsidRPr="00500767" w:rsidRDefault="008C44AA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Où  ∑c : somme totale des colonies comptées.</w:t>
      </w:r>
    </w:p>
    <w:p w:rsidR="008C44AA" w:rsidRPr="00500767" w:rsidRDefault="008C44AA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n1 :  nombre de boîtes comptées dans la première dilution.</w:t>
      </w:r>
    </w:p>
    <w:p w:rsidR="008C44AA" w:rsidRPr="00500767" w:rsidRDefault="008C44AA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n2 :  nombre de boîtes comptées dans la seconde</w:t>
      </w:r>
    </w:p>
    <w:p w:rsidR="008C44AA" w:rsidRPr="00500767" w:rsidRDefault="008C44AA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dilution.</w:t>
      </w:r>
    </w:p>
    <w:p w:rsidR="008C44AA" w:rsidRPr="00500767" w:rsidRDefault="008C44AA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d : facteur de dilution à partir duquel les premiers</w:t>
      </w:r>
    </w:p>
    <w:p w:rsidR="008C44AA" w:rsidRPr="00500767" w:rsidRDefault="008C44AA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comptages ont été obtenus.</w:t>
      </w:r>
    </w:p>
    <w:p w:rsidR="008C44AA" w:rsidRPr="00500767" w:rsidRDefault="008C44AA" w:rsidP="002F6D64">
      <w:pPr>
        <w:spacing w:after="0" w:line="360" w:lineRule="auto"/>
        <w:jc w:val="both"/>
        <w:rPr>
          <w:rFonts w:asciiTheme="majorBidi" w:hAnsiTheme="majorBidi" w:cstheme="majorBidi"/>
          <w:b/>
          <w:bCs/>
          <w:noProof/>
        </w:rPr>
      </w:pPr>
      <w:r w:rsidRPr="00500767">
        <w:rPr>
          <w:rFonts w:asciiTheme="majorBidi" w:hAnsiTheme="majorBidi" w:cstheme="majorBidi"/>
          <w:b/>
          <w:bCs/>
          <w:noProof/>
        </w:rPr>
        <w:t>5.2 Microorganismes aérobies à 30° C :</w:t>
      </w:r>
    </w:p>
    <w:p w:rsidR="008C44AA" w:rsidRPr="00500767" w:rsidRDefault="008C44AA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Ce dénombrement est appliqué au beurre concentré.</w:t>
      </w:r>
    </w:p>
    <w:p w:rsidR="008C44AA" w:rsidRPr="00500767" w:rsidRDefault="008C44AA" w:rsidP="002F6D64">
      <w:pPr>
        <w:spacing w:after="0" w:line="360" w:lineRule="auto"/>
        <w:jc w:val="both"/>
        <w:rPr>
          <w:rFonts w:asciiTheme="majorBidi" w:hAnsiTheme="majorBidi" w:cstheme="majorBidi"/>
          <w:b/>
          <w:bCs/>
          <w:noProof/>
        </w:rPr>
      </w:pPr>
      <w:r w:rsidRPr="00500767">
        <w:rPr>
          <w:rFonts w:asciiTheme="majorBidi" w:hAnsiTheme="majorBidi" w:cstheme="majorBidi"/>
          <w:b/>
          <w:bCs/>
          <w:noProof/>
        </w:rPr>
        <w:t>5.2.1 Milieu : utiliser le milieu dit « Plate Count Agar »</w:t>
      </w:r>
    </w:p>
    <w:p w:rsidR="008C44AA" w:rsidRPr="00500767" w:rsidRDefault="008C44AA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additionné de lait.</w:t>
      </w:r>
    </w:p>
    <w:p w:rsidR="008C44AA" w:rsidRPr="00500767" w:rsidRDefault="008C44AA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b/>
          <w:bCs/>
          <w:noProof/>
        </w:rPr>
        <w:t>5.2.2 Ensemencement</w:t>
      </w:r>
      <w:r w:rsidRPr="00500767">
        <w:rPr>
          <w:rFonts w:asciiTheme="majorBidi" w:hAnsiTheme="majorBidi" w:cstheme="majorBidi"/>
          <w:noProof/>
        </w:rPr>
        <w:t xml:space="preserve">  : </w:t>
      </w:r>
    </w:p>
    <w:p w:rsidR="008C44AA" w:rsidRPr="00500767" w:rsidRDefault="008C44AA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déposer en double dans des boîtes de Pétri 1 ml de la phase aqueuse dilution primaire et éventuellement 1 ml de la dilution 10</w:t>
      </w:r>
      <w:r w:rsidRPr="00A971A2">
        <w:rPr>
          <w:rFonts w:asciiTheme="majorBidi" w:hAnsiTheme="majorBidi" w:cstheme="majorBidi"/>
          <w:noProof/>
          <w:vertAlign w:val="superscript"/>
        </w:rPr>
        <w:t>-1</w:t>
      </w:r>
      <w:r w:rsidRPr="00500767">
        <w:rPr>
          <w:rFonts w:asciiTheme="majorBidi" w:hAnsiTheme="majorBidi" w:cstheme="majorBidi"/>
          <w:noProof/>
        </w:rPr>
        <w:t xml:space="preserve"> Couler 12 à 15 ml de milieu, puis mélanger soigneusement l'inoculum avec le milieu. Laisser refroidir et après solidification, mettre à incuber à 30° C pendant 72 h.</w:t>
      </w:r>
    </w:p>
    <w:p w:rsidR="008C44AA" w:rsidRPr="00500767" w:rsidRDefault="008C44AA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b/>
          <w:bCs/>
          <w:noProof/>
        </w:rPr>
        <w:t>5.2.3 Lecture des boîtes</w:t>
      </w:r>
      <w:r w:rsidRPr="00500767">
        <w:rPr>
          <w:rFonts w:asciiTheme="majorBidi" w:hAnsiTheme="majorBidi" w:cstheme="majorBidi"/>
          <w:noProof/>
        </w:rPr>
        <w:t xml:space="preserve"> :</w:t>
      </w:r>
    </w:p>
    <w:p w:rsidR="008C44AA" w:rsidRPr="00500767" w:rsidRDefault="008C44AA" w:rsidP="00A971A2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Retenir pour comptage les boîtes contenant entre 10 et 300 colonies. Dénombrer toutes les colonies en utilisant si nécessaire une loupe d'un grossissement de 1,5 au</w:t>
      </w:r>
      <w:r w:rsidR="00A971A2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>maximum.</w:t>
      </w:r>
    </w:p>
    <w:p w:rsidR="008C44AA" w:rsidRPr="00500767" w:rsidRDefault="008C44AA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b/>
          <w:bCs/>
          <w:noProof/>
        </w:rPr>
        <w:t>5.2.4 Expression des résultats</w:t>
      </w:r>
      <w:r w:rsidRPr="00500767">
        <w:rPr>
          <w:rFonts w:asciiTheme="majorBidi" w:hAnsiTheme="majorBidi" w:cstheme="majorBidi"/>
          <w:noProof/>
        </w:rPr>
        <w:t xml:space="preserve"> :</w:t>
      </w:r>
    </w:p>
    <w:p w:rsidR="008C44AA" w:rsidRPr="00500767" w:rsidRDefault="008C44AA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Calculer le nombre de micro-organismes aérobies par millilitre de dilution primaire, c’est à dire par gramme de beurre concentré  (5.1.4).</w:t>
      </w:r>
    </w:p>
    <w:p w:rsidR="008C44AA" w:rsidRPr="00500767" w:rsidRDefault="007751C9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b/>
          <w:bCs/>
          <w:noProof/>
        </w:rPr>
        <w:t>5.3 Bactéries coliformes à 30°</w:t>
      </w:r>
      <w:r w:rsidRPr="00500767">
        <w:rPr>
          <w:rFonts w:asciiTheme="majorBidi" w:hAnsiTheme="majorBidi" w:cstheme="majorBidi"/>
          <w:noProof/>
        </w:rPr>
        <w:t xml:space="preserve"> C</w:t>
      </w:r>
    </w:p>
    <w:p w:rsidR="007751C9" w:rsidRPr="00500767" w:rsidRDefault="007751C9" w:rsidP="002F6D64">
      <w:pPr>
        <w:spacing w:after="0" w:line="360" w:lineRule="auto"/>
        <w:jc w:val="both"/>
        <w:rPr>
          <w:rFonts w:asciiTheme="majorBidi" w:hAnsiTheme="majorBidi" w:cstheme="majorBidi"/>
          <w:b/>
          <w:bCs/>
          <w:noProof/>
        </w:rPr>
      </w:pPr>
      <w:r w:rsidRPr="00500767">
        <w:rPr>
          <w:rFonts w:asciiTheme="majorBidi" w:hAnsiTheme="majorBidi" w:cstheme="majorBidi"/>
          <w:b/>
          <w:bCs/>
          <w:noProof/>
        </w:rPr>
        <w:t>5.3.1 Milieu : gélose au désoxycholate</w:t>
      </w:r>
    </w:p>
    <w:p w:rsidR="007751C9" w:rsidRPr="00500767" w:rsidRDefault="007751C9" w:rsidP="002F6D64">
      <w:pPr>
        <w:spacing w:after="0" w:line="360" w:lineRule="auto"/>
        <w:jc w:val="both"/>
        <w:rPr>
          <w:rFonts w:asciiTheme="majorBidi" w:hAnsiTheme="majorBidi" w:cstheme="majorBidi"/>
          <w:b/>
          <w:bCs/>
          <w:noProof/>
        </w:rPr>
      </w:pPr>
      <w:r w:rsidRPr="00500767">
        <w:rPr>
          <w:rFonts w:asciiTheme="majorBidi" w:hAnsiTheme="majorBidi" w:cstheme="majorBidi"/>
          <w:b/>
          <w:bCs/>
          <w:noProof/>
        </w:rPr>
        <w:t>5.3.2 Ensemencement</w:t>
      </w:r>
    </w:p>
    <w:p w:rsidR="007751C9" w:rsidRPr="00500767" w:rsidRDefault="007751C9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Déposer en double dans des boîtes de Pétri, 1 ml de la phase aqueuse, dilution primaire et éventuellement 1 ml de la dilution 10</w:t>
      </w:r>
      <w:r w:rsidRPr="00A971A2">
        <w:rPr>
          <w:rFonts w:asciiTheme="majorBidi" w:hAnsiTheme="majorBidi" w:cstheme="majorBidi"/>
          <w:noProof/>
          <w:vertAlign w:val="superscript"/>
        </w:rPr>
        <w:t>-1</w:t>
      </w:r>
      <w:r w:rsidRPr="00500767">
        <w:rPr>
          <w:rFonts w:asciiTheme="majorBidi" w:hAnsiTheme="majorBidi" w:cstheme="majorBidi"/>
          <w:noProof/>
        </w:rPr>
        <w:t xml:space="preserve">. Couler le milieu à raison de 15 ml environ. Mélanger soigneusement l'inoculum avec le milieu.  Laisser refroidir puis couler une seconde couche </w:t>
      </w:r>
      <w:r w:rsidRPr="00500767">
        <w:rPr>
          <w:rFonts w:asciiTheme="majorBidi" w:hAnsiTheme="majorBidi" w:cstheme="majorBidi"/>
          <w:noProof/>
        </w:rPr>
        <w:lastRenderedPageBreak/>
        <w:t>avec 4 ml à 5 ml de milieu non ensemencé. Après solidification, mettre en incubation à 30°</w:t>
      </w:r>
      <w:r w:rsidR="00A971A2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>C pendant 22 h à 24 heures.</w:t>
      </w:r>
    </w:p>
    <w:p w:rsidR="006C2C3F" w:rsidRPr="00500767" w:rsidRDefault="006C2C3F" w:rsidP="002F6D64">
      <w:pPr>
        <w:spacing w:after="0" w:line="360" w:lineRule="auto"/>
        <w:jc w:val="both"/>
        <w:rPr>
          <w:rFonts w:asciiTheme="majorBidi" w:hAnsiTheme="majorBidi" w:cstheme="majorBidi"/>
          <w:b/>
          <w:bCs/>
          <w:noProof/>
        </w:rPr>
      </w:pPr>
      <w:r w:rsidRPr="00500767">
        <w:rPr>
          <w:rFonts w:asciiTheme="majorBidi" w:hAnsiTheme="majorBidi" w:cstheme="majorBidi"/>
          <w:b/>
          <w:bCs/>
          <w:noProof/>
        </w:rPr>
        <w:t>5.3.3 Lecture des boîtes</w:t>
      </w:r>
    </w:p>
    <w:p w:rsidR="006C2C3F" w:rsidRPr="00500767" w:rsidRDefault="006C2C3F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Retenir pour comptage les boîtes contenant 150 colonies maximum et dénombrer les colonies rouges typiques d'au moins 0,5 mm de diamètre ; lorsque le diamètre est difficile à estimer, repiquer la colonie dans un tube de bouillon lactosé bilié au vert brillant et porter à l'étuve à 30°C pendant 24 h. à 48 heures afin d'observer la fermentation du lactose.</w:t>
      </w:r>
    </w:p>
    <w:p w:rsidR="006C2C3F" w:rsidRPr="00500767" w:rsidRDefault="006C2C3F" w:rsidP="002F6D64">
      <w:pPr>
        <w:spacing w:after="0" w:line="360" w:lineRule="auto"/>
        <w:jc w:val="both"/>
        <w:rPr>
          <w:rFonts w:asciiTheme="majorBidi" w:hAnsiTheme="majorBidi" w:cstheme="majorBidi"/>
          <w:b/>
          <w:bCs/>
          <w:noProof/>
        </w:rPr>
      </w:pPr>
      <w:r w:rsidRPr="00500767">
        <w:rPr>
          <w:rFonts w:asciiTheme="majorBidi" w:hAnsiTheme="majorBidi" w:cstheme="majorBidi"/>
          <w:b/>
          <w:bCs/>
          <w:noProof/>
        </w:rPr>
        <w:t>5.3.4 Expression des résultats</w:t>
      </w:r>
    </w:p>
    <w:p w:rsidR="006C2C3F" w:rsidRPr="00500767" w:rsidRDefault="006C2C3F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Calculer le nombre de coliformes par millilitre de dilution primaire, C'est-à-dire par gramme de produit selon le mode de calcul décrit en (5.1.4).</w:t>
      </w:r>
    </w:p>
    <w:p w:rsidR="006C2C3F" w:rsidRPr="00500767" w:rsidRDefault="006C2C3F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Tolérance analytique 3 m pour les beurres pasteurisés et les corps gras à base de matière grasse butyrique soit 30 : absence de tolérance pour le beurre concentré, plan à deux classes.</w:t>
      </w:r>
    </w:p>
    <w:p w:rsidR="006C2C3F" w:rsidRPr="00500767" w:rsidRDefault="006C2C3F" w:rsidP="002F6D64">
      <w:pPr>
        <w:spacing w:after="0" w:line="360" w:lineRule="auto"/>
        <w:jc w:val="both"/>
        <w:rPr>
          <w:rFonts w:asciiTheme="majorBidi" w:hAnsiTheme="majorBidi" w:cstheme="majorBidi"/>
          <w:b/>
          <w:bCs/>
          <w:noProof/>
        </w:rPr>
      </w:pPr>
      <w:r w:rsidRPr="00500767">
        <w:rPr>
          <w:rFonts w:asciiTheme="majorBidi" w:hAnsiTheme="majorBidi" w:cstheme="majorBidi"/>
          <w:b/>
          <w:bCs/>
          <w:noProof/>
        </w:rPr>
        <w:t xml:space="preserve">5.4 </w:t>
      </w:r>
      <w:r w:rsidRPr="00500767">
        <w:rPr>
          <w:rFonts w:asciiTheme="majorBidi" w:hAnsiTheme="majorBidi" w:cstheme="majorBidi"/>
          <w:b/>
          <w:bCs/>
          <w:i/>
          <w:iCs/>
          <w:noProof/>
        </w:rPr>
        <w:t>Staphylococcus aureus</w:t>
      </w:r>
      <w:r w:rsidRPr="00500767">
        <w:rPr>
          <w:rFonts w:asciiTheme="majorBidi" w:hAnsiTheme="majorBidi" w:cstheme="majorBidi"/>
          <w:b/>
          <w:bCs/>
          <w:noProof/>
        </w:rPr>
        <w:t xml:space="preserve"> :</w:t>
      </w:r>
    </w:p>
    <w:p w:rsidR="006C2C3F" w:rsidRPr="00EC0834" w:rsidRDefault="006C2C3F" w:rsidP="002F6D64">
      <w:pPr>
        <w:spacing w:after="0" w:line="360" w:lineRule="auto"/>
        <w:jc w:val="both"/>
        <w:rPr>
          <w:rFonts w:asciiTheme="majorBidi" w:hAnsiTheme="majorBidi" w:cstheme="majorBidi"/>
          <w:b/>
          <w:bCs/>
          <w:noProof/>
          <w:lang w:val="en-GB"/>
        </w:rPr>
      </w:pPr>
      <w:r w:rsidRPr="00500767">
        <w:rPr>
          <w:rFonts w:asciiTheme="majorBidi" w:hAnsiTheme="majorBidi" w:cstheme="majorBidi"/>
          <w:b/>
          <w:bCs/>
          <w:noProof/>
        </w:rPr>
        <w:t>5.4.1 Milieu  gélose Baird Parker, (E.T.G.P.A).</w:t>
      </w:r>
      <w:r w:rsidR="00877056" w:rsidRPr="00500767">
        <w:rPr>
          <w:rFonts w:asciiTheme="majorBidi" w:hAnsiTheme="majorBidi" w:cstheme="majorBidi"/>
          <w:b/>
          <w:bCs/>
          <w:noProof/>
        </w:rPr>
        <w:t>(</w:t>
      </w:r>
      <w:r w:rsidR="00877056" w:rsidRPr="00500767">
        <w:rPr>
          <w:rFonts w:asciiTheme="majorBidi" w:hAnsiTheme="majorBidi" w:cstheme="majorBidi"/>
          <w:color w:val="4D5156"/>
          <w:sz w:val="21"/>
          <w:szCs w:val="21"/>
          <w:shd w:val="clear" w:color="auto" w:fill="FFFFFF"/>
        </w:rPr>
        <w:t xml:space="preserve"> </w:t>
      </w:r>
      <w:r w:rsidR="00877056" w:rsidRPr="00EC0834">
        <w:rPr>
          <w:rFonts w:asciiTheme="majorBidi" w:hAnsiTheme="majorBidi" w:cstheme="majorBidi"/>
          <w:b/>
          <w:bCs/>
          <w:noProof/>
          <w:lang w:val="en-GB"/>
        </w:rPr>
        <w:t>Egg-Tellurite-Glycine-Pyruvate Agar)</w:t>
      </w:r>
    </w:p>
    <w:p w:rsidR="006C2C3F" w:rsidRPr="00500767" w:rsidRDefault="006C2C3F" w:rsidP="00A971A2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Couler le milieu complet à raison de 15 ml à 20 ml dans des  boîtes de Pétri de 90 mm ou 100 mm de diamètre respectivement.</w:t>
      </w:r>
      <w:r w:rsidR="00A971A2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>Après solidification, faire sécher les boîtes  retournées, couvercle entrouvert dans une étuve entre 45 °C et 55 °C pendant 30 min. (ou à température ambiante pendant 2 heures). Pour les boîtes de Pétri de 140 mm, couler 28 ml gélose Baird Parker.</w:t>
      </w:r>
    </w:p>
    <w:p w:rsidR="006C2C3F" w:rsidRPr="00500767" w:rsidRDefault="006C2C3F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Si l'on suspecte la présence de Proteus, il est conseillé d'ajouter une solution de sulfamézathine</w:t>
      </w:r>
    </w:p>
    <w:p w:rsidR="006C2C3F" w:rsidRPr="00500767" w:rsidRDefault="006C2C3F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Sulfamézathine.....................................…...….......0,2 g</w:t>
      </w:r>
    </w:p>
    <w:p w:rsidR="006C2C3F" w:rsidRPr="00500767" w:rsidRDefault="006C2C3F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Solution d'hydroxyde de sodium (0,1 mol)............10 ml</w:t>
      </w:r>
    </w:p>
    <w:p w:rsidR="006C2C3F" w:rsidRPr="00500767" w:rsidRDefault="006C2C3F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Eau qsp.....................................................……….100 ml</w:t>
      </w:r>
    </w:p>
    <w:p w:rsidR="00993694" w:rsidRPr="00500767" w:rsidRDefault="006C2C3F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Avant répartition et stérilisation de la gélose Baird Parker, ajouter par litre de milieu 27,5 ml de la solution de</w:t>
      </w:r>
      <w:r w:rsidR="00877056" w:rsidRPr="00500767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>sulfamézathine.</w:t>
      </w:r>
    </w:p>
    <w:p w:rsidR="00877056" w:rsidRPr="00500767" w:rsidRDefault="00877056" w:rsidP="002F6D64">
      <w:pPr>
        <w:spacing w:after="0" w:line="360" w:lineRule="auto"/>
        <w:jc w:val="both"/>
        <w:rPr>
          <w:rFonts w:asciiTheme="majorBidi" w:hAnsiTheme="majorBidi" w:cstheme="majorBidi"/>
          <w:b/>
          <w:bCs/>
          <w:noProof/>
        </w:rPr>
      </w:pPr>
      <w:r w:rsidRPr="00500767">
        <w:rPr>
          <w:rFonts w:asciiTheme="majorBidi" w:hAnsiTheme="majorBidi" w:cstheme="majorBidi"/>
          <w:b/>
          <w:bCs/>
          <w:noProof/>
        </w:rPr>
        <w:t>5.4.2 Ensemencement</w:t>
      </w:r>
    </w:p>
    <w:p w:rsidR="00877056" w:rsidRPr="00500767" w:rsidRDefault="00877056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Distribuer 1 ml de la phase aqueuse à la surface de la gélose Baird Parker d'une boîte de Pétri de 140 mm, ou de 3  boîtes de Pétri de 90 mm à  100 mm sous forme de 3 fractions sensiblement égales, puis étaler sans tarder à l'aide d'un étaleur en verre stérile.  Laisser imprégner pendant 15 minutes à température ambiante.  Mettre à incuber à 37° C pendant 24 h</w:t>
      </w:r>
      <w:r w:rsidR="00A971A2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>et 48 heures.</w:t>
      </w:r>
    </w:p>
    <w:p w:rsidR="00877056" w:rsidRPr="00500767" w:rsidRDefault="00877056" w:rsidP="002F6D64">
      <w:pPr>
        <w:spacing w:after="0" w:line="360" w:lineRule="auto"/>
        <w:jc w:val="both"/>
        <w:rPr>
          <w:rFonts w:asciiTheme="majorBidi" w:hAnsiTheme="majorBidi" w:cstheme="majorBidi"/>
          <w:b/>
          <w:bCs/>
          <w:noProof/>
        </w:rPr>
      </w:pPr>
      <w:r w:rsidRPr="00500767">
        <w:rPr>
          <w:rFonts w:asciiTheme="majorBidi" w:hAnsiTheme="majorBidi" w:cstheme="majorBidi"/>
          <w:b/>
          <w:bCs/>
          <w:noProof/>
        </w:rPr>
        <w:t>5.4.3 Lecture des boîtes et choix des colonies</w:t>
      </w:r>
    </w:p>
    <w:p w:rsidR="00877056" w:rsidRPr="00500767" w:rsidRDefault="00877056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Après 24 heures et 48 heures d'incubation, marquer sur les fonds des boîtes les colonies caractéristiques et/ou non caractéristiques :</w:t>
      </w:r>
    </w:p>
    <w:p w:rsidR="00877056" w:rsidRPr="00500767" w:rsidRDefault="00877056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b/>
          <w:bCs/>
          <w:noProof/>
        </w:rPr>
        <w:t>Colonies caractéristiques</w:t>
      </w:r>
      <w:r w:rsidRPr="00500767">
        <w:rPr>
          <w:rFonts w:asciiTheme="majorBidi" w:hAnsiTheme="majorBidi" w:cstheme="majorBidi"/>
          <w:noProof/>
        </w:rPr>
        <w:t xml:space="preserve">  : colonies noires, brillantes convexes, entourées d'une zone transparente qui peut être translucide.  Après 24 heures, peut apparaître dans cette</w:t>
      </w:r>
    </w:p>
    <w:p w:rsidR="00877056" w:rsidRPr="00500767" w:rsidRDefault="00877056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zone transparente un anneau opalescent immédiatement au</w:t>
      </w:r>
      <w:r w:rsidR="00194681" w:rsidRPr="00500767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>contact des colonies.</w:t>
      </w:r>
    </w:p>
    <w:p w:rsidR="00877056" w:rsidRPr="00500767" w:rsidRDefault="00877056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b/>
          <w:bCs/>
          <w:noProof/>
        </w:rPr>
        <w:lastRenderedPageBreak/>
        <w:t>Colonies non caractéristiques</w:t>
      </w:r>
      <w:r w:rsidRPr="00500767">
        <w:rPr>
          <w:rFonts w:asciiTheme="majorBidi" w:hAnsiTheme="majorBidi" w:cstheme="majorBidi"/>
          <w:noProof/>
        </w:rPr>
        <w:t xml:space="preserve">  :  colonies noires,</w:t>
      </w:r>
      <w:r w:rsidR="00194681" w:rsidRPr="00500767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>brillantes, convexes ou gris noirâtre ayant parfois un</w:t>
      </w:r>
      <w:r w:rsidR="00194681" w:rsidRPr="00500767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>aspect mat et une texture sèche, dépourvues de zone</w:t>
      </w:r>
      <w:r w:rsidR="00194681" w:rsidRPr="00500767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>transparente (excepté certaines colonies gris noirâtre).</w:t>
      </w:r>
    </w:p>
    <w:p w:rsidR="00877056" w:rsidRPr="00500767" w:rsidRDefault="00877056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Retenir pour le dénombrement les boîtes qui renferment</w:t>
      </w:r>
    </w:p>
    <w:p w:rsidR="00877056" w:rsidRPr="00500767" w:rsidRDefault="00877056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150 colonies au maximum, caractéristiques et/ou non</w:t>
      </w:r>
      <w:r w:rsidR="00194681" w:rsidRPr="00500767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>caractéristiques. Dénombrer les colonies suivant leur</w:t>
      </w:r>
      <w:r w:rsidR="00194681" w:rsidRPr="00500767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>aspect.</w:t>
      </w:r>
    </w:p>
    <w:p w:rsidR="00194681" w:rsidRPr="00500767" w:rsidRDefault="00877056" w:rsidP="002F6D64">
      <w:pPr>
        <w:spacing w:after="0" w:line="360" w:lineRule="auto"/>
        <w:jc w:val="both"/>
        <w:rPr>
          <w:rFonts w:asciiTheme="majorBidi" w:hAnsiTheme="majorBidi" w:cstheme="majorBidi"/>
        </w:rPr>
      </w:pPr>
      <w:r w:rsidRPr="00500767">
        <w:rPr>
          <w:rFonts w:asciiTheme="majorBidi" w:hAnsiTheme="majorBidi" w:cstheme="majorBidi"/>
          <w:b/>
          <w:bCs/>
          <w:noProof/>
        </w:rPr>
        <w:t>Prélever en vue de l'épreuve de la coagulase</w:t>
      </w:r>
      <w:r w:rsidR="00194681" w:rsidRPr="00500767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>(éventuellement de la thermonucléase) un nombre de</w:t>
      </w:r>
      <w:r w:rsidR="00194681" w:rsidRPr="00500767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>colonies caractéristiques et/ou non caractéristiques égal à</w:t>
      </w:r>
      <w:r w:rsidR="00194681" w:rsidRPr="00500767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>la racine carrée du nombre total des colonies présentes</w:t>
      </w:r>
      <w:r w:rsidR="00194681" w:rsidRPr="00500767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>dans une boîte ou trois boîtes de Pétri, en tenant compte</w:t>
      </w:r>
      <w:r w:rsidR="00194681" w:rsidRPr="00500767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>de leur nombre respectif.</w:t>
      </w:r>
      <w:r w:rsidR="00194681" w:rsidRPr="00500767">
        <w:rPr>
          <w:rFonts w:asciiTheme="majorBidi" w:hAnsiTheme="majorBidi" w:cstheme="majorBidi"/>
        </w:rPr>
        <w:t xml:space="preserve"> </w:t>
      </w:r>
    </w:p>
    <w:p w:rsidR="00877056" w:rsidRPr="00500767" w:rsidRDefault="00194681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Lorsque le volume est réparti dans une boîte de Pétri de 140 mm, 5 colonies au minimum doivent être examinées et si leur nombre est inférieur à 5, les prélever toutes ; dans le cas où</w:t>
      </w:r>
      <w:r w:rsidR="00D51598" w:rsidRPr="00500767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>le volume est réparti sous 3 fractions, 10 colonies au minimum seront examinées et si leur nombre est inférieur, toutes les colonies seront prélevées.</w:t>
      </w:r>
    </w:p>
    <w:p w:rsidR="00D51598" w:rsidRPr="00500767" w:rsidRDefault="00D51598" w:rsidP="002F6D64">
      <w:pPr>
        <w:spacing w:after="0" w:line="360" w:lineRule="auto"/>
        <w:jc w:val="both"/>
        <w:rPr>
          <w:rFonts w:asciiTheme="majorBidi" w:hAnsiTheme="majorBidi" w:cstheme="majorBidi"/>
          <w:b/>
          <w:bCs/>
          <w:noProof/>
        </w:rPr>
      </w:pPr>
      <w:r w:rsidRPr="00500767">
        <w:rPr>
          <w:rFonts w:asciiTheme="majorBidi" w:hAnsiTheme="majorBidi" w:cstheme="majorBidi"/>
          <w:b/>
          <w:bCs/>
          <w:noProof/>
        </w:rPr>
        <w:t>5.4.4 Expression des résultats</w:t>
      </w:r>
    </w:p>
    <w:p w:rsidR="00D51598" w:rsidRPr="00500767" w:rsidRDefault="00D51598" w:rsidP="00A971A2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Calculer le nombre de staphylococcus aureus par millilitre de dilution primaire, c'est-à-dire par gramme de produit en interprétant les résultats obtenus de la manière</w:t>
      </w:r>
      <w:r w:rsidR="00A971A2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>suivante :</w:t>
      </w:r>
    </w:p>
    <w:p w:rsidR="00D51598" w:rsidRPr="00500767" w:rsidRDefault="00D51598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les résultats douteux à l'épreuve de la coagulase seront considérés comme positifs si l'épreuve de la</w:t>
      </w:r>
      <w:r w:rsidR="00F5078F" w:rsidRPr="00500767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>thermonucléase est positive.</w:t>
      </w:r>
    </w:p>
    <w:p w:rsidR="00D51598" w:rsidRPr="00500767" w:rsidRDefault="00D51598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— Si au moins 80 % des colonies examinées sont</w:t>
      </w:r>
      <w:r w:rsidR="00F5078F" w:rsidRPr="00500767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>coagulase positive, considérer que le nombre présumé,</w:t>
      </w:r>
      <w:r w:rsidR="00F5078F" w:rsidRPr="00500767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>donné par le comptage représente le nombre de</w:t>
      </w:r>
      <w:r w:rsidR="00F5078F" w:rsidRPr="00500767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>staphylococcus aureus sinon exprimer le résultat global en</w:t>
      </w:r>
      <w:r w:rsidR="00F5078F" w:rsidRPr="00500767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>tenant compte des proportions de colonies caractéristiques</w:t>
      </w:r>
    </w:p>
    <w:p w:rsidR="00D51598" w:rsidRPr="00500767" w:rsidRDefault="00D51598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et de colonies non caractéristiques, qui sont coagulase ou</w:t>
      </w:r>
      <w:r w:rsidR="00F5078F" w:rsidRPr="00500767">
        <w:rPr>
          <w:rFonts w:asciiTheme="majorBidi" w:hAnsiTheme="majorBidi" w:cstheme="majorBidi"/>
          <w:noProof/>
        </w:rPr>
        <w:t xml:space="preserve"> </w:t>
      </w:r>
      <w:r w:rsidRPr="00500767">
        <w:rPr>
          <w:rFonts w:asciiTheme="majorBidi" w:hAnsiTheme="majorBidi" w:cstheme="majorBidi"/>
          <w:noProof/>
        </w:rPr>
        <w:t xml:space="preserve">thermonucléase </w:t>
      </w:r>
      <w:r w:rsidR="00F5391B" w:rsidRPr="00500767">
        <w:rPr>
          <w:rFonts w:asciiTheme="majorBidi" w:hAnsiTheme="majorBidi" w:cstheme="majorBidi"/>
          <w:noProof/>
        </w:rPr>
        <w:t xml:space="preserve">(Dnase) </w:t>
      </w:r>
      <w:r w:rsidRPr="00500767">
        <w:rPr>
          <w:rFonts w:asciiTheme="majorBidi" w:hAnsiTheme="majorBidi" w:cstheme="majorBidi"/>
          <w:noProof/>
        </w:rPr>
        <w:t>positive.</w:t>
      </w:r>
    </w:p>
    <w:p w:rsidR="00D51598" w:rsidRPr="00500767" w:rsidRDefault="00D51598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Lorsque plusieurs dilutions ont été examinées, appliquer</w:t>
      </w:r>
    </w:p>
    <w:p w:rsidR="00D51598" w:rsidRPr="00500767" w:rsidRDefault="00D51598" w:rsidP="002F6D64">
      <w:pPr>
        <w:spacing w:after="0" w:line="360" w:lineRule="auto"/>
        <w:jc w:val="both"/>
        <w:rPr>
          <w:rFonts w:asciiTheme="majorBidi" w:hAnsiTheme="majorBidi" w:cstheme="majorBidi"/>
          <w:noProof/>
        </w:rPr>
      </w:pPr>
      <w:r w:rsidRPr="00500767">
        <w:rPr>
          <w:rFonts w:asciiTheme="majorBidi" w:hAnsiTheme="majorBidi" w:cstheme="majorBidi"/>
          <w:noProof/>
        </w:rPr>
        <w:t>le mode de calcul décrit en (5.1.4).</w:t>
      </w:r>
    </w:p>
    <w:p w:rsidR="00F2512D" w:rsidRPr="00F2512D" w:rsidRDefault="00F2512D" w:rsidP="00F2512D">
      <w:pPr>
        <w:spacing w:after="0" w:line="360" w:lineRule="auto"/>
        <w:rPr>
          <w:rFonts w:asciiTheme="majorBidi" w:hAnsiTheme="majorBidi" w:cstheme="majorBidi"/>
          <w:b/>
          <w:bCs/>
          <w:noProof/>
        </w:rPr>
      </w:pPr>
      <w:r w:rsidRPr="00F2512D">
        <w:rPr>
          <w:rFonts w:asciiTheme="majorBidi" w:hAnsiTheme="majorBidi" w:cstheme="majorBidi"/>
          <w:b/>
          <w:bCs/>
          <w:noProof/>
        </w:rPr>
        <w:t>5.5 Recherche des salmonella</w:t>
      </w:r>
    </w:p>
    <w:p w:rsidR="00F2512D" w:rsidRPr="00F2512D" w:rsidRDefault="00F2512D" w:rsidP="00F2512D">
      <w:pPr>
        <w:spacing w:after="0" w:line="360" w:lineRule="auto"/>
        <w:rPr>
          <w:rFonts w:asciiTheme="majorBidi" w:hAnsiTheme="majorBidi" w:cstheme="majorBidi"/>
          <w:b/>
          <w:bCs/>
          <w:noProof/>
        </w:rPr>
      </w:pPr>
      <w:r w:rsidRPr="00F2512D">
        <w:rPr>
          <w:rFonts w:asciiTheme="majorBidi" w:hAnsiTheme="majorBidi" w:cstheme="majorBidi"/>
          <w:b/>
          <w:bCs/>
          <w:noProof/>
        </w:rPr>
        <w:t>5.5.1 Préenrichissement :</w:t>
      </w:r>
    </w:p>
    <w:p w:rsidR="000F1EAE" w:rsidRDefault="00F2512D" w:rsidP="00F2512D">
      <w:pPr>
        <w:spacing w:after="0" w:line="360" w:lineRule="auto"/>
        <w:rPr>
          <w:rFonts w:asciiTheme="majorBidi" w:hAnsiTheme="majorBidi" w:cstheme="majorBidi"/>
          <w:noProof/>
        </w:rPr>
      </w:pPr>
      <w:r w:rsidRPr="00F2512D">
        <w:rPr>
          <w:rFonts w:asciiTheme="majorBidi" w:hAnsiTheme="majorBidi" w:cstheme="majorBidi"/>
          <w:noProof/>
        </w:rPr>
        <w:t>Bouillon lactosé au pourpre de bromocrésol :</w:t>
      </w:r>
      <w:r>
        <w:rPr>
          <w:rFonts w:asciiTheme="majorBidi" w:hAnsiTheme="majorBidi" w:cstheme="majorBidi"/>
          <w:noProof/>
        </w:rPr>
        <w:t xml:space="preserve"> </w:t>
      </w:r>
      <w:r w:rsidRPr="00F2512D">
        <w:rPr>
          <w:rFonts w:asciiTheme="majorBidi" w:hAnsiTheme="majorBidi" w:cstheme="majorBidi"/>
          <w:noProof/>
        </w:rPr>
        <w:t>Répartir le bouillon à raison de 1125 ml dans des</w:t>
      </w:r>
      <w:r>
        <w:rPr>
          <w:rFonts w:asciiTheme="majorBidi" w:hAnsiTheme="majorBidi" w:cstheme="majorBidi"/>
          <w:noProof/>
        </w:rPr>
        <w:t xml:space="preserve"> </w:t>
      </w:r>
      <w:r w:rsidRPr="00F2512D">
        <w:rPr>
          <w:rFonts w:asciiTheme="majorBidi" w:hAnsiTheme="majorBidi" w:cstheme="majorBidi"/>
          <w:noProof/>
        </w:rPr>
        <w:t>récipients de 2 litres à large ouverture.</w:t>
      </w:r>
      <w:r>
        <w:rPr>
          <w:rFonts w:asciiTheme="majorBidi" w:hAnsiTheme="majorBidi" w:cstheme="majorBidi"/>
          <w:noProof/>
        </w:rPr>
        <w:t xml:space="preserve"> </w:t>
      </w:r>
      <w:r w:rsidRPr="00F2512D">
        <w:rPr>
          <w:rFonts w:asciiTheme="majorBidi" w:hAnsiTheme="majorBidi" w:cstheme="majorBidi"/>
          <w:noProof/>
        </w:rPr>
        <w:t xml:space="preserve">Stériliser à l'autoclave à 121°C pendant 15 </w:t>
      </w:r>
    </w:p>
    <w:p w:rsidR="009B40FB" w:rsidRDefault="00F2512D" w:rsidP="00F2512D">
      <w:pPr>
        <w:spacing w:after="0" w:line="360" w:lineRule="auto"/>
        <w:rPr>
          <w:rFonts w:asciiTheme="majorBidi" w:hAnsiTheme="majorBidi" w:cstheme="majorBidi"/>
          <w:noProof/>
        </w:rPr>
      </w:pPr>
      <w:r w:rsidRPr="00F2512D">
        <w:rPr>
          <w:rFonts w:asciiTheme="majorBidi" w:hAnsiTheme="majorBidi" w:cstheme="majorBidi"/>
          <w:noProof/>
        </w:rPr>
        <w:t>minutes</w:t>
      </w:r>
      <w:r w:rsidR="000F1EAE">
        <w:rPr>
          <w:rFonts w:asciiTheme="majorBidi" w:hAnsiTheme="majorBidi" w:cstheme="majorBidi"/>
          <w:noProof/>
        </w:rPr>
        <w:t>.</w:t>
      </w:r>
    </w:p>
    <w:p w:rsidR="000F1EAE" w:rsidRPr="000F1EAE" w:rsidRDefault="000F1EAE" w:rsidP="000F1EAE">
      <w:pPr>
        <w:spacing w:after="0" w:line="360" w:lineRule="auto"/>
        <w:rPr>
          <w:rFonts w:asciiTheme="majorBidi" w:hAnsiTheme="majorBidi" w:cstheme="majorBidi"/>
          <w:b/>
          <w:bCs/>
          <w:noProof/>
        </w:rPr>
      </w:pPr>
      <w:r w:rsidRPr="000F1EAE">
        <w:rPr>
          <w:rFonts w:asciiTheme="majorBidi" w:hAnsiTheme="majorBidi" w:cstheme="majorBidi"/>
          <w:b/>
          <w:bCs/>
          <w:noProof/>
        </w:rPr>
        <w:t>— Enrichissement :</w:t>
      </w:r>
    </w:p>
    <w:p w:rsidR="000F1EAE" w:rsidRPr="000F1EAE" w:rsidRDefault="000F1EAE" w:rsidP="000F1EAE">
      <w:pPr>
        <w:spacing w:after="0" w:line="360" w:lineRule="auto"/>
        <w:rPr>
          <w:rFonts w:asciiTheme="majorBidi" w:hAnsiTheme="majorBidi" w:cstheme="majorBidi"/>
          <w:noProof/>
        </w:rPr>
      </w:pPr>
      <w:r w:rsidRPr="000F1EAE">
        <w:rPr>
          <w:rFonts w:asciiTheme="majorBidi" w:hAnsiTheme="majorBidi" w:cstheme="majorBidi"/>
          <w:noProof/>
        </w:rPr>
        <w:t>Emploi d’un milieu réparti à raison de 100 ml dans des</w:t>
      </w:r>
      <w:r>
        <w:rPr>
          <w:rFonts w:asciiTheme="majorBidi" w:hAnsiTheme="majorBidi" w:cstheme="majorBidi"/>
          <w:noProof/>
        </w:rPr>
        <w:t xml:space="preserve"> </w:t>
      </w:r>
      <w:r w:rsidRPr="000F1EAE">
        <w:rPr>
          <w:rFonts w:asciiTheme="majorBidi" w:hAnsiTheme="majorBidi" w:cstheme="majorBidi"/>
          <w:noProof/>
        </w:rPr>
        <w:t>récipients de capacité appropriée ; le préparer juste avant</w:t>
      </w:r>
      <w:r>
        <w:rPr>
          <w:rFonts w:asciiTheme="majorBidi" w:hAnsiTheme="majorBidi" w:cstheme="majorBidi"/>
          <w:noProof/>
        </w:rPr>
        <w:t xml:space="preserve"> </w:t>
      </w:r>
      <w:r w:rsidRPr="000F1EAE">
        <w:rPr>
          <w:rFonts w:asciiTheme="majorBidi" w:hAnsiTheme="majorBidi" w:cstheme="majorBidi"/>
          <w:noProof/>
        </w:rPr>
        <w:t>l'emploi.</w:t>
      </w:r>
    </w:p>
    <w:p w:rsidR="000F1EAE" w:rsidRPr="000F1EAE" w:rsidRDefault="000F1EAE" w:rsidP="000F1EAE">
      <w:pPr>
        <w:spacing w:after="0" w:line="360" w:lineRule="auto"/>
        <w:rPr>
          <w:rFonts w:asciiTheme="majorBidi" w:hAnsiTheme="majorBidi" w:cstheme="majorBidi"/>
          <w:noProof/>
        </w:rPr>
      </w:pPr>
      <w:r w:rsidRPr="000F1EAE">
        <w:rPr>
          <w:rFonts w:asciiTheme="majorBidi" w:hAnsiTheme="majorBidi" w:cstheme="majorBidi"/>
          <w:noProof/>
        </w:rPr>
        <w:t>- Bouillon au tétrathionate de sodium (Muller et</w:t>
      </w:r>
      <w:r>
        <w:rPr>
          <w:rFonts w:asciiTheme="majorBidi" w:hAnsiTheme="majorBidi" w:cstheme="majorBidi"/>
          <w:noProof/>
        </w:rPr>
        <w:t xml:space="preserve"> </w:t>
      </w:r>
      <w:r w:rsidRPr="000F1EAE">
        <w:rPr>
          <w:rFonts w:asciiTheme="majorBidi" w:hAnsiTheme="majorBidi" w:cstheme="majorBidi"/>
          <w:noProof/>
        </w:rPr>
        <w:t>Kauffmann) additionné éventuellement de novobiocine,</w:t>
      </w:r>
      <w:r>
        <w:rPr>
          <w:rFonts w:asciiTheme="majorBidi" w:hAnsiTheme="majorBidi" w:cstheme="majorBidi"/>
          <w:noProof/>
        </w:rPr>
        <w:t xml:space="preserve"> </w:t>
      </w:r>
      <w:r w:rsidRPr="000F1EAE">
        <w:rPr>
          <w:rFonts w:asciiTheme="majorBidi" w:hAnsiTheme="majorBidi" w:cstheme="majorBidi"/>
          <w:noProof/>
        </w:rPr>
        <w:t>concentration finale 40 µg/ml de milieu; ne pas stériliser.</w:t>
      </w:r>
    </w:p>
    <w:p w:rsidR="000F1EAE" w:rsidRPr="000F1EAE" w:rsidRDefault="000F1EAE" w:rsidP="000F1EAE">
      <w:pPr>
        <w:spacing w:after="0" w:line="360" w:lineRule="auto"/>
        <w:rPr>
          <w:rFonts w:asciiTheme="majorBidi" w:hAnsiTheme="majorBidi" w:cstheme="majorBidi"/>
          <w:b/>
          <w:bCs/>
          <w:noProof/>
        </w:rPr>
      </w:pPr>
      <w:r w:rsidRPr="000F1EAE">
        <w:rPr>
          <w:rFonts w:asciiTheme="majorBidi" w:hAnsiTheme="majorBidi" w:cstheme="majorBidi"/>
          <w:b/>
          <w:bCs/>
          <w:noProof/>
        </w:rPr>
        <w:t>— Isolement :</w:t>
      </w:r>
    </w:p>
    <w:p w:rsidR="000F1EAE" w:rsidRPr="000F1EAE" w:rsidRDefault="000F1EAE" w:rsidP="000F1EAE">
      <w:pPr>
        <w:spacing w:after="0" w:line="360" w:lineRule="auto"/>
        <w:rPr>
          <w:rFonts w:asciiTheme="majorBidi" w:hAnsiTheme="majorBidi" w:cstheme="majorBidi"/>
          <w:noProof/>
        </w:rPr>
      </w:pPr>
      <w:r w:rsidRPr="000F1EAE">
        <w:rPr>
          <w:rFonts w:asciiTheme="majorBidi" w:hAnsiTheme="majorBidi" w:cstheme="majorBidi"/>
          <w:noProof/>
        </w:rPr>
        <w:t>Les géloses sélectives suivantes sont recommandées :</w:t>
      </w:r>
    </w:p>
    <w:p w:rsidR="000F1EAE" w:rsidRPr="000F1EAE" w:rsidRDefault="000F1EAE" w:rsidP="000F1EAE">
      <w:pPr>
        <w:spacing w:after="0" w:line="360" w:lineRule="auto"/>
        <w:rPr>
          <w:rFonts w:asciiTheme="majorBidi" w:hAnsiTheme="majorBidi" w:cstheme="majorBidi"/>
          <w:noProof/>
        </w:rPr>
      </w:pPr>
      <w:r w:rsidRPr="000F1EAE">
        <w:rPr>
          <w:rFonts w:asciiTheme="majorBidi" w:hAnsiTheme="majorBidi" w:cstheme="majorBidi"/>
          <w:noProof/>
        </w:rPr>
        <w:lastRenderedPageBreak/>
        <w:t>— Gélose au vert brillant et au rouge de phénol (Edel et</w:t>
      </w:r>
      <w:r>
        <w:rPr>
          <w:rFonts w:asciiTheme="majorBidi" w:hAnsiTheme="majorBidi" w:cstheme="majorBidi"/>
          <w:noProof/>
        </w:rPr>
        <w:t xml:space="preserve"> </w:t>
      </w:r>
      <w:r w:rsidRPr="000F1EAE">
        <w:rPr>
          <w:rFonts w:asciiTheme="majorBidi" w:hAnsiTheme="majorBidi" w:cstheme="majorBidi"/>
          <w:noProof/>
        </w:rPr>
        <w:t>Kampelmacher)</w:t>
      </w:r>
    </w:p>
    <w:p w:rsidR="000F1EAE" w:rsidRPr="000F1EAE" w:rsidRDefault="000F1EAE" w:rsidP="000F1EAE">
      <w:pPr>
        <w:spacing w:after="0" w:line="360" w:lineRule="auto"/>
        <w:rPr>
          <w:rFonts w:asciiTheme="majorBidi" w:hAnsiTheme="majorBidi" w:cstheme="majorBidi"/>
          <w:noProof/>
        </w:rPr>
      </w:pPr>
      <w:r w:rsidRPr="000F1EAE">
        <w:rPr>
          <w:rFonts w:asciiTheme="majorBidi" w:hAnsiTheme="majorBidi" w:cstheme="majorBidi"/>
          <w:noProof/>
        </w:rPr>
        <w:t>— Gélose au sulfite de bismuth (Wilson Blair)</w:t>
      </w:r>
    </w:p>
    <w:p w:rsidR="000F1EAE" w:rsidRPr="000F1EAE" w:rsidRDefault="000F1EAE" w:rsidP="000F1EAE">
      <w:pPr>
        <w:spacing w:after="0" w:line="360" w:lineRule="auto"/>
        <w:rPr>
          <w:rFonts w:asciiTheme="majorBidi" w:hAnsiTheme="majorBidi" w:cstheme="majorBidi"/>
          <w:noProof/>
        </w:rPr>
      </w:pPr>
      <w:r w:rsidRPr="000F1EAE">
        <w:rPr>
          <w:rFonts w:asciiTheme="majorBidi" w:hAnsiTheme="majorBidi" w:cstheme="majorBidi"/>
          <w:noProof/>
        </w:rPr>
        <w:t>— Gélose xylose lysine décarboxylase(XLD) : utiliser</w:t>
      </w:r>
      <w:r>
        <w:rPr>
          <w:rFonts w:asciiTheme="majorBidi" w:hAnsiTheme="majorBidi" w:cstheme="majorBidi"/>
          <w:noProof/>
        </w:rPr>
        <w:t xml:space="preserve"> </w:t>
      </w:r>
      <w:r w:rsidRPr="000F1EAE">
        <w:rPr>
          <w:rFonts w:asciiTheme="majorBidi" w:hAnsiTheme="majorBidi" w:cstheme="majorBidi"/>
          <w:noProof/>
        </w:rPr>
        <w:t>les milieux qui autorisent l'ébullition.</w:t>
      </w:r>
    </w:p>
    <w:p w:rsidR="000F1EAE" w:rsidRDefault="000F1EAE" w:rsidP="000F1EAE">
      <w:pPr>
        <w:spacing w:after="0" w:line="360" w:lineRule="auto"/>
        <w:rPr>
          <w:rFonts w:asciiTheme="majorBidi" w:hAnsiTheme="majorBidi" w:cstheme="majorBidi"/>
          <w:noProof/>
        </w:rPr>
      </w:pPr>
      <w:r w:rsidRPr="000F1EAE">
        <w:rPr>
          <w:rFonts w:asciiTheme="majorBidi" w:hAnsiTheme="majorBidi" w:cstheme="majorBidi"/>
          <w:noProof/>
        </w:rPr>
        <w:t>— Gélose Hektoen.</w:t>
      </w:r>
    </w:p>
    <w:p w:rsidR="000F1EAE" w:rsidRPr="000F1EAE" w:rsidRDefault="000F1EAE" w:rsidP="000F1EAE">
      <w:pPr>
        <w:spacing w:after="0" w:line="360" w:lineRule="auto"/>
        <w:rPr>
          <w:rFonts w:asciiTheme="majorBidi" w:hAnsiTheme="majorBidi" w:cstheme="majorBidi"/>
          <w:noProof/>
        </w:rPr>
      </w:pPr>
      <w:r w:rsidRPr="000F1EAE">
        <w:rPr>
          <w:rFonts w:asciiTheme="majorBidi" w:hAnsiTheme="majorBidi" w:cstheme="majorBidi"/>
          <w:noProof/>
        </w:rPr>
        <w:t>Afin d'éviter des effets défavorables au développement</w:t>
      </w:r>
      <w:r>
        <w:rPr>
          <w:rFonts w:asciiTheme="majorBidi" w:hAnsiTheme="majorBidi" w:cstheme="majorBidi"/>
          <w:noProof/>
        </w:rPr>
        <w:t xml:space="preserve"> </w:t>
      </w:r>
      <w:r w:rsidRPr="000F1EAE">
        <w:rPr>
          <w:rFonts w:asciiTheme="majorBidi" w:hAnsiTheme="majorBidi" w:cstheme="majorBidi"/>
          <w:noProof/>
        </w:rPr>
        <w:t>des salmonella par certaines géloses sélectives, se</w:t>
      </w:r>
      <w:r>
        <w:rPr>
          <w:rFonts w:asciiTheme="majorBidi" w:hAnsiTheme="majorBidi" w:cstheme="majorBidi"/>
          <w:noProof/>
        </w:rPr>
        <w:t xml:space="preserve"> </w:t>
      </w:r>
      <w:r w:rsidRPr="000F1EAE">
        <w:rPr>
          <w:rFonts w:asciiTheme="majorBidi" w:hAnsiTheme="majorBidi" w:cstheme="majorBidi"/>
          <w:noProof/>
        </w:rPr>
        <w:t>conformer aux recommandations suivantes :</w:t>
      </w:r>
    </w:p>
    <w:p w:rsidR="000F1EAE" w:rsidRPr="000F1EAE" w:rsidRDefault="000F1EAE" w:rsidP="000F1EAE">
      <w:pPr>
        <w:spacing w:after="0" w:line="360" w:lineRule="auto"/>
        <w:rPr>
          <w:rFonts w:asciiTheme="majorBidi" w:hAnsiTheme="majorBidi" w:cstheme="majorBidi"/>
          <w:noProof/>
        </w:rPr>
      </w:pPr>
      <w:r w:rsidRPr="000F1EAE">
        <w:rPr>
          <w:rFonts w:asciiTheme="majorBidi" w:hAnsiTheme="majorBidi" w:cstheme="majorBidi"/>
          <w:noProof/>
        </w:rPr>
        <w:t>les géloses sélectives doivent être utilisées après 24</w:t>
      </w:r>
      <w:r>
        <w:rPr>
          <w:rFonts w:asciiTheme="majorBidi" w:hAnsiTheme="majorBidi" w:cstheme="majorBidi"/>
          <w:noProof/>
        </w:rPr>
        <w:t xml:space="preserve"> </w:t>
      </w:r>
      <w:r w:rsidRPr="000F1EAE">
        <w:rPr>
          <w:rFonts w:asciiTheme="majorBidi" w:hAnsiTheme="majorBidi" w:cstheme="majorBidi"/>
          <w:noProof/>
        </w:rPr>
        <w:t>heures, soit au plus tard dans la journée qui suit leur</w:t>
      </w:r>
      <w:r>
        <w:rPr>
          <w:rFonts w:asciiTheme="majorBidi" w:hAnsiTheme="majorBidi" w:cstheme="majorBidi"/>
          <w:noProof/>
        </w:rPr>
        <w:t xml:space="preserve"> </w:t>
      </w:r>
      <w:r w:rsidRPr="000F1EAE">
        <w:rPr>
          <w:rFonts w:asciiTheme="majorBidi" w:hAnsiTheme="majorBidi" w:cstheme="majorBidi"/>
          <w:noProof/>
        </w:rPr>
        <w:t>préparation.</w:t>
      </w:r>
    </w:p>
    <w:p w:rsidR="000F1EAE" w:rsidRPr="000F1EAE" w:rsidRDefault="000F1EAE" w:rsidP="000F1EAE">
      <w:pPr>
        <w:spacing w:after="0" w:line="360" w:lineRule="auto"/>
        <w:rPr>
          <w:rFonts w:asciiTheme="majorBidi" w:hAnsiTheme="majorBidi" w:cstheme="majorBidi"/>
          <w:noProof/>
        </w:rPr>
      </w:pPr>
      <w:r w:rsidRPr="000F1EAE">
        <w:rPr>
          <w:rFonts w:asciiTheme="majorBidi" w:hAnsiTheme="majorBidi" w:cstheme="majorBidi"/>
          <w:noProof/>
        </w:rPr>
        <w:t>— la stérilisation des milieux doit être évitée.</w:t>
      </w:r>
    </w:p>
    <w:p w:rsidR="000F1EAE" w:rsidRDefault="000F1EAE" w:rsidP="000F1EAE">
      <w:pPr>
        <w:spacing w:after="0" w:line="360" w:lineRule="auto"/>
        <w:rPr>
          <w:rFonts w:asciiTheme="majorBidi" w:hAnsiTheme="majorBidi" w:cstheme="majorBidi"/>
          <w:noProof/>
        </w:rPr>
      </w:pPr>
      <w:r w:rsidRPr="000F1EAE">
        <w:rPr>
          <w:rFonts w:asciiTheme="majorBidi" w:hAnsiTheme="majorBidi" w:cstheme="majorBidi"/>
          <w:noProof/>
        </w:rPr>
        <w:t>— les boîtes préparées seront séchées de préférence à</w:t>
      </w:r>
      <w:r>
        <w:rPr>
          <w:rFonts w:asciiTheme="majorBidi" w:hAnsiTheme="majorBidi" w:cstheme="majorBidi"/>
          <w:noProof/>
        </w:rPr>
        <w:t xml:space="preserve"> </w:t>
      </w:r>
      <w:r w:rsidRPr="000F1EAE">
        <w:rPr>
          <w:rFonts w:asciiTheme="majorBidi" w:hAnsiTheme="majorBidi" w:cstheme="majorBidi"/>
          <w:noProof/>
        </w:rPr>
        <w:t>température ambiante, par exemple 2 h à 25 °C; les</w:t>
      </w:r>
      <w:r>
        <w:rPr>
          <w:rFonts w:asciiTheme="majorBidi" w:hAnsiTheme="majorBidi" w:cstheme="majorBidi"/>
          <w:noProof/>
        </w:rPr>
        <w:t xml:space="preserve"> </w:t>
      </w:r>
      <w:r w:rsidRPr="000F1EAE">
        <w:rPr>
          <w:rFonts w:asciiTheme="majorBidi" w:hAnsiTheme="majorBidi" w:cstheme="majorBidi"/>
          <w:noProof/>
        </w:rPr>
        <w:t>conserver à l'obscurité à la même température ou au</w:t>
      </w:r>
      <w:r>
        <w:rPr>
          <w:rFonts w:asciiTheme="majorBidi" w:hAnsiTheme="majorBidi" w:cstheme="majorBidi"/>
          <w:noProof/>
        </w:rPr>
        <w:t xml:space="preserve"> </w:t>
      </w:r>
      <w:r w:rsidRPr="000F1EAE">
        <w:rPr>
          <w:rFonts w:asciiTheme="majorBidi" w:hAnsiTheme="majorBidi" w:cstheme="majorBidi"/>
          <w:noProof/>
        </w:rPr>
        <w:t>réfrigérateur.</w:t>
      </w:r>
    </w:p>
    <w:p w:rsidR="000F1EAE" w:rsidRPr="000F1EAE" w:rsidRDefault="000F1EAE" w:rsidP="000F1EAE">
      <w:pPr>
        <w:spacing w:after="0" w:line="360" w:lineRule="auto"/>
        <w:rPr>
          <w:rFonts w:asciiTheme="majorBidi" w:hAnsiTheme="majorBidi" w:cstheme="majorBidi"/>
          <w:b/>
          <w:bCs/>
          <w:noProof/>
        </w:rPr>
      </w:pPr>
      <w:r w:rsidRPr="000F1EAE">
        <w:rPr>
          <w:rFonts w:asciiTheme="majorBidi" w:hAnsiTheme="majorBidi" w:cstheme="majorBidi"/>
          <w:b/>
          <w:bCs/>
          <w:noProof/>
        </w:rPr>
        <w:t xml:space="preserve">5.5.2 Pré-enrichissement (Jour A) </w:t>
      </w:r>
    </w:p>
    <w:p w:rsidR="000F1EAE" w:rsidRPr="000F1EAE" w:rsidRDefault="000F1EAE" w:rsidP="000F1EAE">
      <w:pPr>
        <w:spacing w:after="0" w:line="360" w:lineRule="auto"/>
        <w:rPr>
          <w:rFonts w:asciiTheme="majorBidi" w:hAnsiTheme="majorBidi" w:cstheme="majorBidi"/>
          <w:noProof/>
        </w:rPr>
      </w:pPr>
      <w:r w:rsidRPr="000F1EAE">
        <w:rPr>
          <w:rFonts w:asciiTheme="majorBidi" w:hAnsiTheme="majorBidi" w:cstheme="majorBidi"/>
          <w:noProof/>
        </w:rPr>
        <w:t>Afin de réduire la charge de travail, prélever depuis</w:t>
      </w:r>
      <w:r>
        <w:rPr>
          <w:rFonts w:asciiTheme="majorBidi" w:hAnsiTheme="majorBidi" w:cstheme="majorBidi"/>
          <w:noProof/>
        </w:rPr>
        <w:t xml:space="preserve"> </w:t>
      </w:r>
      <w:r w:rsidRPr="000F1EAE">
        <w:rPr>
          <w:rFonts w:asciiTheme="majorBidi" w:hAnsiTheme="majorBidi" w:cstheme="majorBidi"/>
          <w:noProof/>
        </w:rPr>
        <w:t>chacun des cinq godets de centrifugation contenant la</w:t>
      </w:r>
      <w:r>
        <w:rPr>
          <w:rFonts w:asciiTheme="majorBidi" w:hAnsiTheme="majorBidi" w:cstheme="majorBidi"/>
          <w:noProof/>
        </w:rPr>
        <w:t xml:space="preserve"> </w:t>
      </w:r>
      <w:r w:rsidRPr="000F1EAE">
        <w:rPr>
          <w:rFonts w:asciiTheme="majorBidi" w:hAnsiTheme="majorBidi" w:cstheme="majorBidi"/>
          <w:noProof/>
        </w:rPr>
        <w:t xml:space="preserve">phase aqueuse </w:t>
      </w:r>
      <w:r w:rsidRPr="000F1EAE">
        <w:rPr>
          <w:rFonts w:asciiTheme="majorBidi" w:hAnsiTheme="majorBidi" w:cstheme="majorBidi"/>
          <w:b/>
          <w:bCs/>
          <w:noProof/>
        </w:rPr>
        <w:t>25 ml</w:t>
      </w:r>
      <w:r w:rsidRPr="000F1EAE">
        <w:rPr>
          <w:rFonts w:asciiTheme="majorBidi" w:hAnsiTheme="majorBidi" w:cstheme="majorBidi"/>
          <w:noProof/>
        </w:rPr>
        <w:t xml:space="preserve"> de celle-ci et les rassembler dans un</w:t>
      </w:r>
      <w:r>
        <w:rPr>
          <w:rFonts w:asciiTheme="majorBidi" w:hAnsiTheme="majorBidi" w:cstheme="majorBidi"/>
          <w:noProof/>
        </w:rPr>
        <w:t xml:space="preserve"> </w:t>
      </w:r>
      <w:r w:rsidRPr="000F1EAE">
        <w:rPr>
          <w:rFonts w:asciiTheme="majorBidi" w:hAnsiTheme="majorBidi" w:cstheme="majorBidi"/>
          <w:noProof/>
        </w:rPr>
        <w:t>récipient de 2 litres contenant 1125 ml de bouillon lactosé</w:t>
      </w:r>
      <w:r>
        <w:rPr>
          <w:rFonts w:asciiTheme="majorBidi" w:hAnsiTheme="majorBidi" w:cstheme="majorBidi"/>
          <w:noProof/>
        </w:rPr>
        <w:t xml:space="preserve"> </w:t>
      </w:r>
      <w:r w:rsidRPr="000F1EAE">
        <w:rPr>
          <w:rFonts w:asciiTheme="majorBidi" w:hAnsiTheme="majorBidi" w:cstheme="majorBidi"/>
          <w:noProof/>
        </w:rPr>
        <w:t>au pourpre de bromocrésol.</w:t>
      </w:r>
      <w:r>
        <w:rPr>
          <w:rFonts w:asciiTheme="majorBidi" w:hAnsiTheme="majorBidi" w:cstheme="majorBidi"/>
          <w:noProof/>
        </w:rPr>
        <w:t xml:space="preserve"> </w:t>
      </w:r>
      <w:r w:rsidRPr="000F1EAE">
        <w:rPr>
          <w:rFonts w:asciiTheme="majorBidi" w:hAnsiTheme="majorBidi" w:cstheme="majorBidi"/>
          <w:noProof/>
        </w:rPr>
        <w:t>Mélanger soigneusement. Abandonner 1 heure à</w:t>
      </w:r>
      <w:r>
        <w:rPr>
          <w:rFonts w:asciiTheme="majorBidi" w:hAnsiTheme="majorBidi" w:cstheme="majorBidi"/>
          <w:noProof/>
        </w:rPr>
        <w:t xml:space="preserve"> </w:t>
      </w:r>
      <w:r w:rsidRPr="000F1EAE">
        <w:rPr>
          <w:rFonts w:asciiTheme="majorBidi" w:hAnsiTheme="majorBidi" w:cstheme="majorBidi"/>
          <w:noProof/>
        </w:rPr>
        <w:t>température ambiante.</w:t>
      </w:r>
    </w:p>
    <w:p w:rsidR="000F1EAE" w:rsidRPr="000F1EAE" w:rsidRDefault="000F1EAE" w:rsidP="000F1EAE">
      <w:pPr>
        <w:spacing w:after="0" w:line="360" w:lineRule="auto"/>
        <w:rPr>
          <w:rFonts w:asciiTheme="majorBidi" w:hAnsiTheme="majorBidi" w:cstheme="majorBidi"/>
          <w:noProof/>
        </w:rPr>
      </w:pPr>
      <w:r w:rsidRPr="000F1EAE">
        <w:rPr>
          <w:rFonts w:asciiTheme="majorBidi" w:hAnsiTheme="majorBidi" w:cstheme="majorBidi"/>
          <w:noProof/>
        </w:rPr>
        <w:t>Incuber à 37 °C pendant 22 h ± 2 heures.</w:t>
      </w:r>
    </w:p>
    <w:p w:rsidR="000F1EAE" w:rsidRPr="000F1EAE" w:rsidRDefault="000F1EAE" w:rsidP="0015041F">
      <w:pPr>
        <w:spacing w:after="0" w:line="360" w:lineRule="auto"/>
        <w:rPr>
          <w:rFonts w:asciiTheme="majorBidi" w:hAnsiTheme="majorBidi" w:cstheme="majorBidi"/>
          <w:noProof/>
        </w:rPr>
      </w:pPr>
      <w:r w:rsidRPr="000F1EAE">
        <w:rPr>
          <w:rFonts w:asciiTheme="majorBidi" w:hAnsiTheme="majorBidi" w:cstheme="majorBidi"/>
          <w:noProof/>
        </w:rPr>
        <w:t>Lecture après 18 h. à 20 heures ; si le développement</w:t>
      </w:r>
      <w:r w:rsidR="0015041F">
        <w:rPr>
          <w:rFonts w:asciiTheme="majorBidi" w:hAnsiTheme="majorBidi" w:cstheme="majorBidi"/>
          <w:noProof/>
        </w:rPr>
        <w:t xml:space="preserve"> </w:t>
      </w:r>
      <w:r w:rsidRPr="000F1EAE">
        <w:rPr>
          <w:rFonts w:asciiTheme="majorBidi" w:hAnsiTheme="majorBidi" w:cstheme="majorBidi"/>
          <w:noProof/>
        </w:rPr>
        <w:t>est insuffisant, incuber à nouveau pendant 20 h. à 24</w:t>
      </w:r>
      <w:r w:rsidR="0015041F">
        <w:rPr>
          <w:rFonts w:asciiTheme="majorBidi" w:hAnsiTheme="majorBidi" w:cstheme="majorBidi"/>
          <w:noProof/>
        </w:rPr>
        <w:t xml:space="preserve"> </w:t>
      </w:r>
      <w:r w:rsidRPr="000F1EAE">
        <w:rPr>
          <w:rFonts w:asciiTheme="majorBidi" w:hAnsiTheme="majorBidi" w:cstheme="majorBidi"/>
          <w:noProof/>
        </w:rPr>
        <w:t>heures.</w:t>
      </w:r>
    </w:p>
    <w:p w:rsidR="000F1EAE" w:rsidRPr="0015041F" w:rsidRDefault="000F1EAE" w:rsidP="000F1EAE">
      <w:pPr>
        <w:spacing w:after="0" w:line="360" w:lineRule="auto"/>
        <w:rPr>
          <w:rFonts w:asciiTheme="majorBidi" w:hAnsiTheme="majorBidi" w:cstheme="majorBidi"/>
          <w:b/>
          <w:bCs/>
          <w:noProof/>
        </w:rPr>
      </w:pPr>
      <w:r w:rsidRPr="0015041F">
        <w:rPr>
          <w:rFonts w:asciiTheme="majorBidi" w:hAnsiTheme="majorBidi" w:cstheme="majorBidi"/>
          <w:b/>
          <w:bCs/>
          <w:noProof/>
        </w:rPr>
        <w:t xml:space="preserve">5.5.3 Techniques d'enrichissement et d'isolement </w:t>
      </w:r>
    </w:p>
    <w:p w:rsidR="000F1EAE" w:rsidRDefault="000F1EAE" w:rsidP="0015041F">
      <w:pPr>
        <w:spacing w:after="0" w:line="360" w:lineRule="auto"/>
        <w:rPr>
          <w:rFonts w:asciiTheme="majorBidi" w:hAnsiTheme="majorBidi" w:cstheme="majorBidi"/>
          <w:noProof/>
        </w:rPr>
      </w:pPr>
      <w:r w:rsidRPr="000F1EAE">
        <w:rPr>
          <w:rFonts w:asciiTheme="majorBidi" w:hAnsiTheme="majorBidi" w:cstheme="majorBidi"/>
          <w:noProof/>
        </w:rPr>
        <w:t>Opérer selon le schéma suivant :</w:t>
      </w:r>
      <w:r w:rsidR="0015041F">
        <w:rPr>
          <w:rFonts w:asciiTheme="majorBidi" w:hAnsiTheme="majorBidi" w:cstheme="majorBidi"/>
          <w:noProof/>
        </w:rPr>
        <w:t xml:space="preserve"> </w:t>
      </w:r>
      <w:r w:rsidRPr="000F1EAE">
        <w:rPr>
          <w:rFonts w:asciiTheme="majorBidi" w:hAnsiTheme="majorBidi" w:cstheme="majorBidi"/>
          <w:noProof/>
        </w:rPr>
        <w:t>Jour A + 24 h</w:t>
      </w:r>
    </w:p>
    <w:p w:rsidR="0015041F" w:rsidRDefault="0015041F" w:rsidP="0015041F">
      <w:pPr>
        <w:spacing w:after="0" w:line="360" w:lineRule="auto"/>
        <w:jc w:val="center"/>
        <w:rPr>
          <w:rFonts w:asciiTheme="majorBidi" w:hAnsiTheme="majorBidi" w:cstheme="majorBidi"/>
          <w:noProof/>
          <w:u w:val="single"/>
        </w:rPr>
      </w:pPr>
      <w:r w:rsidRPr="0015041F">
        <w:rPr>
          <w:rFonts w:asciiTheme="majorBidi" w:hAnsiTheme="majorBidi" w:cstheme="majorBidi"/>
          <w:noProof/>
          <w:u w:val="single"/>
        </w:rPr>
        <w:t>Enrichissement</w:t>
      </w:r>
    </w:p>
    <w:p w:rsidR="0015041F" w:rsidRDefault="0015041F" w:rsidP="0015041F">
      <w:pPr>
        <w:spacing w:after="0" w:line="360" w:lineRule="auto"/>
        <w:jc w:val="center"/>
        <w:rPr>
          <w:rFonts w:asciiTheme="majorBidi" w:hAnsiTheme="majorBidi" w:cstheme="majorBidi"/>
          <w:noProof/>
          <w:u w:val="single"/>
        </w:rPr>
      </w:pPr>
      <w:r w:rsidRPr="0015041F">
        <w:rPr>
          <w:rFonts w:asciiTheme="majorBidi" w:hAnsiTheme="majorBidi" w:cstheme="majorBidi"/>
          <w:noProof/>
          <w:u w:val="single"/>
        </w:rPr>
        <w:t>par ensemencement de 10 ml de la culture pré- enrichie dans</w:t>
      </w:r>
    </w:p>
    <w:p w:rsidR="0015041F" w:rsidRDefault="0015041F" w:rsidP="0015041F">
      <w:pPr>
        <w:spacing w:after="0" w:line="360" w:lineRule="auto"/>
        <w:jc w:val="center"/>
        <w:rPr>
          <w:rFonts w:asciiTheme="majorBidi" w:hAnsiTheme="majorBidi" w:cstheme="majorBidi"/>
          <w:noProof/>
          <w:u w:val="single"/>
        </w:rPr>
      </w:pPr>
      <w:r>
        <w:rPr>
          <w:rFonts w:asciiTheme="majorBidi" w:hAnsiTheme="majorBidi" w:cstheme="majorBidi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6350</wp:posOffset>
                </wp:positionV>
                <wp:extent cx="0" cy="427990"/>
                <wp:effectExtent l="76200" t="0" r="57150" b="48260"/>
                <wp:wrapTight wrapText="bothSides">
                  <wp:wrapPolygon edited="0">
                    <wp:start x="-1" y="0"/>
                    <wp:lineTo x="-1" y="18267"/>
                    <wp:lineTo x="-1" y="23074"/>
                    <wp:lineTo x="-1" y="23074"/>
                    <wp:lineTo x="-1" y="0"/>
                    <wp:lineTo x="-1" y="0"/>
                  </wp:wrapPolygon>
                </wp:wrapTight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27990"/>
                        </a:xfrm>
                        <a:prstGeom prst="straightConnector1">
                          <a:avLst/>
                        </a:prstGeom>
                        <a:ln w="9525" cap="rnd" cmpd="sng">
                          <a:solidFill>
                            <a:schemeClr val="tx1"/>
                          </a:solidFill>
                          <a:round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C91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208.1pt;margin-top:.5pt;width:0;height:33.7pt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" strokecolor="black [3213]">
                <v:stroke endarrow="classic" endcap="round"/>
                <w10:wrap type="tight"/>
              </v:shape>
            </w:pict>
          </mc:Fallback>
        </mc:AlternateContent>
      </w:r>
    </w:p>
    <w:p w:rsidR="0015041F" w:rsidRDefault="0015041F" w:rsidP="0015041F">
      <w:pPr>
        <w:spacing w:after="0" w:line="360" w:lineRule="auto"/>
        <w:jc w:val="center"/>
        <w:rPr>
          <w:rFonts w:asciiTheme="majorBidi" w:hAnsiTheme="majorBidi" w:cstheme="majorBidi"/>
          <w:noProof/>
          <w:u w:val="single"/>
        </w:rPr>
      </w:pPr>
    </w:p>
    <w:p w:rsidR="0015041F" w:rsidRDefault="0015041F" w:rsidP="0015041F">
      <w:pPr>
        <w:spacing w:after="0" w:line="360" w:lineRule="auto"/>
        <w:jc w:val="center"/>
        <w:rPr>
          <w:rFonts w:asciiTheme="majorBidi" w:hAnsiTheme="majorBidi" w:cstheme="majorBidi"/>
          <w:noProof/>
          <w:u w:val="single"/>
        </w:rPr>
      </w:pPr>
      <w:r w:rsidRPr="0015041F">
        <w:rPr>
          <w:rFonts w:asciiTheme="majorBidi" w:hAnsiTheme="majorBidi" w:cstheme="majorBidi"/>
          <w:noProof/>
          <w:u w:val="single"/>
        </w:rPr>
        <w:t>- 100ml  de milieu au</w:t>
      </w:r>
      <w:r>
        <w:rPr>
          <w:rFonts w:asciiTheme="majorBidi" w:hAnsiTheme="majorBidi" w:cstheme="majorBidi"/>
          <w:noProof/>
          <w:u w:val="single"/>
        </w:rPr>
        <w:t xml:space="preserve"> </w:t>
      </w:r>
      <w:r w:rsidRPr="0015041F">
        <w:rPr>
          <w:rFonts w:asciiTheme="majorBidi" w:hAnsiTheme="majorBidi" w:cstheme="majorBidi"/>
          <w:noProof/>
          <w:u w:val="single"/>
        </w:rPr>
        <w:t>tétrationate  de sodium</w:t>
      </w:r>
      <w:r>
        <w:rPr>
          <w:rFonts w:asciiTheme="majorBidi" w:hAnsiTheme="majorBidi" w:cstheme="majorBidi"/>
          <w:noProof/>
          <w:u w:val="single"/>
        </w:rPr>
        <w:t xml:space="preserve"> </w:t>
      </w:r>
      <w:r w:rsidRPr="0015041F">
        <w:rPr>
          <w:rFonts w:asciiTheme="majorBidi" w:hAnsiTheme="majorBidi" w:cstheme="majorBidi"/>
          <w:noProof/>
          <w:u w:val="single"/>
        </w:rPr>
        <w:t xml:space="preserve">incubé au bain marie à  43°C </w:t>
      </w:r>
      <w:r>
        <w:rPr>
          <w:rFonts w:asciiTheme="majorBidi" w:hAnsiTheme="majorBidi" w:cstheme="majorBidi"/>
          <w:noProof/>
          <w:u w:val="single"/>
        </w:rPr>
        <w:t xml:space="preserve"> </w:t>
      </w:r>
      <w:r w:rsidRPr="0015041F">
        <w:rPr>
          <w:rFonts w:asciiTheme="majorBidi" w:hAnsiTheme="majorBidi" w:cstheme="majorBidi"/>
          <w:noProof/>
          <w:u w:val="single"/>
        </w:rPr>
        <w:t>pendant 24 h  et</w:t>
      </w:r>
      <w:r>
        <w:rPr>
          <w:rFonts w:asciiTheme="majorBidi" w:hAnsiTheme="majorBidi" w:cstheme="majorBidi"/>
          <w:noProof/>
          <w:u w:val="single"/>
        </w:rPr>
        <w:t xml:space="preserve"> </w:t>
      </w:r>
      <w:r w:rsidRPr="0015041F">
        <w:rPr>
          <w:rFonts w:asciiTheme="majorBidi" w:hAnsiTheme="majorBidi" w:cstheme="majorBidi"/>
          <w:noProof/>
          <w:u w:val="single"/>
        </w:rPr>
        <w:t>48 h.</w:t>
      </w:r>
    </w:p>
    <w:p w:rsidR="0015041F" w:rsidRPr="00942240" w:rsidRDefault="0015041F" w:rsidP="0015041F">
      <w:pPr>
        <w:spacing w:after="0" w:line="360" w:lineRule="auto"/>
        <w:rPr>
          <w:rFonts w:asciiTheme="majorBidi" w:hAnsiTheme="majorBidi" w:cstheme="majorBidi"/>
          <w:noProof/>
        </w:rPr>
      </w:pPr>
      <w:r w:rsidRPr="00942240">
        <w:rPr>
          <w:rFonts w:asciiTheme="majorBidi" w:hAnsiTheme="majorBidi" w:cstheme="majorBidi"/>
          <w:noProof/>
        </w:rPr>
        <w:t>Jour A + 48 h              Isolement</w:t>
      </w:r>
    </w:p>
    <w:p w:rsidR="0015041F" w:rsidRPr="00942240" w:rsidRDefault="0015041F" w:rsidP="0015041F">
      <w:pPr>
        <w:spacing w:after="0" w:line="360" w:lineRule="auto"/>
        <w:rPr>
          <w:rFonts w:asciiTheme="majorBidi" w:hAnsiTheme="majorBidi" w:cstheme="majorBidi"/>
          <w:noProof/>
        </w:rPr>
      </w:pPr>
      <w:r w:rsidRPr="00942240">
        <w:rPr>
          <w:rFonts w:asciiTheme="majorBidi" w:hAnsiTheme="majorBidi" w:cstheme="majorBidi"/>
          <w:noProof/>
        </w:rPr>
        <w:t>d'une anse bouclée sur 2 géloses sélectives :</w:t>
      </w:r>
    </w:p>
    <w:p w:rsidR="0015041F" w:rsidRPr="00942240" w:rsidRDefault="0015041F" w:rsidP="0015041F">
      <w:pPr>
        <w:spacing w:after="0" w:line="360" w:lineRule="auto"/>
        <w:rPr>
          <w:rFonts w:asciiTheme="majorBidi" w:hAnsiTheme="majorBidi" w:cstheme="majorBidi"/>
          <w:noProof/>
        </w:rPr>
      </w:pPr>
      <w:r w:rsidRPr="00942240">
        <w:rPr>
          <w:rFonts w:asciiTheme="majorBidi" w:hAnsiTheme="majorBidi" w:cstheme="majorBidi"/>
          <w:noProof/>
        </w:rPr>
        <w:t>1 - gélose au vert brillant et rouge de phénol ou gélose</w:t>
      </w:r>
    </w:p>
    <w:p w:rsidR="0015041F" w:rsidRPr="00942240" w:rsidRDefault="0015041F" w:rsidP="0015041F">
      <w:pPr>
        <w:spacing w:after="0" w:line="360" w:lineRule="auto"/>
        <w:rPr>
          <w:rFonts w:asciiTheme="majorBidi" w:hAnsiTheme="majorBidi" w:cstheme="majorBidi"/>
          <w:noProof/>
        </w:rPr>
      </w:pPr>
      <w:r w:rsidRPr="00942240">
        <w:rPr>
          <w:rFonts w:asciiTheme="majorBidi" w:hAnsiTheme="majorBidi" w:cstheme="majorBidi"/>
          <w:noProof/>
        </w:rPr>
        <w:t xml:space="preserve">au bismuth de sulfite </w:t>
      </w:r>
    </w:p>
    <w:p w:rsidR="0015041F" w:rsidRPr="00942240" w:rsidRDefault="0015041F" w:rsidP="0015041F">
      <w:pPr>
        <w:spacing w:after="0" w:line="360" w:lineRule="auto"/>
        <w:rPr>
          <w:rFonts w:asciiTheme="majorBidi" w:hAnsiTheme="majorBidi" w:cstheme="majorBidi"/>
          <w:noProof/>
        </w:rPr>
      </w:pPr>
      <w:r w:rsidRPr="00942240">
        <w:rPr>
          <w:rFonts w:asciiTheme="majorBidi" w:hAnsiTheme="majorBidi" w:cstheme="majorBidi"/>
          <w:noProof/>
        </w:rPr>
        <w:t>2 - gélose XLD ou gélose Hektoen</w:t>
      </w:r>
    </w:p>
    <w:p w:rsidR="0015041F" w:rsidRPr="00942240" w:rsidRDefault="0015041F" w:rsidP="0015041F">
      <w:pPr>
        <w:spacing w:after="0" w:line="360" w:lineRule="auto"/>
        <w:rPr>
          <w:rFonts w:asciiTheme="majorBidi" w:hAnsiTheme="majorBidi" w:cstheme="majorBidi"/>
          <w:noProof/>
        </w:rPr>
      </w:pPr>
      <w:r w:rsidRPr="00942240">
        <w:rPr>
          <w:rFonts w:asciiTheme="majorBidi" w:hAnsiTheme="majorBidi" w:cstheme="majorBidi"/>
          <w:noProof/>
        </w:rPr>
        <w:t>Jour A + 72 h</w:t>
      </w:r>
    </w:p>
    <w:p w:rsidR="0015041F" w:rsidRPr="00942240" w:rsidRDefault="0015041F" w:rsidP="0015041F">
      <w:pPr>
        <w:spacing w:after="0" w:line="360" w:lineRule="auto"/>
        <w:rPr>
          <w:rFonts w:asciiTheme="majorBidi" w:hAnsiTheme="majorBidi" w:cstheme="majorBidi"/>
          <w:noProof/>
        </w:rPr>
      </w:pPr>
      <w:r w:rsidRPr="00942240">
        <w:rPr>
          <w:rFonts w:asciiTheme="majorBidi" w:hAnsiTheme="majorBidi" w:cstheme="majorBidi"/>
          <w:noProof/>
        </w:rPr>
        <w:t>Répéter les isolements tels que décrits à Jour A + 48 h.</w:t>
      </w:r>
    </w:p>
    <w:p w:rsidR="0015041F" w:rsidRPr="00942240" w:rsidRDefault="0015041F" w:rsidP="0015041F">
      <w:pPr>
        <w:spacing w:after="0" w:line="360" w:lineRule="auto"/>
        <w:rPr>
          <w:rFonts w:asciiTheme="majorBidi" w:hAnsiTheme="majorBidi" w:cstheme="majorBidi"/>
          <w:noProof/>
        </w:rPr>
      </w:pPr>
      <w:r w:rsidRPr="00942240">
        <w:rPr>
          <w:rFonts w:asciiTheme="majorBidi" w:hAnsiTheme="majorBidi" w:cstheme="majorBidi"/>
          <w:noProof/>
        </w:rPr>
        <w:t>Incuber les géloses sélectives à 37° C.</w:t>
      </w:r>
    </w:p>
    <w:p w:rsidR="0015041F" w:rsidRPr="00942240" w:rsidRDefault="0015041F" w:rsidP="0015041F">
      <w:pPr>
        <w:spacing w:after="0" w:line="360" w:lineRule="auto"/>
        <w:rPr>
          <w:rFonts w:asciiTheme="majorBidi" w:hAnsiTheme="majorBidi" w:cstheme="majorBidi"/>
          <w:noProof/>
        </w:rPr>
      </w:pPr>
      <w:r w:rsidRPr="00942240">
        <w:rPr>
          <w:rFonts w:asciiTheme="majorBidi" w:hAnsiTheme="majorBidi" w:cstheme="majorBidi"/>
          <w:noProof/>
        </w:rPr>
        <w:t>Effectuer une première lecture après 18 h. à 20 heures ;</w:t>
      </w:r>
    </w:p>
    <w:p w:rsidR="0015041F" w:rsidRPr="00942240" w:rsidRDefault="0015041F" w:rsidP="0015041F">
      <w:pPr>
        <w:spacing w:after="0" w:line="360" w:lineRule="auto"/>
        <w:rPr>
          <w:rFonts w:asciiTheme="majorBidi" w:hAnsiTheme="majorBidi" w:cstheme="majorBidi"/>
          <w:noProof/>
        </w:rPr>
      </w:pPr>
      <w:r w:rsidRPr="00942240">
        <w:rPr>
          <w:rFonts w:asciiTheme="majorBidi" w:hAnsiTheme="majorBidi" w:cstheme="majorBidi"/>
          <w:noProof/>
        </w:rPr>
        <w:t>si le développement est insuffisant, incuber à nouveau</w:t>
      </w:r>
    </w:p>
    <w:p w:rsidR="0015041F" w:rsidRDefault="0015041F" w:rsidP="0015041F">
      <w:pPr>
        <w:spacing w:after="0" w:line="360" w:lineRule="auto"/>
        <w:jc w:val="center"/>
        <w:rPr>
          <w:rFonts w:asciiTheme="majorBidi" w:hAnsiTheme="majorBidi" w:cstheme="majorBidi"/>
          <w:noProof/>
        </w:rPr>
      </w:pPr>
      <w:r w:rsidRPr="00942240">
        <w:rPr>
          <w:rFonts w:asciiTheme="majorBidi" w:hAnsiTheme="majorBidi" w:cstheme="majorBidi"/>
          <w:noProof/>
        </w:rPr>
        <w:lastRenderedPageBreak/>
        <w:t>pendant 20 h. à 24 heures.</w:t>
      </w:r>
    </w:p>
    <w:p w:rsidR="00CE5643" w:rsidRDefault="00CE5643" w:rsidP="0015041F">
      <w:pPr>
        <w:spacing w:after="0" w:line="360" w:lineRule="auto"/>
        <w:jc w:val="center"/>
        <w:rPr>
          <w:rFonts w:asciiTheme="majorBidi" w:hAnsiTheme="majorBidi" w:cstheme="majorBidi"/>
          <w:noProof/>
        </w:rPr>
      </w:pPr>
    </w:p>
    <w:p w:rsidR="00CE5643" w:rsidRPr="00CE5643" w:rsidRDefault="00CE5643" w:rsidP="00CE5643">
      <w:pPr>
        <w:spacing w:after="0" w:line="360" w:lineRule="auto"/>
        <w:rPr>
          <w:rFonts w:asciiTheme="majorBidi" w:hAnsiTheme="majorBidi" w:cstheme="majorBidi"/>
          <w:b/>
          <w:bCs/>
          <w:noProof/>
        </w:rPr>
      </w:pPr>
      <w:r w:rsidRPr="00CE5643">
        <w:rPr>
          <w:rFonts w:asciiTheme="majorBidi" w:hAnsiTheme="majorBidi" w:cstheme="majorBidi"/>
          <w:b/>
          <w:bCs/>
          <w:noProof/>
        </w:rPr>
        <w:t xml:space="preserve">5.5.4 Choix des colonies – confirmation </w:t>
      </w:r>
    </w:p>
    <w:p w:rsidR="00CE5643" w:rsidRPr="00CE5643" w:rsidRDefault="00CE5643" w:rsidP="00FA0A57">
      <w:pPr>
        <w:spacing w:after="0" w:line="360" w:lineRule="auto"/>
        <w:rPr>
          <w:rFonts w:asciiTheme="majorBidi" w:hAnsiTheme="majorBidi" w:cstheme="majorBidi"/>
          <w:noProof/>
        </w:rPr>
      </w:pPr>
      <w:r w:rsidRPr="00CE5643">
        <w:rPr>
          <w:rFonts w:asciiTheme="majorBidi" w:hAnsiTheme="majorBidi" w:cstheme="majorBidi"/>
          <w:noProof/>
        </w:rPr>
        <w:t>Se référer aux indications données dans la méthode</w:t>
      </w:r>
      <w:r w:rsidR="00FA0A57">
        <w:rPr>
          <w:rFonts w:asciiTheme="majorBidi" w:hAnsiTheme="majorBidi" w:cstheme="majorBidi"/>
          <w:noProof/>
        </w:rPr>
        <w:t xml:space="preserve"> </w:t>
      </w:r>
      <w:bookmarkStart w:id="0" w:name="_GoBack"/>
      <w:bookmarkEnd w:id="0"/>
      <w:r w:rsidRPr="00CE5643">
        <w:rPr>
          <w:rFonts w:asciiTheme="majorBidi" w:hAnsiTheme="majorBidi" w:cstheme="majorBidi"/>
          <w:noProof/>
        </w:rPr>
        <w:t>relative à la recherche des salmonella.</w:t>
      </w:r>
    </w:p>
    <w:p w:rsidR="00CE5643" w:rsidRPr="00CE5643" w:rsidRDefault="00CE5643" w:rsidP="00CE5643">
      <w:pPr>
        <w:spacing w:after="0" w:line="360" w:lineRule="auto"/>
        <w:rPr>
          <w:rFonts w:asciiTheme="majorBidi" w:hAnsiTheme="majorBidi" w:cstheme="majorBidi"/>
          <w:b/>
          <w:bCs/>
          <w:noProof/>
        </w:rPr>
      </w:pPr>
      <w:r w:rsidRPr="00CE5643">
        <w:rPr>
          <w:rFonts w:asciiTheme="majorBidi" w:hAnsiTheme="majorBidi" w:cstheme="majorBidi"/>
          <w:b/>
          <w:bCs/>
          <w:noProof/>
        </w:rPr>
        <w:t xml:space="preserve">5.5.5  Détermination sérologique </w:t>
      </w:r>
    </w:p>
    <w:p w:rsidR="00CE5643" w:rsidRPr="00CE5643" w:rsidRDefault="00CE5643" w:rsidP="00CE5643">
      <w:pPr>
        <w:spacing w:after="0" w:line="360" w:lineRule="auto"/>
        <w:rPr>
          <w:rFonts w:asciiTheme="majorBidi" w:hAnsiTheme="majorBidi" w:cstheme="majorBidi"/>
          <w:noProof/>
        </w:rPr>
      </w:pPr>
      <w:r w:rsidRPr="00CE5643">
        <w:rPr>
          <w:rFonts w:asciiTheme="majorBidi" w:hAnsiTheme="majorBidi" w:cstheme="majorBidi"/>
          <w:noProof/>
        </w:rPr>
        <w:t>Les souches répondant aux caractéristiques</w:t>
      </w:r>
      <w:r>
        <w:rPr>
          <w:rFonts w:asciiTheme="majorBidi" w:hAnsiTheme="majorBidi" w:cstheme="majorBidi"/>
          <w:noProof/>
        </w:rPr>
        <w:t xml:space="preserve"> </w:t>
      </w:r>
      <w:r w:rsidRPr="00CE5643">
        <w:rPr>
          <w:rFonts w:asciiTheme="majorBidi" w:hAnsiTheme="majorBidi" w:cstheme="majorBidi"/>
          <w:noProof/>
        </w:rPr>
        <w:t>biochimiques des Salmonella, ou suspectes, seront</w:t>
      </w:r>
    </w:p>
    <w:p w:rsidR="00CE5643" w:rsidRPr="00CE5643" w:rsidRDefault="00CE5643" w:rsidP="00CE5643">
      <w:pPr>
        <w:spacing w:after="0" w:line="360" w:lineRule="auto"/>
        <w:rPr>
          <w:rFonts w:asciiTheme="majorBidi" w:hAnsiTheme="majorBidi" w:cstheme="majorBidi"/>
          <w:noProof/>
        </w:rPr>
      </w:pPr>
      <w:r w:rsidRPr="00CE5643">
        <w:rPr>
          <w:rFonts w:asciiTheme="majorBidi" w:hAnsiTheme="majorBidi" w:cstheme="majorBidi"/>
          <w:noProof/>
        </w:rPr>
        <w:t>soumises à la confirmation sérologique.</w:t>
      </w:r>
    </w:p>
    <w:p w:rsidR="00CE5643" w:rsidRPr="00CE5643" w:rsidRDefault="00CE5643" w:rsidP="00CE5643">
      <w:pPr>
        <w:spacing w:after="0" w:line="360" w:lineRule="auto"/>
        <w:rPr>
          <w:rFonts w:asciiTheme="majorBidi" w:hAnsiTheme="majorBidi" w:cstheme="majorBidi"/>
          <w:b/>
          <w:bCs/>
          <w:noProof/>
        </w:rPr>
      </w:pPr>
      <w:r w:rsidRPr="00CE5643">
        <w:rPr>
          <w:rFonts w:asciiTheme="majorBidi" w:hAnsiTheme="majorBidi" w:cstheme="majorBidi"/>
          <w:b/>
          <w:bCs/>
          <w:noProof/>
        </w:rPr>
        <w:t>5.5.6 Expression des résultats</w:t>
      </w:r>
    </w:p>
    <w:p w:rsidR="00CE5643" w:rsidRPr="00CE5643" w:rsidRDefault="00CE5643" w:rsidP="00CE5643">
      <w:pPr>
        <w:spacing w:after="0" w:line="360" w:lineRule="auto"/>
        <w:rPr>
          <w:rFonts w:asciiTheme="majorBidi" w:hAnsiTheme="majorBidi" w:cstheme="majorBidi"/>
          <w:noProof/>
        </w:rPr>
      </w:pPr>
      <w:r w:rsidRPr="00CE5643">
        <w:rPr>
          <w:rFonts w:asciiTheme="majorBidi" w:hAnsiTheme="majorBidi" w:cstheme="majorBidi"/>
          <w:noProof/>
        </w:rPr>
        <w:t>Lorsque l’échantillon composé est exempt de</w:t>
      </w:r>
      <w:r>
        <w:rPr>
          <w:rFonts w:asciiTheme="majorBidi" w:hAnsiTheme="majorBidi" w:cstheme="majorBidi"/>
          <w:noProof/>
        </w:rPr>
        <w:t xml:space="preserve"> </w:t>
      </w:r>
      <w:r w:rsidRPr="00CE5643">
        <w:rPr>
          <w:rFonts w:asciiTheme="majorBidi" w:hAnsiTheme="majorBidi" w:cstheme="majorBidi"/>
          <w:noProof/>
        </w:rPr>
        <w:t>salmonella, le produit est conforme au critère requis.</w:t>
      </w:r>
    </w:p>
    <w:p w:rsidR="00CE5643" w:rsidRDefault="00CE5643" w:rsidP="00CE5643">
      <w:pPr>
        <w:spacing w:after="0" w:line="360" w:lineRule="auto"/>
        <w:rPr>
          <w:rFonts w:asciiTheme="majorBidi" w:hAnsiTheme="majorBidi" w:cstheme="majorBidi"/>
          <w:noProof/>
        </w:rPr>
      </w:pPr>
      <w:r w:rsidRPr="00CE5643">
        <w:rPr>
          <w:rFonts w:asciiTheme="majorBidi" w:hAnsiTheme="majorBidi" w:cstheme="majorBidi"/>
          <w:noProof/>
        </w:rPr>
        <w:t>Si l'échantillon composé présente des salmonella, il peut</w:t>
      </w:r>
      <w:r>
        <w:rPr>
          <w:rFonts w:asciiTheme="majorBidi" w:hAnsiTheme="majorBidi" w:cstheme="majorBidi"/>
          <w:noProof/>
        </w:rPr>
        <w:t xml:space="preserve"> </w:t>
      </w:r>
      <w:r w:rsidRPr="00CE5643">
        <w:rPr>
          <w:rFonts w:asciiTheme="majorBidi" w:hAnsiTheme="majorBidi" w:cstheme="majorBidi"/>
          <w:noProof/>
        </w:rPr>
        <w:t>être conseillé de réexaminer séparément les 5 unités.</w:t>
      </w:r>
    </w:p>
    <w:p w:rsidR="00E534DB" w:rsidRPr="00CE5643" w:rsidRDefault="00E534DB" w:rsidP="00CE5643">
      <w:pPr>
        <w:spacing w:after="0" w:line="360" w:lineRule="auto"/>
        <w:rPr>
          <w:rFonts w:asciiTheme="majorBidi" w:hAnsiTheme="majorBidi" w:cstheme="majorBidi"/>
          <w:noProof/>
        </w:rPr>
      </w:pPr>
    </w:p>
    <w:p w:rsidR="00CE5643" w:rsidRDefault="00EC1940" w:rsidP="00CE5643">
      <w:pPr>
        <w:spacing w:after="0" w:line="360" w:lineRule="auto"/>
        <w:rPr>
          <w:rFonts w:asciiTheme="majorBidi" w:hAnsiTheme="majorBidi" w:cstheme="majorBidi"/>
          <w:noProof/>
        </w:rPr>
      </w:pPr>
      <w:r w:rsidRPr="00CE5643">
        <w:rPr>
          <w:noProof/>
        </w:rPr>
        <w:drawing>
          <wp:inline distT="0" distB="0" distL="0" distR="0" wp14:anchorId="2958D9E1" wp14:editId="50AB48FB">
            <wp:extent cx="5274310" cy="2054860"/>
            <wp:effectExtent l="0" t="0" r="2540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643" w:rsidRDefault="00CE5643" w:rsidP="0015041F">
      <w:pPr>
        <w:spacing w:after="0" w:line="360" w:lineRule="auto"/>
        <w:jc w:val="center"/>
        <w:rPr>
          <w:rFonts w:asciiTheme="majorBidi" w:hAnsiTheme="majorBidi" w:cstheme="majorBidi"/>
          <w:noProof/>
        </w:rPr>
      </w:pPr>
    </w:p>
    <w:p w:rsidR="00CE5643" w:rsidRPr="00942240" w:rsidRDefault="00CE5643" w:rsidP="0015041F">
      <w:pPr>
        <w:spacing w:after="0" w:line="360" w:lineRule="auto"/>
        <w:jc w:val="center"/>
        <w:rPr>
          <w:rFonts w:asciiTheme="majorBidi" w:hAnsiTheme="majorBidi" w:cstheme="majorBidi"/>
          <w:noProof/>
        </w:rPr>
      </w:pPr>
    </w:p>
    <w:sectPr w:rsidR="00CE5643" w:rsidRPr="00942240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75D" w:rsidRDefault="0045475D" w:rsidP="0068323F">
      <w:pPr>
        <w:spacing w:after="0" w:line="240" w:lineRule="auto"/>
      </w:pPr>
      <w:r>
        <w:separator/>
      </w:r>
    </w:p>
  </w:endnote>
  <w:endnote w:type="continuationSeparator" w:id="0">
    <w:p w:rsidR="0045475D" w:rsidRDefault="0045475D" w:rsidP="0068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2247617"/>
      <w:docPartObj>
        <w:docPartGallery w:val="Page Numbers (Bottom of Page)"/>
        <w:docPartUnique/>
      </w:docPartObj>
    </w:sdtPr>
    <w:sdtContent>
      <w:p w:rsidR="00E534DB" w:rsidRDefault="00E534D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534DB" w:rsidRDefault="00E534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75D" w:rsidRDefault="0045475D" w:rsidP="0068323F">
      <w:pPr>
        <w:spacing w:after="0" w:line="240" w:lineRule="auto"/>
      </w:pPr>
      <w:r>
        <w:separator/>
      </w:r>
    </w:p>
  </w:footnote>
  <w:footnote w:type="continuationSeparator" w:id="0">
    <w:p w:rsidR="0045475D" w:rsidRDefault="0045475D" w:rsidP="0068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23F" w:rsidRPr="00500767" w:rsidRDefault="0068323F" w:rsidP="00500767">
    <w:pPr>
      <w:pBdr>
        <w:bottom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  <w:rPr>
        <w:rFonts w:asciiTheme="majorBidi" w:hAnsiTheme="majorBidi" w:cstheme="majorBidi"/>
        <w:sz w:val="16"/>
        <w:szCs w:val="16"/>
      </w:rPr>
    </w:pPr>
    <w:r w:rsidRPr="0068323F">
      <w:rPr>
        <w:rFonts w:asciiTheme="majorBidi" w:hAnsiTheme="majorBidi" w:cstheme="majorBidi"/>
        <w:sz w:val="16"/>
        <w:szCs w:val="16"/>
      </w:rPr>
      <w:t xml:space="preserve">Université De Mohamed </w:t>
    </w:r>
    <w:proofErr w:type="spellStart"/>
    <w:r w:rsidRPr="0068323F">
      <w:rPr>
        <w:rFonts w:asciiTheme="majorBidi" w:hAnsiTheme="majorBidi" w:cstheme="majorBidi"/>
        <w:sz w:val="16"/>
        <w:szCs w:val="16"/>
      </w:rPr>
      <w:t>Khider</w:t>
    </w:r>
    <w:proofErr w:type="spellEnd"/>
    <w:r w:rsidRPr="0068323F">
      <w:rPr>
        <w:rFonts w:asciiTheme="majorBidi" w:hAnsiTheme="majorBidi" w:cstheme="majorBidi"/>
        <w:sz w:val="16"/>
        <w:szCs w:val="16"/>
      </w:rPr>
      <w:t xml:space="preserve"> Biskra, Faculté Des Sciences Exactes Et Des Sciences De La Nature Et De La Vie, Département de Biologie, Module ; Microbiologie Alimentaire, Année universitaire 2021-2022, Chargé de module </w:t>
    </w:r>
    <w:proofErr w:type="spellStart"/>
    <w:r w:rsidRPr="0068323F">
      <w:rPr>
        <w:rFonts w:asciiTheme="majorBidi" w:hAnsiTheme="majorBidi" w:cstheme="majorBidi"/>
        <w:sz w:val="16"/>
        <w:szCs w:val="16"/>
      </w:rPr>
      <w:t>Benkaddour</w:t>
    </w:r>
    <w:proofErr w:type="spellEnd"/>
    <w:r w:rsidRPr="0068323F">
      <w:rPr>
        <w:rFonts w:asciiTheme="majorBidi" w:hAnsiTheme="majorBidi" w:cstheme="majorBidi"/>
        <w:sz w:val="16"/>
        <w:szCs w:val="16"/>
      </w:rPr>
      <w:t xml:space="preserve"> Bachir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7E"/>
    <w:rsid w:val="0002616A"/>
    <w:rsid w:val="000F1EAE"/>
    <w:rsid w:val="0015041F"/>
    <w:rsid w:val="00155E92"/>
    <w:rsid w:val="00194681"/>
    <w:rsid w:val="001B7860"/>
    <w:rsid w:val="002F6D64"/>
    <w:rsid w:val="00377DBD"/>
    <w:rsid w:val="00431277"/>
    <w:rsid w:val="0045475D"/>
    <w:rsid w:val="00500767"/>
    <w:rsid w:val="0052311B"/>
    <w:rsid w:val="00546783"/>
    <w:rsid w:val="0068323F"/>
    <w:rsid w:val="006C2C3F"/>
    <w:rsid w:val="0071091E"/>
    <w:rsid w:val="007751C9"/>
    <w:rsid w:val="00782CA9"/>
    <w:rsid w:val="007B0C6A"/>
    <w:rsid w:val="00877056"/>
    <w:rsid w:val="008C44AA"/>
    <w:rsid w:val="00942240"/>
    <w:rsid w:val="00966952"/>
    <w:rsid w:val="00993694"/>
    <w:rsid w:val="009B40FB"/>
    <w:rsid w:val="00A971A2"/>
    <w:rsid w:val="00BA0FBD"/>
    <w:rsid w:val="00C15ABF"/>
    <w:rsid w:val="00C50DCD"/>
    <w:rsid w:val="00CB6FC0"/>
    <w:rsid w:val="00CE5643"/>
    <w:rsid w:val="00D51598"/>
    <w:rsid w:val="00DA758F"/>
    <w:rsid w:val="00E534DB"/>
    <w:rsid w:val="00E71F38"/>
    <w:rsid w:val="00EC0834"/>
    <w:rsid w:val="00EC1940"/>
    <w:rsid w:val="00EC3D89"/>
    <w:rsid w:val="00F2512D"/>
    <w:rsid w:val="00F5078F"/>
    <w:rsid w:val="00F5391B"/>
    <w:rsid w:val="00FA0A57"/>
    <w:rsid w:val="00FB357E"/>
    <w:rsid w:val="00F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CB6C"/>
  <w15:chartTrackingRefBased/>
  <w15:docId w15:val="{4F676D0B-4DB9-4283-817D-B8E2BB2B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32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323F"/>
  </w:style>
  <w:style w:type="paragraph" w:styleId="Pieddepage">
    <w:name w:val="footer"/>
    <w:basedOn w:val="Normal"/>
    <w:link w:val="PieddepageCar"/>
    <w:uiPriority w:val="99"/>
    <w:unhideWhenUsed/>
    <w:rsid w:val="006832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323F"/>
  </w:style>
  <w:style w:type="character" w:styleId="Marquedecommentaire">
    <w:name w:val="annotation reference"/>
    <w:basedOn w:val="Policepardfaut"/>
    <w:uiPriority w:val="99"/>
    <w:semiHidden/>
    <w:unhideWhenUsed/>
    <w:rsid w:val="00EC08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08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08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08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083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0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8</Pages>
  <Words>2531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2022-04-10T07:56:00Z</dcterms:created>
  <dcterms:modified xsi:type="dcterms:W3CDTF">2022-04-26T19:56:00Z</dcterms:modified>
</cp:coreProperties>
</file>