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1F" w:rsidRDefault="002C191F" w:rsidP="002C191F">
      <w:pPr>
        <w:ind w:firstLine="284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المبحث الأول</w:t>
      </w:r>
    </w:p>
    <w:p w:rsidR="002C191F" w:rsidRPr="00E5201B" w:rsidRDefault="002C191F" w:rsidP="002C191F">
      <w:pPr>
        <w:ind w:firstLine="284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E5201B">
        <w:rPr>
          <w:rFonts w:ascii="Simplified Arabic" w:hAnsi="Simplified Arabic" w:cs="Simplified Arabic"/>
          <w:b/>
          <w:bCs/>
          <w:sz w:val="28"/>
          <w:szCs w:val="28"/>
          <w:rtl/>
        </w:rPr>
        <w:t>ماهية المنازعات الجمركية ذات الطابع الجزائي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تعد إدارة الجمارك هيئة من الهيئات الحكومية التابعة لوزارة المالية التي تعتمد عليها الدولة لتنفيذ سياستها الاقتصادية ، فهي إدارة مكلفة بتحصيل الحقوق والرسوم المطبقة على السلع التي تجتاز الحدود الوطنية ، كما أنها مكلفة بمراقبة حركة السلع و المنتوجات و رؤوس الأموال عبر الحدود و تسهر على تطبيق القوانين و احترام التشريعات التي تنظم المبادلات الاقتصادية و تحركات الأشخاص و وسائل النقل البرية والبحرية والجوية .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و نظرا لخطورة وأهمية هذا الدور الذي تقوم به إدارة الجمارك فإنه كثيرا ما تتولد نزاعات بين الإدارة من جهة والمتعاملين معها من جهة أخرى ، تتم تسويتها أمام القضاء إذا لم يتم حلها وديا عن طريق المصالحة الجمركية في الحالات التي يجيزها القانون .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هذه المنازعات قد يختص بها القضاء العادي " المدني أو الجزائي " حسب قواعد الاختصاص المنصوص عليها في قانون الجمارك في المواد 272 و 273 و 274 منه ، كما قد يختص بها القضاء الإداري إذا تعلق الأمر بمنازعة تدخل في اختصاص القضاء الإداري.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و سنتناول في هذا المبحث مفهوم المنازعات الجمركية ذات الطابع الجزائي من خلال بيان تعريف المنازعات الجمركية كنوع من أنواع المنازعات أمام القضاء و كذا بيان أنواع المنازعات الجمركية</w:t>
      </w:r>
      <w:r w:rsidRPr="00E5201B">
        <w:rPr>
          <w:rFonts w:ascii="Simplified Arabic" w:hAnsi="Simplified Arabic" w:cs="Simplified Arabic"/>
          <w:sz w:val="28"/>
          <w:szCs w:val="28"/>
        </w:rPr>
        <w:t xml:space="preserve">)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المطلب الأول  </w:t>
      </w:r>
      <w:r w:rsidRPr="00E5201B">
        <w:rPr>
          <w:rFonts w:ascii="Simplified Arabic" w:hAnsi="Simplified Arabic" w:cs="Simplified Arabic"/>
          <w:sz w:val="28"/>
          <w:szCs w:val="28"/>
        </w:rPr>
        <w:t>(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5201B">
        <w:rPr>
          <w:rFonts w:ascii="Simplified Arabic" w:hAnsi="Simplified Arabic" w:cs="Simplified Arabic"/>
          <w:sz w:val="28"/>
          <w:szCs w:val="28"/>
          <w:rtl/>
          <w:lang w:bidi="ar-DZ"/>
        </w:rPr>
        <w:t>، كما سنتناول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محل المنازعات الجمركية ذات الطابع الجزائي ونقصد بذلك أنواع الجرائم الجمركية التي تثور بصددها المنازعات الجمركية </w:t>
      </w:r>
      <w:r w:rsidRPr="00E5201B">
        <w:rPr>
          <w:rFonts w:ascii="Simplified Arabic" w:hAnsi="Simplified Arabic" w:cs="Simplified Arabic"/>
          <w:sz w:val="28"/>
          <w:szCs w:val="28"/>
        </w:rPr>
        <w:t xml:space="preserve">) 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المطلب الثاني  </w:t>
      </w:r>
      <w:r w:rsidRPr="00E5201B">
        <w:rPr>
          <w:rFonts w:ascii="Simplified Arabic" w:hAnsi="Simplified Arabic" w:cs="Simplified Arabic"/>
          <w:sz w:val="28"/>
          <w:szCs w:val="28"/>
        </w:rPr>
        <w:t>(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5201B">
        <w:rPr>
          <w:rFonts w:ascii="Simplified Arabic" w:hAnsi="Simplified Arabic" w:cs="Simplified Arabic"/>
          <w:b/>
          <w:bCs/>
          <w:sz w:val="28"/>
          <w:szCs w:val="28"/>
          <w:rtl/>
        </w:rPr>
        <w:t>المطلب الأول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5201B">
        <w:rPr>
          <w:rFonts w:ascii="Simplified Arabic" w:hAnsi="Simplified Arabic" w:cs="Simplified Arabic"/>
          <w:b/>
          <w:bCs/>
          <w:sz w:val="28"/>
          <w:szCs w:val="28"/>
          <w:rtl/>
        </w:rPr>
        <w:t>مفهــــــوم المنــازعــات الجمركية</w:t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سنتناول في الفرع الأول تعريف المنازعة الجمركية ، على أن نتناول في الفرع الثاني أنواع المنازعات الجمركية في التشريع الجمركي الجزائري ، وكذا كيفية التمييز بينها وتحديد موضوعها .</w:t>
      </w:r>
    </w:p>
    <w:p w:rsidR="002C191F" w:rsidRPr="00E5201B" w:rsidRDefault="002C191F" w:rsidP="002C191F">
      <w:pPr>
        <w:tabs>
          <w:tab w:val="left" w:pos="4151"/>
        </w:tabs>
        <w:ind w:firstLine="284"/>
        <w:jc w:val="right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5201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الفرع الأول : تعريف المنازعات الجمركية </w:t>
      </w:r>
      <w:r w:rsidRPr="00E5201B"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تستخدم لفظة " المنازعة " في عدة معاني حيث تقال في المسائل التي تكون موضوع نقاش أمام المحاكم أو التي يمكن أن تكون كذلك </w:t>
      </w:r>
      <w:r w:rsidRPr="00E5201B">
        <w:rPr>
          <w:rFonts w:ascii="Simplified Arabic" w:hAnsi="Simplified Arabic" w:cs="Simplified Arabic"/>
          <w:smallCaps/>
          <w:sz w:val="28"/>
          <w:szCs w:val="28"/>
          <w:rtl/>
        </w:rPr>
        <w:t xml:space="preserve">،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ومرادفها منـازع فيه أو موضوع نزاع  </w:t>
      </w:r>
      <w:r w:rsidRPr="00E5201B">
        <w:rPr>
          <w:rFonts w:ascii="Simplified Arabic" w:hAnsi="Simplified Arabic" w:cs="Simplified Arabic"/>
          <w:sz w:val="28"/>
          <w:szCs w:val="28"/>
        </w:rPr>
        <w:t xml:space="preserve">Litigieux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، كما تستخدم فيما يتعلق بخلاف بين متقاضين أو خصمين ، وتقال أيضا في حكم يَبُتُّ بخلاف أصلي أو عارض .</w:t>
      </w:r>
      <w:r w:rsidRPr="00E5201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2"/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و من ثمة فالمنازعة تعني الخصومة أمام القضاء وتُعرّف أيضا بأنها " كل ما هو موضوع خلاف في المجال القانوني ".</w:t>
      </w:r>
      <w:r w:rsidRPr="00E5201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3"/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ويجب التمييز بين المنازعة وإجراء تحريك الدعوى فتحريك الدعوى هو العمل الافتتاحي للخصومة " المنازعة " والأداة المحركة لها ، أما الخصومة فإنها تتكون من كافة الإجراءات التي تبدأ من تحريك الدعوى الجزائية وتنتهي بالفصل فيها بحكم بات أو لسبب آخر من أسباب الانقضاء ، وتبدأ من وقت تحريـك الدعوى الجزائية للمطالبة بإقرار سلطة الدولة في العقـاب في مواجهة المتهم ، لذا فإن الإجراءات السابقة على تحريك الدعوى لا تعتبر من إجراءات الخصـومة الجزائية وتتميز الخصـومة بالطابع القضـائي ، ولا تعتبر إجراءات الاستدلال جزء من الخصـومة الجزائية ، لأن هذه الإجراءات يبـاشرها مأمـور الضبط القضـائي بصفته من رجـال السلطة التنفيـذية ، وذلك بهدف إقرار الأمن العام وملاحقة المجرمين وضبطهم ، وهذا بخلاف الإجراءات الجزائية التي تباشرها النيابة العامة والمحكمة فإنها تعتمد على السلطة القضائية للدولة ، أما إجراءات التحقيق التي يباشرها مأمور الضبط القضائي سواء من تلقاء نفسه في حالة التلبس أو بناء على طلب النيابة العامة ، فإنها تعتبر من إجراءات الخصومة ، لأنه يباشرها بصفته مندوبا عن السلطة القضائية .</w:t>
      </w:r>
      <w:r w:rsidRPr="00E5201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4"/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ويعرف الفقيهان  </w:t>
      </w:r>
      <w:r w:rsidRPr="00E5201B">
        <w:rPr>
          <w:rFonts w:ascii="Simplified Arabic" w:hAnsi="Simplified Arabic" w:cs="Simplified Arabic"/>
          <w:sz w:val="28"/>
          <w:szCs w:val="28"/>
        </w:rPr>
        <w:t xml:space="preserve">Berr et Tremeau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 " بير و تريمو " المنازعات الجمركية عمـوما  بأنها " مجمـوعة القـواعد المتعلقة بنشـأة الخصـومـات ومجراها والبت فيها ، والتي ترمي إلى تأويل وتطبيق القانون الجمركي " أما الفقيه  </w:t>
      </w:r>
      <w:r w:rsidRPr="00E5201B">
        <w:rPr>
          <w:rFonts w:ascii="Simplified Arabic" w:hAnsi="Simplified Arabic" w:cs="Simplified Arabic"/>
          <w:sz w:val="28"/>
          <w:szCs w:val="28"/>
        </w:rPr>
        <w:t xml:space="preserve">Hoguet </w:t>
      </w:r>
      <w:r w:rsidRPr="00E5201B">
        <w:rPr>
          <w:rFonts w:ascii="Simplified Arabic" w:hAnsi="Simplified Arabic" w:cs="Simplified Arabic"/>
          <w:sz w:val="28"/>
          <w:szCs w:val="28"/>
          <w:rtl/>
        </w:rPr>
        <w:t xml:space="preserve">  " هوقي فيعرف المنازعات الجمركية  بأنها " كل النزاعات التي يحتمل رفعها إلى القضاء من جراء سير مرفق الجمارك " أي بمعنى آخر كل الخصومات التي تكون فيها إدارة الجمارك طرفا " ، ورغم وجاهة هذا التعريف ، إلا أنه من العسير قبوله على إطلاقه ذلك أنه وسع من نطاق المنازعات الجمركية ، وهو مسلك يبدو غير عملي لأنه من الصعب حصر وتحديد الخصومات التي قد تنشأ من جراء سير مرفق الجمارك باعتبارها خصومات كثيرة في عددها ومتنوعة في طبيعتها ومختلفة في مقاصدها .</w:t>
      </w:r>
      <w:r w:rsidRPr="00E5201B">
        <w:rPr>
          <w:rStyle w:val="Appelnotedebasdep"/>
          <w:rFonts w:ascii="Simplified Arabic" w:hAnsi="Simplified Arabic" w:cs="Simplified Arabic"/>
          <w:sz w:val="28"/>
          <w:szCs w:val="28"/>
          <w:rtl/>
        </w:rPr>
        <w:footnoteReference w:id="5"/>
      </w:r>
    </w:p>
    <w:p w:rsidR="002C191F" w:rsidRPr="00E5201B" w:rsidRDefault="002C191F" w:rsidP="002C191F">
      <w:pPr>
        <w:ind w:firstLine="284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E5201B">
        <w:rPr>
          <w:rFonts w:ascii="Simplified Arabic" w:hAnsi="Simplified Arabic" w:cs="Simplified Arabic"/>
          <w:sz w:val="28"/>
          <w:szCs w:val="28"/>
          <w:rtl/>
        </w:rPr>
        <w:t>وإذا كان لفظ المنازعة فقها كما سبق وبينا يطلق ليراد به الخصومة أمام القضاء ، إلا أننا في هذا البحث سنوسع نطاق الدراسة ونعتمد التحديد التشريعي لمصطلح المنازعات الجمركية و الوارد في قانون الجمارك لتشمل الدراسة أثر خصوصية أحكام المنازعات الجمركية ذات الطابع الجزائي سواء كانت أحكاما موضوعية أو إجرائية على حقوق المتهم و التي تناولها المشرع في الفصل الخامس عشر من قانون الجمارك من المادة 240 مكرر إلى المادة 342 منه تحت عنوان المنازعات الجمركية ، إضافة إلى كل نص قانوني أو تنظيمي يتناول الجانب الجزائي للمنازعات بما فيها قانون مكافحة التهريب الصادر بالأمر 05 ـ 06.</w:t>
      </w:r>
    </w:p>
    <w:p w:rsidR="00314332" w:rsidRDefault="00314332" w:rsidP="002C191F">
      <w:pPr>
        <w:bidi/>
      </w:pPr>
    </w:p>
    <w:sectPr w:rsidR="0031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332" w:rsidRDefault="00314332" w:rsidP="002C191F">
      <w:pPr>
        <w:spacing w:after="0" w:line="240" w:lineRule="auto"/>
      </w:pPr>
      <w:r>
        <w:separator/>
      </w:r>
    </w:p>
  </w:endnote>
  <w:endnote w:type="continuationSeparator" w:id="1">
    <w:p w:rsidR="00314332" w:rsidRDefault="00314332" w:rsidP="002C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332" w:rsidRDefault="00314332" w:rsidP="002C191F">
      <w:pPr>
        <w:spacing w:after="0" w:line="240" w:lineRule="auto"/>
      </w:pPr>
      <w:r>
        <w:separator/>
      </w:r>
    </w:p>
  </w:footnote>
  <w:footnote w:type="continuationSeparator" w:id="1">
    <w:p w:rsidR="00314332" w:rsidRDefault="00314332" w:rsidP="002C191F">
      <w:pPr>
        <w:spacing w:after="0" w:line="240" w:lineRule="auto"/>
      </w:pPr>
      <w:r>
        <w:continuationSeparator/>
      </w:r>
    </w:p>
  </w:footnote>
  <w:footnote w:id="2">
    <w:p w:rsidR="002C191F" w:rsidRPr="00A521EA" w:rsidRDefault="002C191F" w:rsidP="002C191F">
      <w:pPr>
        <w:pStyle w:val="Notedebasdepage"/>
        <w:rPr>
          <w:rFonts w:ascii="Simplified Arabic" w:hAnsi="Simplified Arabic" w:cs="Simplified Arabic"/>
          <w:sz w:val="22"/>
          <w:szCs w:val="22"/>
        </w:rPr>
      </w:pPr>
      <w:r w:rsidRPr="00A521EA">
        <w:rPr>
          <w:rStyle w:val="Appelnotedebasdep"/>
          <w:rFonts w:ascii="Simplified Arabic" w:hAnsi="Simplified Arabic" w:cs="Simplified Arabic"/>
          <w:sz w:val="22"/>
          <w:szCs w:val="22"/>
        </w:rPr>
        <w:footnoteRef/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ـ جيرارو كورنو ، المرجع السابق ، ص 1386 .</w:t>
      </w:r>
    </w:p>
  </w:footnote>
  <w:footnote w:id="3">
    <w:p w:rsidR="002C191F" w:rsidRPr="00A521EA" w:rsidRDefault="002C191F" w:rsidP="002C191F">
      <w:pPr>
        <w:pStyle w:val="Notedebasdepage"/>
        <w:jc w:val="lowKashida"/>
        <w:rPr>
          <w:rFonts w:ascii="Simplified Arabic" w:hAnsi="Simplified Arabic" w:cs="Simplified Arabic"/>
          <w:sz w:val="22"/>
          <w:szCs w:val="22"/>
        </w:rPr>
      </w:pPr>
      <w:r w:rsidRPr="00A521EA">
        <w:rPr>
          <w:rStyle w:val="Appelnotedebasdep"/>
          <w:rFonts w:ascii="Simplified Arabic" w:hAnsi="Simplified Arabic" w:cs="Simplified Arabic"/>
          <w:sz w:val="22"/>
          <w:szCs w:val="22"/>
        </w:rPr>
        <w:footnoteRef/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ـ ابتسام القرام ، المرجع السابق ، ص 64 .</w:t>
      </w:r>
    </w:p>
  </w:footnote>
  <w:footnote w:id="4">
    <w:p w:rsidR="002C191F" w:rsidRPr="00A521EA" w:rsidRDefault="002C191F" w:rsidP="002C191F">
      <w:pPr>
        <w:pStyle w:val="Notedebasdepage"/>
        <w:jc w:val="lowKashida"/>
        <w:rPr>
          <w:rFonts w:ascii="Simplified Arabic" w:hAnsi="Simplified Arabic" w:cs="Simplified Arabic"/>
          <w:sz w:val="22"/>
          <w:szCs w:val="22"/>
          <w:rtl/>
        </w:rPr>
      </w:pPr>
      <w:r w:rsidRPr="00A521EA">
        <w:rPr>
          <w:rStyle w:val="Appelnotedebasdep"/>
          <w:rFonts w:ascii="Simplified Arabic" w:hAnsi="Simplified Arabic" w:cs="Simplified Arabic"/>
          <w:sz w:val="22"/>
          <w:szCs w:val="22"/>
        </w:rPr>
        <w:footnoteRef/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ـ أحمد عبد الحميد الدسوقي ، المرجع السابق</w:t>
      </w:r>
      <w:r w:rsidRPr="00A521EA">
        <w:rPr>
          <w:rFonts w:ascii="Simplified Arabic" w:hAnsi="Simplified Arabic" w:cs="Simplified Arabic"/>
          <w:b/>
          <w:bCs/>
          <w:sz w:val="22"/>
          <w:szCs w:val="22"/>
          <w:rtl/>
        </w:rPr>
        <w:t xml:space="preserve"> </w:t>
      </w:r>
      <w:r w:rsidRPr="00A521EA">
        <w:rPr>
          <w:rFonts w:ascii="Simplified Arabic" w:hAnsi="Simplified Arabic" w:cs="Simplified Arabic"/>
          <w:sz w:val="22"/>
          <w:szCs w:val="22"/>
          <w:rtl/>
        </w:rPr>
        <w:t>، ص 109 .</w:t>
      </w:r>
    </w:p>
  </w:footnote>
  <w:footnote w:id="5">
    <w:p w:rsidR="002C191F" w:rsidRPr="00A521EA" w:rsidRDefault="002C191F" w:rsidP="002C191F">
      <w:pPr>
        <w:pStyle w:val="Notedebasdepage"/>
        <w:rPr>
          <w:rFonts w:ascii="Simplified Arabic" w:hAnsi="Simplified Arabic" w:cs="Simplified Arabic"/>
          <w:sz w:val="22"/>
          <w:szCs w:val="22"/>
        </w:rPr>
      </w:pPr>
      <w:r w:rsidRPr="00A521EA">
        <w:rPr>
          <w:rStyle w:val="Appelnotedebasdep"/>
          <w:rFonts w:ascii="Simplified Arabic" w:hAnsi="Simplified Arabic" w:cs="Simplified Arabic"/>
          <w:sz w:val="22"/>
          <w:szCs w:val="22"/>
        </w:rPr>
        <w:footnoteRef/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ـ احسن بوسقيعة </w:t>
      </w:r>
      <w:r w:rsidRPr="00A521EA">
        <w:rPr>
          <w:rFonts w:ascii="Simplified Arabic" w:hAnsi="Simplified Arabic" w:cs="Simplified Arabic"/>
          <w:b/>
          <w:bCs/>
          <w:sz w:val="22"/>
          <w:szCs w:val="22"/>
          <w:rtl/>
        </w:rPr>
        <w:t>، المنازعات الجمركية</w:t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</w:t>
      </w:r>
      <w:r w:rsidRPr="00A521EA">
        <w:rPr>
          <w:rFonts w:ascii="Simplified Arabic" w:hAnsi="Simplified Arabic" w:cs="Simplified Arabic"/>
          <w:b/>
          <w:bCs/>
          <w:sz w:val="22"/>
          <w:szCs w:val="22"/>
          <w:rtl/>
        </w:rPr>
        <w:t>( تصنيـف الجرائم  ومعــاينتها ، المتــابعة والجزاء )</w:t>
      </w:r>
      <w:r w:rsidRPr="00A521EA">
        <w:rPr>
          <w:rFonts w:ascii="Simplified Arabic" w:hAnsi="Simplified Arabic" w:cs="Simplified Arabic"/>
          <w:sz w:val="22"/>
          <w:szCs w:val="22"/>
          <w:rtl/>
        </w:rPr>
        <w:t xml:space="preserve">  ، الجزائر : دار هومة ، طبعة2005 ،  ص 04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2C191F"/>
    <w:rsid w:val="002C191F"/>
    <w:rsid w:val="0031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2C191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2C191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Appelnotedebasdep">
    <w:name w:val="footnote reference"/>
    <w:basedOn w:val="Policepardfaut"/>
    <w:semiHidden/>
    <w:rsid w:val="002C19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2022-05-12T17:26:00Z</dcterms:created>
  <dcterms:modified xsi:type="dcterms:W3CDTF">2022-05-12T17:27:00Z</dcterms:modified>
</cp:coreProperties>
</file>