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BCD" w:rsidRPr="00E72D0D" w:rsidRDefault="00992BCD" w:rsidP="00992BCD">
      <w:pPr>
        <w:jc w:val="right"/>
        <w:rPr>
          <w:rFonts w:ascii="Simplified Arabic" w:hAnsi="Simplified Arabic" w:cs="Simplified Arabic"/>
          <w:sz w:val="28"/>
          <w:szCs w:val="28"/>
          <w:rtl/>
        </w:rPr>
      </w:pPr>
      <w:r w:rsidRPr="00E72D0D">
        <w:rPr>
          <w:rFonts w:ascii="Simplified Arabic" w:hAnsi="Simplified Arabic" w:cs="Simplified Arabic"/>
          <w:sz w:val="28"/>
          <w:szCs w:val="28"/>
          <w:rtl/>
        </w:rPr>
        <w:t>تناول المشرع الجزائري أحكام المفقود و الغائب في قانون الأسرة في الفصل السادس من الكتاب الثاني في المواد من المادة 109 إلى المادة 115  ، حدد من خلالها الإجراءات الواجب إتباعها للحكم بوفاة المفقود ، و لم يخصص له أية مواد خاصة في قانون الإجراءات المدنية و الإدارية ما عدا ما نصت عليه المادة 423 التي نصت في فقرتها الأخيرة على أن قسم شؤون الأسرة مختص بالنظر في دعاوى الغياب و الفقدان .</w:t>
      </w:r>
    </w:p>
    <w:p w:rsidR="00992BCD" w:rsidRPr="00E72D0D" w:rsidRDefault="00992BCD" w:rsidP="00992BCD">
      <w:pPr>
        <w:jc w:val="right"/>
        <w:rPr>
          <w:rFonts w:ascii="Simplified Arabic" w:hAnsi="Simplified Arabic" w:cs="Simplified Arabic"/>
          <w:sz w:val="28"/>
          <w:szCs w:val="28"/>
          <w:rtl/>
        </w:rPr>
      </w:pPr>
      <w:r w:rsidRPr="00E72D0D">
        <w:rPr>
          <w:rFonts w:ascii="Simplified Arabic" w:hAnsi="Simplified Arabic" w:cs="Simplified Arabic"/>
          <w:sz w:val="28"/>
          <w:szCs w:val="28"/>
          <w:rtl/>
        </w:rPr>
        <w:t>و تعتبر دراسة أحكام المفقود و الغائب ذات أهمية كبيرة باعتبار الأثر الكبير الذي ينتج عن صدور الحكم بالغياب و الفقدان سواء على المال أو على صعيد الأسرة ، حيث يصبح من حق الزوجة أن تعتد عدة التطليق في حالة صدور الحكم بالغياب أو الفقدان أو تعتد عدة المتوفى عنها زوجها في حال صدور حكم بوفاة المفقود .</w:t>
      </w:r>
    </w:p>
    <w:p w:rsidR="00992BCD" w:rsidRPr="00E72D0D" w:rsidRDefault="00992BCD" w:rsidP="00992BCD">
      <w:pPr>
        <w:jc w:val="right"/>
        <w:rPr>
          <w:rFonts w:ascii="Simplified Arabic" w:hAnsi="Simplified Arabic" w:cs="Simplified Arabic"/>
          <w:sz w:val="28"/>
          <w:szCs w:val="28"/>
          <w:rtl/>
        </w:rPr>
      </w:pPr>
      <w:r w:rsidRPr="00E72D0D">
        <w:rPr>
          <w:rFonts w:ascii="Simplified Arabic" w:hAnsi="Simplified Arabic" w:cs="Simplified Arabic"/>
          <w:sz w:val="28"/>
          <w:szCs w:val="28"/>
          <w:rtl/>
        </w:rPr>
        <w:t xml:space="preserve"> وسنتناول في هذا الفصل مفهوم المفقود في ( المبحث الأول ) بينما نتناول في ( المبحث الثاني ) الأحكــام القانــونية لكل من دعوى الفقدان و دعوى موت المفقود في القانــون الجزائـــري.</w:t>
      </w:r>
    </w:p>
    <w:p w:rsidR="00992BCD" w:rsidRPr="00E72D0D" w:rsidRDefault="00992BCD" w:rsidP="00992BCD">
      <w:pPr>
        <w:jc w:val="right"/>
        <w:rPr>
          <w:rFonts w:ascii="Simplified Arabic" w:hAnsi="Simplified Arabic" w:cs="Simplified Arabic"/>
          <w:b/>
          <w:bCs/>
          <w:i/>
          <w:iCs/>
          <w:sz w:val="36"/>
          <w:szCs w:val="36"/>
          <w:rtl/>
        </w:rPr>
      </w:pPr>
      <w:r w:rsidRPr="00E72D0D">
        <w:rPr>
          <w:rFonts w:ascii="Simplified Arabic" w:hAnsi="Simplified Arabic" w:cs="Simplified Arabic"/>
          <w:b/>
          <w:bCs/>
          <w:sz w:val="36"/>
          <w:szCs w:val="36"/>
          <w:rtl/>
        </w:rPr>
        <w:t>المبحث الأول</w:t>
      </w:r>
    </w:p>
    <w:p w:rsidR="00992BCD" w:rsidRPr="00E72D0D" w:rsidRDefault="00992BCD" w:rsidP="00992BCD">
      <w:pPr>
        <w:jc w:val="right"/>
        <w:rPr>
          <w:rFonts w:ascii="Simplified Arabic" w:hAnsi="Simplified Arabic" w:cs="Simplified Arabic"/>
          <w:b/>
          <w:bCs/>
          <w:i/>
          <w:iCs/>
          <w:sz w:val="36"/>
          <w:szCs w:val="36"/>
          <w:rtl/>
        </w:rPr>
      </w:pPr>
      <w:r w:rsidRPr="00E72D0D">
        <w:rPr>
          <w:rFonts w:ascii="Simplified Arabic" w:hAnsi="Simplified Arabic" w:cs="Simplified Arabic"/>
          <w:b/>
          <w:bCs/>
          <w:i/>
          <w:iCs/>
          <w:sz w:val="36"/>
          <w:szCs w:val="36"/>
          <w:rtl/>
        </w:rPr>
        <w:t xml:space="preserve">مفهوم المفقود </w:t>
      </w:r>
    </w:p>
    <w:p w:rsidR="00992BCD" w:rsidRPr="00E72D0D" w:rsidRDefault="00992BCD" w:rsidP="00992BCD">
      <w:pPr>
        <w:jc w:val="right"/>
        <w:rPr>
          <w:rFonts w:ascii="Simplified Arabic" w:hAnsi="Simplified Arabic" w:cs="Simplified Arabic"/>
          <w:sz w:val="28"/>
          <w:szCs w:val="28"/>
          <w:rtl/>
        </w:rPr>
      </w:pPr>
      <w:r w:rsidRPr="00E72D0D">
        <w:rPr>
          <w:rFonts w:ascii="Simplified Arabic" w:hAnsi="Simplified Arabic" w:cs="Simplified Arabic"/>
          <w:sz w:val="28"/>
          <w:szCs w:val="28"/>
          <w:rtl/>
        </w:rPr>
        <w:t xml:space="preserve"> اهتم فقهاء المسلمين بالجانب المالي للمسلم و كيفية تنظيمه و حمايته  و تناولته مؤلفاتهم ضمن أحكام الطلاق و العدة و حتى المواريث بالنظر إلى أنها أحكام اجتهادية في أغلبها ، و سنتناول هنا تعريف المفقود في ( المطلب الأول  ) بينما نتناول حالات الفقدان في القانون الجزائري في ( المطلب الثاني ) .</w:t>
      </w:r>
    </w:p>
    <w:p w:rsidR="00992BCD" w:rsidRPr="00E72D0D" w:rsidRDefault="00992BCD" w:rsidP="00992BCD">
      <w:pPr>
        <w:jc w:val="right"/>
        <w:rPr>
          <w:rFonts w:ascii="Simplified Arabic" w:hAnsi="Simplified Arabic" w:cs="Simplified Arabic"/>
          <w:sz w:val="32"/>
          <w:szCs w:val="32"/>
          <w:rtl/>
        </w:rPr>
      </w:pPr>
      <w:r w:rsidRPr="00E72D0D">
        <w:rPr>
          <w:rFonts w:ascii="Simplified Arabic" w:hAnsi="Simplified Arabic" w:cs="Simplified Arabic"/>
          <w:b/>
          <w:bCs/>
          <w:sz w:val="32"/>
          <w:szCs w:val="32"/>
          <w:rtl/>
        </w:rPr>
        <w:t xml:space="preserve">المـطلب الأول:  تعريف المفقود  </w:t>
      </w:r>
    </w:p>
    <w:p w:rsidR="00992BCD" w:rsidRPr="00E72D0D" w:rsidRDefault="00992BCD" w:rsidP="00992BCD">
      <w:pPr>
        <w:jc w:val="right"/>
        <w:rPr>
          <w:rFonts w:ascii="Simplified Arabic" w:hAnsi="Simplified Arabic" w:cs="Simplified Arabic"/>
          <w:b/>
          <w:bCs/>
          <w:sz w:val="28"/>
          <w:szCs w:val="28"/>
          <w:rtl/>
        </w:rPr>
      </w:pPr>
      <w:r w:rsidRPr="00E72D0D">
        <w:rPr>
          <w:rFonts w:ascii="Simplified Arabic" w:hAnsi="Simplified Arabic" w:cs="Simplified Arabic"/>
          <w:sz w:val="28"/>
          <w:szCs w:val="28"/>
          <w:rtl/>
        </w:rPr>
        <w:t>سنتناول في هذا المطلب تعريف المفقود في اللغة و الاصطلاح الفقهي ، كما سنتناول التحديد القانوني لمصطلحي الفقدان و الغياب في كل من قانون الأسرة و بعض النصوص القانونية الخاصة.</w:t>
      </w:r>
    </w:p>
    <w:p w:rsidR="00992BCD" w:rsidRPr="00E72D0D" w:rsidRDefault="00992BCD" w:rsidP="00992BCD">
      <w:pPr>
        <w:jc w:val="right"/>
        <w:rPr>
          <w:rFonts w:ascii="Simplified Arabic" w:hAnsi="Simplified Arabic" w:cs="Simplified Arabic"/>
          <w:b/>
          <w:bCs/>
          <w:sz w:val="28"/>
          <w:szCs w:val="28"/>
          <w:u w:val="single"/>
          <w:rtl/>
        </w:rPr>
      </w:pPr>
      <w:r w:rsidRPr="00E72D0D">
        <w:rPr>
          <w:rFonts w:ascii="Simplified Arabic" w:hAnsi="Simplified Arabic" w:cs="Simplified Arabic"/>
          <w:b/>
          <w:bCs/>
          <w:sz w:val="28"/>
          <w:szCs w:val="28"/>
          <w:rtl/>
        </w:rPr>
        <w:t>الفرع الأول</w:t>
      </w:r>
      <w:r w:rsidRPr="00E72D0D">
        <w:rPr>
          <w:rFonts w:ascii="Simplified Arabic" w:hAnsi="Simplified Arabic" w:cs="Simplified Arabic"/>
          <w:sz w:val="28"/>
          <w:szCs w:val="28"/>
          <w:rtl/>
        </w:rPr>
        <w:t xml:space="preserve"> : </w:t>
      </w:r>
      <w:r w:rsidRPr="00E72D0D">
        <w:rPr>
          <w:rFonts w:ascii="Simplified Arabic" w:hAnsi="Simplified Arabic" w:cs="Simplified Arabic"/>
          <w:b/>
          <w:bCs/>
          <w:sz w:val="28"/>
          <w:szCs w:val="28"/>
          <w:rtl/>
        </w:rPr>
        <w:t xml:space="preserve">تعريف </w:t>
      </w:r>
      <w:r>
        <w:rPr>
          <w:rFonts w:ascii="Simplified Arabic" w:hAnsi="Simplified Arabic" w:cs="Simplified Arabic" w:hint="cs"/>
          <w:b/>
          <w:bCs/>
          <w:sz w:val="28"/>
          <w:szCs w:val="28"/>
          <w:rtl/>
        </w:rPr>
        <w:t>المفقود</w:t>
      </w:r>
      <w:r w:rsidRPr="00E72D0D">
        <w:rPr>
          <w:rFonts w:ascii="Simplified Arabic" w:hAnsi="Simplified Arabic" w:cs="Simplified Arabic"/>
          <w:b/>
          <w:bCs/>
          <w:sz w:val="28"/>
          <w:szCs w:val="28"/>
          <w:rtl/>
        </w:rPr>
        <w:t xml:space="preserve"> في اللغة</w:t>
      </w:r>
    </w:p>
    <w:p w:rsidR="00992BCD" w:rsidRPr="00E72D0D" w:rsidRDefault="00992BCD" w:rsidP="00992BCD">
      <w:pPr>
        <w:jc w:val="right"/>
        <w:rPr>
          <w:rFonts w:ascii="Simplified Arabic" w:hAnsi="Simplified Arabic" w:cs="Simplified Arabic"/>
          <w:sz w:val="28"/>
          <w:szCs w:val="28"/>
          <w:rtl/>
        </w:rPr>
      </w:pPr>
      <w:r w:rsidRPr="00E72D0D">
        <w:rPr>
          <w:rFonts w:ascii="Simplified Arabic" w:hAnsi="Simplified Arabic" w:cs="Simplified Arabic"/>
          <w:sz w:val="28"/>
          <w:szCs w:val="28"/>
          <w:rtl/>
        </w:rPr>
        <w:lastRenderedPageBreak/>
        <w:t xml:space="preserve">     المفقود لغة هو الضائع أو المعدوم ، يقال فقد الشيء فقدا و فقدانا ضله و ضاع منه ، و يقال فقد الكتاب و المال و نحوه خسره و عدمه ، و يقال فقد الصديق و فقدت المرأة زوجها فهي فاقد و المفعول مفقود وفقيد .</w:t>
      </w:r>
      <w:r w:rsidRPr="00E72D0D">
        <w:rPr>
          <w:rStyle w:val="Appelnotedebasdep"/>
          <w:rFonts w:ascii="Simplified Arabic" w:hAnsi="Simplified Arabic" w:cs="Simplified Arabic"/>
          <w:sz w:val="28"/>
          <w:szCs w:val="28"/>
          <w:rtl/>
        </w:rPr>
        <w:footnoteReference w:id="2"/>
      </w:r>
    </w:p>
    <w:p w:rsidR="00992BCD" w:rsidRPr="00E72D0D" w:rsidRDefault="00992BCD" w:rsidP="00992BCD">
      <w:pPr>
        <w:jc w:val="right"/>
        <w:rPr>
          <w:rFonts w:ascii="Simplified Arabic" w:hAnsi="Simplified Arabic" w:cs="Simplified Arabic"/>
          <w:sz w:val="28"/>
          <w:szCs w:val="28"/>
          <w:rtl/>
        </w:rPr>
      </w:pPr>
      <w:r w:rsidRPr="00E72D0D">
        <w:rPr>
          <w:rFonts w:ascii="Simplified Arabic" w:hAnsi="Simplified Arabic" w:cs="Simplified Arabic"/>
          <w:sz w:val="28"/>
          <w:szCs w:val="28"/>
          <w:rtl/>
        </w:rPr>
        <w:t xml:space="preserve">و التفقد تطلب ما غاب من الشيء </w:t>
      </w:r>
      <w:r w:rsidRPr="00E72D0D">
        <w:rPr>
          <w:rStyle w:val="Appelnotedebasdep"/>
          <w:rFonts w:ascii="Simplified Arabic" w:hAnsi="Simplified Arabic" w:cs="Simplified Arabic"/>
          <w:sz w:val="28"/>
          <w:szCs w:val="28"/>
          <w:rtl/>
        </w:rPr>
        <w:footnoteReference w:id="3"/>
      </w:r>
      <w:r w:rsidRPr="00E72D0D">
        <w:rPr>
          <w:rFonts w:ascii="Simplified Arabic" w:hAnsi="Simplified Arabic" w:cs="Simplified Arabic"/>
          <w:sz w:val="28"/>
          <w:szCs w:val="28"/>
          <w:rtl/>
        </w:rPr>
        <w:t xml:space="preserve"> ، مثل قوله تعالى " فتفقد الطير فقال مالي لا أرى الهدهد أم كان من الغائبين ".</w:t>
      </w:r>
      <w:r w:rsidRPr="00E72D0D">
        <w:rPr>
          <w:rStyle w:val="Appelnotedebasdep"/>
          <w:rFonts w:ascii="Simplified Arabic" w:hAnsi="Simplified Arabic" w:cs="Simplified Arabic"/>
          <w:sz w:val="28"/>
          <w:szCs w:val="28"/>
          <w:rtl/>
        </w:rPr>
        <w:footnoteReference w:id="4"/>
      </w:r>
    </w:p>
    <w:p w:rsidR="00992BCD" w:rsidRPr="00E72D0D" w:rsidRDefault="00992BCD" w:rsidP="00992BCD">
      <w:pPr>
        <w:jc w:val="right"/>
        <w:rPr>
          <w:rFonts w:ascii="Simplified Arabic" w:hAnsi="Simplified Arabic" w:cs="Simplified Arabic"/>
          <w:b/>
          <w:bCs/>
          <w:sz w:val="28"/>
          <w:szCs w:val="28"/>
          <w:rtl/>
        </w:rPr>
      </w:pPr>
      <w:r w:rsidRPr="00E72D0D">
        <w:rPr>
          <w:rFonts w:ascii="Simplified Arabic" w:hAnsi="Simplified Arabic" w:cs="Simplified Arabic"/>
          <w:b/>
          <w:bCs/>
          <w:sz w:val="28"/>
          <w:szCs w:val="28"/>
          <w:rtl/>
        </w:rPr>
        <w:t xml:space="preserve">الفرع الثاني : تعريف المفقود فقها  </w:t>
      </w:r>
    </w:p>
    <w:p w:rsidR="00992BCD" w:rsidRPr="00E72D0D" w:rsidRDefault="00992BCD" w:rsidP="00992BCD">
      <w:pPr>
        <w:jc w:val="right"/>
        <w:rPr>
          <w:rFonts w:ascii="Simplified Arabic" w:hAnsi="Simplified Arabic" w:cs="Simplified Arabic"/>
          <w:sz w:val="28"/>
          <w:szCs w:val="28"/>
          <w:rtl/>
        </w:rPr>
      </w:pPr>
      <w:r w:rsidRPr="00E72D0D">
        <w:rPr>
          <w:rFonts w:ascii="Simplified Arabic" w:hAnsi="Simplified Arabic" w:cs="Simplified Arabic"/>
          <w:sz w:val="28"/>
          <w:szCs w:val="28"/>
          <w:rtl/>
        </w:rPr>
        <w:t xml:space="preserve">انعقد إجماع الفقهاء على تعريف المفقود بأنه الغائب الذي لا يدرى مصيره أحي هو أم ميت لكنهم اختلفوا في اشتراط مجهولية المكان فجاءت تعاريفهم متباينة و مختلفة كما يلي : </w:t>
      </w:r>
    </w:p>
    <w:p w:rsidR="00992BCD" w:rsidRPr="00E72D0D" w:rsidRDefault="00992BCD" w:rsidP="00992BCD">
      <w:pPr>
        <w:jc w:val="right"/>
        <w:rPr>
          <w:rFonts w:ascii="Simplified Arabic" w:hAnsi="Simplified Arabic" w:cs="Simplified Arabic"/>
          <w:sz w:val="28"/>
          <w:szCs w:val="28"/>
          <w:rtl/>
        </w:rPr>
      </w:pPr>
      <w:r w:rsidRPr="00E72D0D">
        <w:rPr>
          <w:rFonts w:ascii="Simplified Arabic" w:hAnsi="Simplified Arabic" w:cs="Simplified Arabic"/>
          <w:sz w:val="28"/>
          <w:szCs w:val="28"/>
          <w:rtl/>
        </w:rPr>
        <w:t>حيث اتجه بعض الفقهاء إلى تعريف المفقود بأنه من لا تعرف حياته من مماته و جهل مكانه جامعين بذلك بين شرطي مجهولية الممات و الحياة و مجهولية المكان .</w:t>
      </w:r>
    </w:p>
    <w:p w:rsidR="00992BCD" w:rsidRPr="00E72D0D" w:rsidRDefault="00992BCD" w:rsidP="00992BCD">
      <w:pPr>
        <w:jc w:val="right"/>
        <w:rPr>
          <w:rFonts w:ascii="Simplified Arabic" w:hAnsi="Simplified Arabic" w:cs="Simplified Arabic"/>
          <w:sz w:val="28"/>
          <w:szCs w:val="28"/>
          <w:rtl/>
        </w:rPr>
      </w:pPr>
      <w:r w:rsidRPr="00E72D0D">
        <w:rPr>
          <w:rFonts w:ascii="Simplified Arabic" w:hAnsi="Simplified Arabic" w:cs="Simplified Arabic"/>
          <w:sz w:val="28"/>
          <w:szCs w:val="28"/>
          <w:rtl/>
        </w:rPr>
        <w:t>بينما اشترط  رأي آخر مجهولية الحياة أو الموت حتى أن البعض من أنصار هذا الاتجاه ذكر في تعريفه للمفقود مجهولية المكان لكنه علل ذلك و أعطى له تفسيرا يخرج هذا الشرط من ضرورات التعريف بل يجعله مؤكدا للجهل بالحياة أو الموت .</w:t>
      </w:r>
      <w:r w:rsidRPr="00E72D0D">
        <w:rPr>
          <w:rStyle w:val="Appelnotedebasdep"/>
          <w:rFonts w:ascii="Simplified Arabic" w:hAnsi="Simplified Arabic" w:cs="Simplified Arabic"/>
          <w:sz w:val="28"/>
          <w:szCs w:val="28"/>
          <w:rtl/>
        </w:rPr>
        <w:footnoteReference w:id="5"/>
      </w:r>
    </w:p>
    <w:p w:rsidR="00992BCD" w:rsidRPr="00E72D0D" w:rsidRDefault="00992BCD" w:rsidP="00992BCD">
      <w:pPr>
        <w:jc w:val="right"/>
        <w:rPr>
          <w:rFonts w:ascii="Simplified Arabic" w:hAnsi="Simplified Arabic" w:cs="Simplified Arabic"/>
          <w:sz w:val="28"/>
          <w:szCs w:val="28"/>
          <w:rtl/>
        </w:rPr>
      </w:pPr>
      <w:r w:rsidRPr="00E72D0D">
        <w:rPr>
          <w:rFonts w:ascii="Simplified Arabic" w:hAnsi="Simplified Arabic" w:cs="Simplified Arabic"/>
          <w:sz w:val="28"/>
          <w:szCs w:val="28"/>
          <w:rtl/>
        </w:rPr>
        <w:t>و عليه فإن المفقود هو غائب لم يدر موضعه و لم تدر حياته من موته " ومعنى لم يدر موضعه أي لم تدر حياته من موته ، إذن فالعبارة التي وردت في صدر التعريف هي تأكيد للعبارة التي في عجز التعريف فالمدار في تعريفه هو الجهل بحياته أو موته لا على الجهل بمكانه ومعنى ذلك أنهم جعلوا الأسير الذي يقع في أيدي العدو و لا يدرى أحي هو أو ميت ، يعتبر في عداد المفقودين مع أنه معلوم المكان و هو دار الحرب ، أضف إلى ذلك الظاهر في علم المكان يستلزم غالبا العلم بالموت و الحياة و أنه أعم من أن يكون في بلدة معينة في دار الحرب لذا لو علم مكانه في دار الحرب مع تحقق الجهل بحاله و عدم إمكان الاطلاع عليه للزم القول بأنه مفقود .</w:t>
      </w:r>
      <w:r w:rsidRPr="00E72D0D">
        <w:rPr>
          <w:rStyle w:val="Appelnotedebasdep"/>
          <w:rFonts w:ascii="Simplified Arabic" w:hAnsi="Simplified Arabic" w:cs="Simplified Arabic"/>
          <w:sz w:val="28"/>
          <w:szCs w:val="28"/>
          <w:rtl/>
        </w:rPr>
        <w:footnoteReference w:id="6"/>
      </w:r>
    </w:p>
    <w:p w:rsidR="00992BCD" w:rsidRPr="00E72D0D" w:rsidRDefault="00992BCD" w:rsidP="00992BCD">
      <w:pPr>
        <w:jc w:val="right"/>
        <w:rPr>
          <w:rFonts w:ascii="Simplified Arabic" w:hAnsi="Simplified Arabic" w:cs="Simplified Arabic"/>
          <w:sz w:val="28"/>
          <w:szCs w:val="28"/>
          <w:rtl/>
        </w:rPr>
      </w:pPr>
      <w:r w:rsidRPr="00E72D0D">
        <w:rPr>
          <w:rFonts w:ascii="Simplified Arabic" w:hAnsi="Simplified Arabic" w:cs="Simplified Arabic"/>
          <w:sz w:val="28"/>
          <w:szCs w:val="28"/>
          <w:rtl/>
        </w:rPr>
        <w:t>و عرفه فقهاء الحنفية بأنه " اسم لشخص غاب عن بلده ولم يدر موضعه و لا أثره و لا يعرف خبره أنه حي أو ميت " .</w:t>
      </w:r>
      <w:r w:rsidRPr="00E72D0D">
        <w:rPr>
          <w:rStyle w:val="Appelnotedebasdep"/>
          <w:rFonts w:ascii="Simplified Arabic" w:hAnsi="Simplified Arabic" w:cs="Simplified Arabic"/>
          <w:sz w:val="28"/>
          <w:szCs w:val="28"/>
          <w:rtl/>
        </w:rPr>
        <w:footnoteReference w:id="7"/>
      </w:r>
    </w:p>
    <w:p w:rsidR="00992BCD" w:rsidRPr="00E72D0D" w:rsidRDefault="00992BCD" w:rsidP="00992BCD">
      <w:pPr>
        <w:jc w:val="right"/>
        <w:rPr>
          <w:rFonts w:ascii="Simplified Arabic" w:hAnsi="Simplified Arabic" w:cs="Simplified Arabic"/>
          <w:sz w:val="28"/>
          <w:szCs w:val="28"/>
          <w:rtl/>
        </w:rPr>
      </w:pPr>
      <w:r w:rsidRPr="00E72D0D">
        <w:rPr>
          <w:rFonts w:ascii="Simplified Arabic" w:hAnsi="Simplified Arabic" w:cs="Simplified Arabic"/>
          <w:sz w:val="28"/>
          <w:szCs w:val="28"/>
          <w:rtl/>
        </w:rPr>
        <w:t>و عرفه السرخسي بأنه "اسم لموجود هو حي باعتبار أول حاله  و لكنه خفي الأثر كالميت باعتبار مآله ، و أهله في طلبه يجدون و لخفاء أثر مستقره لا يجدون ، قد انقطع عليهم خبره و استتر عليهم أثره و بالجد ربما يصلون إلى المراد و ربما يتأخر اللقاء إلى يوم التناد ".</w:t>
      </w:r>
      <w:r w:rsidRPr="00E72D0D">
        <w:rPr>
          <w:rStyle w:val="Appelnotedebasdep"/>
          <w:rFonts w:ascii="Simplified Arabic" w:hAnsi="Simplified Arabic" w:cs="Simplified Arabic"/>
          <w:sz w:val="28"/>
          <w:szCs w:val="28"/>
          <w:rtl/>
        </w:rPr>
        <w:footnoteReference w:id="8"/>
      </w:r>
    </w:p>
    <w:p w:rsidR="00992BCD" w:rsidRPr="00E72D0D" w:rsidRDefault="00992BCD" w:rsidP="00992BCD">
      <w:pPr>
        <w:jc w:val="right"/>
        <w:rPr>
          <w:rFonts w:ascii="Simplified Arabic" w:hAnsi="Simplified Arabic" w:cs="Simplified Arabic"/>
          <w:sz w:val="28"/>
          <w:szCs w:val="28"/>
          <w:rtl/>
        </w:rPr>
      </w:pPr>
      <w:r w:rsidRPr="00E72D0D">
        <w:rPr>
          <w:rFonts w:ascii="Simplified Arabic" w:hAnsi="Simplified Arabic" w:cs="Simplified Arabic"/>
          <w:sz w:val="28"/>
          <w:szCs w:val="28"/>
          <w:rtl/>
        </w:rPr>
        <w:t>وعرفه المالكية بأنه هو الذي غاب و انقطع خبره و لم يعلم له موضع و لا حياة ، أما الشافعية فقد عرفوه بأنه من انقطع خبره و جهل حاله في سفر أو حضر في قتال أو عند انكسار سفينة أو غيرها و له مال " أما فقهاء الحنابلة فقد عرفوه بأنه " من انقطع خبره لغيبة ظاهرها السلامة كالأسر و الخروج للتجارة .</w:t>
      </w:r>
      <w:r w:rsidRPr="00E72D0D">
        <w:rPr>
          <w:rStyle w:val="Appelnotedebasdep"/>
          <w:rFonts w:ascii="Simplified Arabic" w:hAnsi="Simplified Arabic" w:cs="Simplified Arabic"/>
          <w:sz w:val="28"/>
          <w:szCs w:val="28"/>
          <w:rtl/>
        </w:rPr>
        <w:footnoteReference w:id="9"/>
      </w:r>
    </w:p>
    <w:p w:rsidR="00992BCD" w:rsidRPr="00E72D0D" w:rsidRDefault="00992BCD" w:rsidP="00992BCD">
      <w:pPr>
        <w:jc w:val="right"/>
        <w:rPr>
          <w:rFonts w:ascii="Simplified Arabic" w:hAnsi="Simplified Arabic" w:cs="Simplified Arabic"/>
          <w:b/>
          <w:bCs/>
          <w:sz w:val="28"/>
          <w:szCs w:val="28"/>
          <w:rtl/>
        </w:rPr>
      </w:pPr>
      <w:r w:rsidRPr="00E72D0D">
        <w:rPr>
          <w:rFonts w:ascii="Simplified Arabic" w:hAnsi="Simplified Arabic" w:cs="Simplified Arabic"/>
          <w:b/>
          <w:bCs/>
          <w:sz w:val="28"/>
          <w:szCs w:val="28"/>
          <w:rtl/>
        </w:rPr>
        <w:t xml:space="preserve">الفرع  الثالث  : تعريف  </w:t>
      </w:r>
      <w:r>
        <w:rPr>
          <w:rFonts w:ascii="Simplified Arabic" w:hAnsi="Simplified Arabic" w:cs="Simplified Arabic" w:hint="cs"/>
          <w:b/>
          <w:bCs/>
          <w:sz w:val="28"/>
          <w:szCs w:val="28"/>
          <w:rtl/>
        </w:rPr>
        <w:t>المفقود</w:t>
      </w:r>
      <w:r>
        <w:rPr>
          <w:rFonts w:ascii="Simplified Arabic" w:hAnsi="Simplified Arabic" w:cs="Simplified Arabic"/>
          <w:b/>
          <w:bCs/>
          <w:sz w:val="28"/>
          <w:szCs w:val="28"/>
          <w:rtl/>
        </w:rPr>
        <w:t xml:space="preserve"> في </w:t>
      </w:r>
      <w:r>
        <w:rPr>
          <w:rFonts w:ascii="Simplified Arabic" w:hAnsi="Simplified Arabic" w:cs="Simplified Arabic" w:hint="cs"/>
          <w:b/>
          <w:bCs/>
          <w:sz w:val="28"/>
          <w:szCs w:val="28"/>
          <w:rtl/>
        </w:rPr>
        <w:t>ال</w:t>
      </w:r>
      <w:r w:rsidRPr="00E72D0D">
        <w:rPr>
          <w:rFonts w:ascii="Simplified Arabic" w:hAnsi="Simplified Arabic" w:cs="Simplified Arabic"/>
          <w:b/>
          <w:bCs/>
          <w:sz w:val="28"/>
          <w:szCs w:val="28"/>
          <w:rtl/>
        </w:rPr>
        <w:t>قان</w:t>
      </w:r>
      <w:r>
        <w:rPr>
          <w:rFonts w:ascii="Simplified Arabic" w:hAnsi="Simplified Arabic" w:cs="Simplified Arabic"/>
          <w:b/>
          <w:bCs/>
          <w:sz w:val="28"/>
          <w:szCs w:val="28"/>
          <w:rtl/>
        </w:rPr>
        <w:t>ون</w:t>
      </w:r>
      <w:r w:rsidRPr="00E72D0D">
        <w:rPr>
          <w:rFonts w:ascii="Simplified Arabic" w:hAnsi="Simplified Arabic" w:cs="Simplified Arabic"/>
          <w:b/>
          <w:bCs/>
          <w:sz w:val="28"/>
          <w:szCs w:val="28"/>
          <w:rtl/>
        </w:rPr>
        <w:t xml:space="preserve"> الجزائري  </w:t>
      </w:r>
    </w:p>
    <w:p w:rsidR="00992BCD" w:rsidRPr="00E72D0D" w:rsidRDefault="00992BCD" w:rsidP="00992BCD">
      <w:pPr>
        <w:jc w:val="right"/>
        <w:rPr>
          <w:rFonts w:ascii="Simplified Arabic" w:hAnsi="Simplified Arabic" w:cs="Simplified Arabic"/>
          <w:sz w:val="28"/>
          <w:szCs w:val="28"/>
          <w:rtl/>
        </w:rPr>
      </w:pPr>
      <w:r w:rsidRPr="00E72D0D">
        <w:rPr>
          <w:rFonts w:ascii="Simplified Arabic" w:hAnsi="Simplified Arabic" w:cs="Simplified Arabic"/>
          <w:sz w:val="28"/>
          <w:szCs w:val="28"/>
          <w:rtl/>
        </w:rPr>
        <w:t>سنتناول هنا كل من تعريف المفقود في قانون الأسرة الجزائري ثم تعريف المفقود في في بعض النصوص القانونية الجزائرية الخاصة و يتعلق الأمر بكل من الأمر رقم 02/03 المؤرخ  في 25 فيفري  2002 والمتضمن  الأحكام  المطبقة  على مفقودي  الفيضانات و القانون 03/06 المؤرخ في 14 جوان 2003 و المتعلق بمفقودي زلزال 21 ماي 2003.</w:t>
      </w:r>
    </w:p>
    <w:p w:rsidR="00992BCD" w:rsidRPr="00E72D0D" w:rsidRDefault="00992BCD" w:rsidP="00992BCD">
      <w:pPr>
        <w:jc w:val="right"/>
        <w:rPr>
          <w:rFonts w:ascii="Simplified Arabic" w:hAnsi="Simplified Arabic" w:cs="Simplified Arabic"/>
          <w:b/>
          <w:bCs/>
          <w:sz w:val="28"/>
          <w:szCs w:val="28"/>
          <w:rtl/>
        </w:rPr>
      </w:pPr>
      <w:r w:rsidRPr="00E72D0D">
        <w:rPr>
          <w:rFonts w:ascii="Simplified Arabic" w:hAnsi="Simplified Arabic" w:cs="Simplified Arabic"/>
          <w:b/>
          <w:bCs/>
          <w:sz w:val="28"/>
          <w:szCs w:val="28"/>
          <w:rtl/>
        </w:rPr>
        <w:t xml:space="preserve">أولا : تعريف الفقدان في قانون الأسرة الجزائري </w:t>
      </w:r>
    </w:p>
    <w:p w:rsidR="00992BCD" w:rsidRPr="00E72D0D" w:rsidRDefault="00992BCD" w:rsidP="00992BCD">
      <w:pPr>
        <w:jc w:val="right"/>
        <w:rPr>
          <w:rFonts w:ascii="Simplified Arabic" w:hAnsi="Simplified Arabic" w:cs="Simplified Arabic"/>
          <w:sz w:val="28"/>
          <w:szCs w:val="28"/>
          <w:rtl/>
        </w:rPr>
      </w:pPr>
      <w:r w:rsidRPr="00E72D0D">
        <w:rPr>
          <w:rFonts w:ascii="Simplified Arabic" w:hAnsi="Simplified Arabic" w:cs="Simplified Arabic"/>
          <w:sz w:val="28"/>
          <w:szCs w:val="28"/>
          <w:rtl/>
        </w:rPr>
        <w:t xml:space="preserve">       عرفت المادة 109 من قانون الأسرة  المفقود  حيث نصت على " المفقود هو الشخص  الغائب  الذي  لا يعرف  مكانه  ، ولا يعرف  حياته أو موته  ، ولا يعتبر  مفقودا  إلا بحكم  " ،  فالمشرع  بذلك  لم  يميز بين المفقود والغائب  ، بل عرف المفقود  بأنه  شخص  غائب  يجهل مكانه  ولا يعرف أن كان حيا أو  ميتا  ، فكل  شخص  انقطعت أخباره  وغادر  مقر سكنه ، سواء  بإرادته أو  دونها  ، ولم  يعلم مكانه  ، و أصبح  حاله  في  علم الغيب  فلم  تعرف  حياته  من مماته  يعتبر  مفقودا  في  نظر  القانون الجزائري  .</w:t>
      </w:r>
    </w:p>
    <w:p w:rsidR="00992BCD" w:rsidRPr="00E72D0D" w:rsidRDefault="00992BCD" w:rsidP="00992BCD">
      <w:pPr>
        <w:jc w:val="right"/>
        <w:rPr>
          <w:rFonts w:ascii="Simplified Arabic" w:hAnsi="Simplified Arabic" w:cs="Simplified Arabic"/>
          <w:sz w:val="28"/>
          <w:szCs w:val="28"/>
        </w:rPr>
      </w:pPr>
      <w:r w:rsidRPr="00E72D0D">
        <w:rPr>
          <w:rFonts w:ascii="Simplified Arabic" w:hAnsi="Simplified Arabic" w:cs="Simplified Arabic"/>
          <w:sz w:val="28"/>
          <w:szCs w:val="28"/>
          <w:rtl/>
        </w:rPr>
        <w:t xml:space="preserve">بينما فيما يتعلق بالغياب فقد نصت المادة 110 من قانون الأسرة " الغائب الذي منعته ظروف قاهرة من الرجوع إلى محل إقامته أو إدارة شؤونه بنفسه أو بواسطة مدة سنة ، و تسبب غيابه في ضرر الغير يعتبر كالمفقود " .  </w:t>
      </w:r>
    </w:p>
    <w:p w:rsidR="00992BCD" w:rsidRPr="00E72D0D" w:rsidRDefault="00992BCD" w:rsidP="00992BCD">
      <w:pPr>
        <w:jc w:val="right"/>
        <w:rPr>
          <w:rFonts w:ascii="Simplified Arabic" w:hAnsi="Simplified Arabic" w:cs="Simplified Arabic"/>
          <w:sz w:val="28"/>
          <w:szCs w:val="28"/>
          <w:highlight w:val="lightGray"/>
        </w:rPr>
      </w:pPr>
      <w:r w:rsidRPr="00E72D0D">
        <w:rPr>
          <w:rFonts w:ascii="Simplified Arabic" w:hAnsi="Simplified Arabic" w:cs="Simplified Arabic"/>
          <w:sz w:val="28"/>
          <w:szCs w:val="28"/>
          <w:rtl/>
        </w:rPr>
        <w:t xml:space="preserve">فالغياب أشمل من الفقدان ، بل إن الفقدان هو إحدى صورتي الغياب : </w:t>
      </w:r>
    </w:p>
    <w:p w:rsidR="00992BCD" w:rsidRPr="00E72D0D" w:rsidRDefault="00992BCD" w:rsidP="00992BCD">
      <w:pPr>
        <w:jc w:val="right"/>
        <w:rPr>
          <w:rFonts w:ascii="Simplified Arabic" w:hAnsi="Simplified Arabic" w:cs="Simplified Arabic"/>
          <w:sz w:val="28"/>
          <w:szCs w:val="28"/>
          <w:rtl/>
        </w:rPr>
      </w:pPr>
      <w:r w:rsidRPr="00E72D0D">
        <w:rPr>
          <w:rFonts w:ascii="Simplified Arabic" w:hAnsi="Simplified Arabic" w:cs="Simplified Arabic"/>
          <w:b/>
          <w:bCs/>
          <w:sz w:val="28"/>
          <w:szCs w:val="28"/>
          <w:rtl/>
        </w:rPr>
        <w:t>الصورة الأولـى</w:t>
      </w:r>
      <w:r w:rsidRPr="00E72D0D">
        <w:rPr>
          <w:rFonts w:ascii="Simplified Arabic" w:hAnsi="Simplified Arabic" w:cs="Simplified Arabic"/>
          <w:sz w:val="28"/>
          <w:szCs w:val="28"/>
          <w:rtl/>
        </w:rPr>
        <w:t>: الغائب الذي لا يعرف مكانه و لا يعرف حياته أو موته فهو مفقود.</w:t>
      </w:r>
    </w:p>
    <w:p w:rsidR="00992BCD" w:rsidRPr="00E72D0D" w:rsidRDefault="00992BCD" w:rsidP="00992BCD">
      <w:pPr>
        <w:jc w:val="right"/>
        <w:rPr>
          <w:rFonts w:ascii="Simplified Arabic" w:hAnsi="Simplified Arabic" w:cs="Simplified Arabic"/>
          <w:sz w:val="28"/>
          <w:szCs w:val="28"/>
          <w:rtl/>
        </w:rPr>
      </w:pPr>
      <w:r w:rsidRPr="00E72D0D">
        <w:rPr>
          <w:rFonts w:ascii="Simplified Arabic" w:hAnsi="Simplified Arabic" w:cs="Simplified Arabic"/>
          <w:b/>
          <w:bCs/>
          <w:sz w:val="28"/>
          <w:szCs w:val="28"/>
          <w:rtl/>
        </w:rPr>
        <w:t>الصورة الثانية</w:t>
      </w:r>
      <w:r w:rsidRPr="00E72D0D">
        <w:rPr>
          <w:rFonts w:ascii="Simplified Arabic" w:hAnsi="Simplified Arabic" w:cs="Simplified Arabic"/>
          <w:sz w:val="28"/>
          <w:szCs w:val="28"/>
          <w:rtl/>
        </w:rPr>
        <w:t xml:space="preserve"> : الغائب الذي منعته الظروف من العودة إلى محل إقامته  و تسيير شؤونه مدة سنة فهو يعتبر كالمفقود  من حيث انطباق الأحكام عليه .</w:t>
      </w:r>
    </w:p>
    <w:p w:rsidR="00992BCD" w:rsidRPr="00E72D0D" w:rsidRDefault="00992BCD" w:rsidP="00992BCD">
      <w:pPr>
        <w:jc w:val="right"/>
        <w:rPr>
          <w:rFonts w:ascii="Simplified Arabic" w:hAnsi="Simplified Arabic" w:cs="Simplified Arabic"/>
          <w:sz w:val="28"/>
          <w:szCs w:val="28"/>
          <w:rtl/>
        </w:rPr>
      </w:pPr>
      <w:r w:rsidRPr="00E72D0D">
        <w:rPr>
          <w:rFonts w:ascii="Simplified Arabic" w:hAnsi="Simplified Arabic" w:cs="Simplified Arabic"/>
          <w:sz w:val="28"/>
          <w:szCs w:val="28"/>
          <w:rtl/>
        </w:rPr>
        <w:t xml:space="preserve">وهنا تصح المقولة "أن كل مفقود هو غائب و ليس كل غائب مفقود </w:t>
      </w:r>
      <w:r w:rsidRPr="00E72D0D">
        <w:rPr>
          <w:rFonts w:ascii="Simplified Arabic" w:hAnsi="Simplified Arabic" w:cs="Simplified Arabic"/>
          <w:sz w:val="28"/>
          <w:szCs w:val="28"/>
          <w:highlight w:val="lightGray"/>
          <w:rtl/>
        </w:rPr>
        <w:t>"</w:t>
      </w:r>
      <w:r w:rsidRPr="00E72D0D">
        <w:rPr>
          <w:rFonts w:ascii="Simplified Arabic" w:hAnsi="Simplified Arabic" w:cs="Simplified Arabic"/>
          <w:sz w:val="28"/>
          <w:szCs w:val="28"/>
          <w:rtl/>
        </w:rPr>
        <w:t xml:space="preserve"> و هذا يدل على أنّ المشرع ميز بين مفهوم المفقود و مفهوم الغائب .</w:t>
      </w:r>
    </w:p>
    <w:p w:rsidR="00992BCD" w:rsidRPr="00E72D0D" w:rsidRDefault="00992BCD" w:rsidP="00992BCD">
      <w:pPr>
        <w:jc w:val="right"/>
        <w:rPr>
          <w:rFonts w:ascii="Simplified Arabic" w:hAnsi="Simplified Arabic" w:cs="Simplified Arabic"/>
          <w:b/>
          <w:bCs/>
          <w:sz w:val="28"/>
          <w:szCs w:val="28"/>
          <w:rtl/>
        </w:rPr>
      </w:pPr>
      <w:r w:rsidRPr="00E72D0D">
        <w:rPr>
          <w:rFonts w:ascii="Simplified Arabic" w:hAnsi="Simplified Arabic" w:cs="Simplified Arabic"/>
          <w:b/>
          <w:bCs/>
          <w:sz w:val="28"/>
          <w:szCs w:val="28"/>
          <w:rtl/>
        </w:rPr>
        <w:t xml:space="preserve">ثانيا : مفهوم المفقود في النصوص الخاصة : </w:t>
      </w:r>
    </w:p>
    <w:p w:rsidR="00992BCD" w:rsidRPr="00E72D0D" w:rsidRDefault="00992BCD" w:rsidP="00992BCD">
      <w:pPr>
        <w:jc w:val="right"/>
        <w:rPr>
          <w:rFonts w:ascii="Simplified Arabic" w:hAnsi="Simplified Arabic" w:cs="Simplified Arabic"/>
          <w:sz w:val="28"/>
          <w:szCs w:val="28"/>
          <w:rtl/>
        </w:rPr>
      </w:pPr>
      <w:r w:rsidRPr="00E72D0D">
        <w:rPr>
          <w:rFonts w:ascii="Simplified Arabic" w:hAnsi="Simplified Arabic" w:cs="Simplified Arabic"/>
          <w:sz w:val="28"/>
          <w:szCs w:val="28"/>
          <w:rtl/>
        </w:rPr>
        <w:t xml:space="preserve"> صدرت بعض النصوص القانونية التي تناولت موضوع  فقدان  الأشخاص في بعض الظروف الخاصة  كالكوارث الطبيعية و الظروف الأمنية  ، و جاءت ببعض الأحكام التي  تختلف  ، وتلك  المنصوص عنها  في  قانون الأسرة  ، و تتمثل في الأمر رقم 02/03 المؤرخ  في 25 فيفري  2002 والمتضمن  الأحكام  المطبقة على مفقودي الفيضانات .</w:t>
      </w:r>
    </w:p>
    <w:p w:rsidR="00992BCD" w:rsidRPr="00E72D0D" w:rsidRDefault="00992BCD" w:rsidP="00992BCD">
      <w:pPr>
        <w:jc w:val="right"/>
        <w:rPr>
          <w:rFonts w:ascii="Simplified Arabic" w:hAnsi="Simplified Arabic" w:cs="Simplified Arabic"/>
          <w:sz w:val="28"/>
          <w:szCs w:val="28"/>
          <w:rtl/>
        </w:rPr>
      </w:pPr>
      <w:r w:rsidRPr="00E72D0D">
        <w:rPr>
          <w:rFonts w:ascii="Simplified Arabic" w:hAnsi="Simplified Arabic" w:cs="Simplified Arabic"/>
          <w:sz w:val="28"/>
          <w:szCs w:val="28"/>
          <w:rtl/>
        </w:rPr>
        <w:t>وقد نصت  المادة 02 منه على " بغض  النظر عن أحكام  قانون الأسرة  تسري الأحكام الواردة  أدناه على مفقودي  فيضانات 10 نوفمبر  2001 .</w:t>
      </w:r>
    </w:p>
    <w:p w:rsidR="00992BCD" w:rsidRPr="00E72D0D" w:rsidRDefault="00992BCD" w:rsidP="00992BCD">
      <w:pPr>
        <w:numPr>
          <w:ilvl w:val="0"/>
          <w:numId w:val="1"/>
        </w:numPr>
        <w:bidi/>
        <w:spacing w:after="0" w:line="240" w:lineRule="auto"/>
        <w:rPr>
          <w:rFonts w:ascii="Simplified Arabic" w:hAnsi="Simplified Arabic" w:cs="Simplified Arabic"/>
          <w:sz w:val="28"/>
          <w:szCs w:val="28"/>
          <w:rtl/>
        </w:rPr>
      </w:pPr>
      <w:r w:rsidRPr="00E72D0D">
        <w:rPr>
          <w:rFonts w:ascii="Simplified Arabic" w:hAnsi="Simplified Arabic" w:cs="Simplified Arabic"/>
          <w:sz w:val="28"/>
          <w:szCs w:val="28"/>
          <w:rtl/>
        </w:rPr>
        <w:t>يصرح  متوفي بموجب  حكم  ، كل  شخص  ثبت  وجوده  في  أماكن  وقوع  فيضانات 10 نوفمبر 2001 ولم  يظهر  له  أي  اثر  ولم  يعثر  على جثته  بعد  التحري  بجميع  الطرق  القانونية " .</w:t>
      </w:r>
      <w:r w:rsidRPr="00E72D0D">
        <w:rPr>
          <w:rStyle w:val="Appelnotedebasdep"/>
          <w:rFonts w:ascii="Simplified Arabic" w:hAnsi="Simplified Arabic" w:cs="Simplified Arabic"/>
          <w:sz w:val="28"/>
          <w:szCs w:val="28"/>
          <w:rtl/>
        </w:rPr>
        <w:footnoteReference w:id="10"/>
      </w:r>
    </w:p>
    <w:p w:rsidR="00992BCD" w:rsidRPr="00E72D0D" w:rsidRDefault="00992BCD" w:rsidP="00992BCD">
      <w:pPr>
        <w:jc w:val="right"/>
        <w:rPr>
          <w:rFonts w:ascii="Simplified Arabic" w:hAnsi="Simplified Arabic" w:cs="Simplified Arabic"/>
          <w:sz w:val="28"/>
          <w:szCs w:val="28"/>
          <w:rtl/>
        </w:rPr>
      </w:pPr>
      <w:r w:rsidRPr="00E72D0D">
        <w:rPr>
          <w:rFonts w:ascii="Simplified Arabic" w:hAnsi="Simplified Arabic" w:cs="Simplified Arabic"/>
          <w:sz w:val="28"/>
          <w:szCs w:val="28"/>
          <w:rtl/>
        </w:rPr>
        <w:t>فمن خلال  نص  المادة  يتـــبين  أن المـــشرع  جاء  بـــشروط  غير  تلك  المنــــصــــوص  عليها  صراحة  في  قانون الأسرة  لاعتبار  الشخص  مفقودا ، بحيث  جاء بشرطين لاعتبار الشخص مفقود بسبب الفيضانات و هما :</w:t>
      </w:r>
    </w:p>
    <w:p w:rsidR="00992BCD" w:rsidRPr="00E72D0D" w:rsidRDefault="00992BCD" w:rsidP="00992BCD">
      <w:pPr>
        <w:jc w:val="right"/>
        <w:rPr>
          <w:rFonts w:ascii="Simplified Arabic" w:hAnsi="Simplified Arabic" w:cs="Simplified Arabic"/>
          <w:sz w:val="28"/>
          <w:szCs w:val="28"/>
          <w:rtl/>
        </w:rPr>
      </w:pPr>
      <w:r w:rsidRPr="00E72D0D">
        <w:rPr>
          <w:rFonts w:ascii="Simplified Arabic" w:hAnsi="Simplified Arabic" w:cs="Simplified Arabic"/>
          <w:sz w:val="28"/>
          <w:szCs w:val="28"/>
          <w:rtl/>
        </w:rPr>
        <w:t>*ـ ثبــوت  وجـــــــــود الشخــــــص  بأماكن  وقــــــوع  الفيـضانــــــــات  .</w:t>
      </w:r>
    </w:p>
    <w:p w:rsidR="00992BCD" w:rsidRPr="00E72D0D" w:rsidRDefault="00992BCD" w:rsidP="00992BCD">
      <w:pPr>
        <w:jc w:val="right"/>
        <w:rPr>
          <w:rFonts w:ascii="Simplified Arabic" w:hAnsi="Simplified Arabic" w:cs="Simplified Arabic"/>
          <w:sz w:val="28"/>
          <w:szCs w:val="28"/>
        </w:rPr>
      </w:pPr>
      <w:r w:rsidRPr="00E72D0D">
        <w:rPr>
          <w:rFonts w:ascii="Simplified Arabic" w:hAnsi="Simplified Arabic" w:cs="Simplified Arabic"/>
          <w:sz w:val="28"/>
          <w:szCs w:val="28"/>
          <w:rtl/>
        </w:rPr>
        <w:t>*ـ  أن لا يظهر  عليه  أي  أثر وان لا يعثر على جثته  بعد التحري  بجميع الطرق .</w:t>
      </w:r>
    </w:p>
    <w:p w:rsidR="00992BCD" w:rsidRPr="00E72D0D" w:rsidRDefault="00992BCD" w:rsidP="00992BCD">
      <w:pPr>
        <w:jc w:val="right"/>
        <w:rPr>
          <w:rFonts w:ascii="Simplified Arabic" w:hAnsi="Simplified Arabic" w:cs="Simplified Arabic"/>
          <w:sz w:val="28"/>
          <w:szCs w:val="28"/>
          <w:rtl/>
        </w:rPr>
      </w:pPr>
      <w:r w:rsidRPr="00E72D0D">
        <w:rPr>
          <w:rFonts w:ascii="Simplified Arabic" w:hAnsi="Simplified Arabic" w:cs="Simplified Arabic"/>
          <w:sz w:val="28"/>
          <w:szCs w:val="28"/>
          <w:rtl/>
        </w:rPr>
        <w:t xml:space="preserve">  وهي نفس الشروط التي جاء بها القانون 03/06 المؤرخ في 14 جوان 2003 و المتعلق بمفقودي </w:t>
      </w:r>
    </w:p>
    <w:p w:rsidR="00992BCD" w:rsidRPr="00E72D0D" w:rsidRDefault="00992BCD" w:rsidP="00992BCD">
      <w:pPr>
        <w:jc w:val="right"/>
        <w:rPr>
          <w:rFonts w:ascii="Simplified Arabic" w:hAnsi="Simplified Arabic" w:cs="Simplified Arabic"/>
          <w:sz w:val="28"/>
          <w:szCs w:val="28"/>
        </w:rPr>
      </w:pPr>
      <w:r w:rsidRPr="00E72D0D">
        <w:rPr>
          <w:rFonts w:ascii="Simplified Arabic" w:hAnsi="Simplified Arabic" w:cs="Simplified Arabic"/>
          <w:sz w:val="28"/>
          <w:szCs w:val="28"/>
          <w:rtl/>
        </w:rPr>
        <w:t xml:space="preserve">زلزال 21 ماي 2003  </w:t>
      </w:r>
      <w:r w:rsidRPr="00E72D0D">
        <w:rPr>
          <w:rStyle w:val="Appelnotedebasdep"/>
          <w:rFonts w:ascii="Simplified Arabic" w:hAnsi="Simplified Arabic" w:cs="Simplified Arabic"/>
          <w:sz w:val="28"/>
          <w:szCs w:val="28"/>
          <w:rtl/>
        </w:rPr>
        <w:footnoteReference w:id="11"/>
      </w:r>
      <w:r w:rsidRPr="00E72D0D">
        <w:rPr>
          <w:rFonts w:ascii="Simplified Arabic" w:hAnsi="Simplified Arabic" w:cs="Simplified Arabic"/>
          <w:sz w:val="28"/>
          <w:szCs w:val="28"/>
          <w:rtl/>
        </w:rPr>
        <w:t xml:space="preserve"> ، بحيث اشترط وجود الشخص بمكان وقوع الزلزال إضافة إلى بقية الشروط .</w:t>
      </w:r>
    </w:p>
    <w:p w:rsidR="00992BCD" w:rsidRPr="00E72D0D" w:rsidRDefault="00992BCD" w:rsidP="00992BCD">
      <w:pPr>
        <w:jc w:val="right"/>
        <w:rPr>
          <w:rFonts w:ascii="Simplified Arabic" w:hAnsi="Simplified Arabic" w:cs="Simplified Arabic"/>
          <w:sz w:val="28"/>
          <w:szCs w:val="28"/>
          <w:rtl/>
        </w:rPr>
      </w:pPr>
      <w:r w:rsidRPr="00E72D0D">
        <w:rPr>
          <w:rFonts w:ascii="Simplified Arabic" w:hAnsi="Simplified Arabic" w:cs="Simplified Arabic"/>
          <w:sz w:val="28"/>
          <w:szCs w:val="28"/>
          <w:rtl/>
        </w:rPr>
        <w:t>حيث نلاحظ على هذه النصوص خروج المشرع عن الشروط التي حددها للمفقود في قانون الأسرة من ضرورة استصدار حكم بالفقدان كشرط ضروري لرفع دعوى موت المفقود و يرجع ذلك إلى ترجيح الممات عن الحياة  ، و يدل على ذلك اشتراط المشرع إثبات وجود الشخص بمكان الحادث وقت حدوثه و إتمام عمليات البحث و التحري دون العثور على جثته ، و هو ما نلاحظه أيضا في أحكام التي تضمنتها هذه القوانين التي قيدت عملية البحث ة التحري بمواعيد ومدد معينة .</w:t>
      </w:r>
    </w:p>
    <w:p w:rsidR="00992BCD" w:rsidRPr="00E72D0D" w:rsidRDefault="00992BCD" w:rsidP="00992BCD">
      <w:pPr>
        <w:jc w:val="right"/>
        <w:rPr>
          <w:rFonts w:ascii="Simplified Arabic" w:hAnsi="Simplified Arabic" w:cs="Simplified Arabic"/>
          <w:sz w:val="28"/>
          <w:szCs w:val="28"/>
          <w:rtl/>
        </w:rPr>
      </w:pPr>
      <w:r w:rsidRPr="00E72D0D">
        <w:rPr>
          <w:rFonts w:ascii="Simplified Arabic" w:hAnsi="Simplified Arabic" w:cs="Simplified Arabic"/>
          <w:sz w:val="28"/>
          <w:szCs w:val="28"/>
          <w:rtl/>
        </w:rPr>
        <w:t>و قضت المحكمة العليا في حكم لها " من المقرر قانونا أن الشخص الغائب يعتبر مفقودا بعد صدور حكم قضائي يشهد بذلك ومن ثم يمكن إصدار حكم ثاني يقضي بموته بعد انقضاء آجال البحث عليه ، ولما ثبت في قضية الحال أن قضاة الموضوع حكموا بالفقدان و الموت في آن واحد ، فإن ذلك يجعل من الإجراءات المتبعة باطلة ، مما يستوجب إبطال قرارهم المنتقد " .</w:t>
      </w:r>
      <w:r w:rsidRPr="00E72D0D">
        <w:rPr>
          <w:rStyle w:val="Appelnotedebasdep"/>
          <w:rFonts w:ascii="Simplified Arabic" w:hAnsi="Simplified Arabic" w:cs="Simplified Arabic"/>
          <w:sz w:val="28"/>
          <w:szCs w:val="28"/>
          <w:rtl/>
        </w:rPr>
        <w:footnoteReference w:id="12"/>
      </w:r>
    </w:p>
    <w:p w:rsidR="009B2D0B" w:rsidRDefault="009B2D0B"/>
    <w:sectPr w:rsidR="009B2D0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D0B" w:rsidRDefault="009B2D0B" w:rsidP="00992BCD">
      <w:pPr>
        <w:spacing w:after="0" w:line="240" w:lineRule="auto"/>
      </w:pPr>
      <w:r>
        <w:separator/>
      </w:r>
    </w:p>
  </w:endnote>
  <w:endnote w:type="continuationSeparator" w:id="1">
    <w:p w:rsidR="009B2D0B" w:rsidRDefault="009B2D0B" w:rsidP="00992B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D0B" w:rsidRDefault="009B2D0B" w:rsidP="00992BCD">
      <w:pPr>
        <w:spacing w:after="0" w:line="240" w:lineRule="auto"/>
      </w:pPr>
      <w:r>
        <w:separator/>
      </w:r>
    </w:p>
  </w:footnote>
  <w:footnote w:type="continuationSeparator" w:id="1">
    <w:p w:rsidR="009B2D0B" w:rsidRDefault="009B2D0B" w:rsidP="00992BCD">
      <w:pPr>
        <w:spacing w:after="0" w:line="240" w:lineRule="auto"/>
      </w:pPr>
      <w:r>
        <w:continuationSeparator/>
      </w:r>
    </w:p>
  </w:footnote>
  <w:footnote w:id="2">
    <w:p w:rsidR="00992BCD" w:rsidRPr="00166509" w:rsidRDefault="00992BCD" w:rsidP="00992BCD">
      <w:pPr>
        <w:pStyle w:val="Notedebasdepage"/>
        <w:rPr>
          <w:sz w:val="24"/>
          <w:szCs w:val="24"/>
          <w:rtl/>
        </w:rPr>
      </w:pPr>
      <w:r w:rsidRPr="00166509">
        <w:rPr>
          <w:sz w:val="24"/>
          <w:szCs w:val="24"/>
          <w:rtl/>
        </w:rPr>
        <w:t xml:space="preserve"> </w:t>
      </w:r>
      <w:r w:rsidRPr="00166509">
        <w:rPr>
          <w:rStyle w:val="Appelnotedebasdep"/>
          <w:sz w:val="24"/>
          <w:szCs w:val="24"/>
        </w:rPr>
        <w:footnoteRef/>
      </w:r>
      <w:r w:rsidRPr="00166509">
        <w:rPr>
          <w:sz w:val="24"/>
          <w:szCs w:val="24"/>
          <w:rtl/>
        </w:rPr>
        <w:t xml:space="preserve"> ـ هادي محمد عبد الله  ، </w:t>
      </w:r>
      <w:r w:rsidRPr="00166509">
        <w:rPr>
          <w:b/>
          <w:bCs/>
          <w:sz w:val="24"/>
          <w:szCs w:val="24"/>
          <w:rtl/>
        </w:rPr>
        <w:t>أحكام المفقود ( دراسة مقارنة بين الفقه الإسلامي و القانون العراقي )</w:t>
      </w:r>
      <w:r w:rsidRPr="00166509">
        <w:rPr>
          <w:sz w:val="24"/>
          <w:szCs w:val="24"/>
          <w:rtl/>
        </w:rPr>
        <w:t xml:space="preserve"> ، الأردن : دار دجلة ، طبعة 2010 ، ص ص 15 ، 16 .</w:t>
      </w:r>
      <w:r w:rsidRPr="00166509">
        <w:rPr>
          <w:sz w:val="24"/>
          <w:szCs w:val="24"/>
        </w:rPr>
        <w:t xml:space="preserve"> </w:t>
      </w:r>
    </w:p>
  </w:footnote>
  <w:footnote w:id="3">
    <w:p w:rsidR="00992BCD" w:rsidRPr="00166509" w:rsidRDefault="00992BCD" w:rsidP="00992BCD">
      <w:pPr>
        <w:pStyle w:val="Notedebasdepage"/>
        <w:rPr>
          <w:sz w:val="24"/>
          <w:szCs w:val="24"/>
          <w:rtl/>
        </w:rPr>
      </w:pPr>
      <w:r w:rsidRPr="00166509">
        <w:rPr>
          <w:sz w:val="24"/>
          <w:szCs w:val="24"/>
          <w:rtl/>
        </w:rPr>
        <w:t xml:space="preserve">  ـ جمال عبد الوهاب عبد الغفار ، </w:t>
      </w:r>
      <w:r w:rsidRPr="00166509">
        <w:rPr>
          <w:b/>
          <w:bCs/>
          <w:sz w:val="24"/>
          <w:szCs w:val="24"/>
          <w:rtl/>
        </w:rPr>
        <w:t>احكام</w:t>
      </w:r>
      <w:r w:rsidRPr="00166509">
        <w:rPr>
          <w:sz w:val="24"/>
          <w:szCs w:val="24"/>
          <w:rtl/>
        </w:rPr>
        <w:t xml:space="preserve"> </w:t>
      </w:r>
      <w:r w:rsidRPr="00166509">
        <w:rPr>
          <w:b/>
          <w:bCs/>
          <w:sz w:val="24"/>
          <w:szCs w:val="24"/>
          <w:rtl/>
        </w:rPr>
        <w:t>المفقود</w:t>
      </w:r>
      <w:r w:rsidRPr="00166509">
        <w:rPr>
          <w:sz w:val="24"/>
          <w:szCs w:val="24"/>
          <w:rtl/>
        </w:rPr>
        <w:t xml:space="preserve"> </w:t>
      </w:r>
      <w:r w:rsidRPr="00166509">
        <w:rPr>
          <w:b/>
          <w:bCs/>
          <w:sz w:val="24"/>
          <w:szCs w:val="24"/>
          <w:rtl/>
        </w:rPr>
        <w:t>في</w:t>
      </w:r>
      <w:r w:rsidRPr="00166509">
        <w:rPr>
          <w:sz w:val="24"/>
          <w:szCs w:val="24"/>
          <w:rtl/>
        </w:rPr>
        <w:t xml:space="preserve"> </w:t>
      </w:r>
      <w:r w:rsidRPr="00166509">
        <w:rPr>
          <w:b/>
          <w:bCs/>
          <w:sz w:val="24"/>
          <w:szCs w:val="24"/>
          <w:rtl/>
        </w:rPr>
        <w:t>الشريعة</w:t>
      </w:r>
      <w:r w:rsidRPr="00166509">
        <w:rPr>
          <w:sz w:val="24"/>
          <w:szCs w:val="24"/>
          <w:rtl/>
        </w:rPr>
        <w:t xml:space="preserve"> </w:t>
      </w:r>
      <w:r w:rsidRPr="00166509">
        <w:rPr>
          <w:b/>
          <w:bCs/>
          <w:sz w:val="24"/>
          <w:szCs w:val="24"/>
          <w:rtl/>
        </w:rPr>
        <w:t>الاسلامية</w:t>
      </w:r>
      <w:r w:rsidRPr="00166509">
        <w:rPr>
          <w:sz w:val="24"/>
          <w:szCs w:val="24"/>
          <w:rtl/>
        </w:rPr>
        <w:t xml:space="preserve"> </w:t>
      </w:r>
      <w:r w:rsidRPr="00166509">
        <w:rPr>
          <w:b/>
          <w:bCs/>
          <w:sz w:val="24"/>
          <w:szCs w:val="24"/>
          <w:rtl/>
        </w:rPr>
        <w:t>دراسة</w:t>
      </w:r>
      <w:r w:rsidRPr="00166509">
        <w:rPr>
          <w:sz w:val="24"/>
          <w:szCs w:val="24"/>
          <w:rtl/>
        </w:rPr>
        <w:t xml:space="preserve"> </w:t>
      </w:r>
      <w:r w:rsidRPr="00166509">
        <w:rPr>
          <w:b/>
          <w:bCs/>
          <w:sz w:val="24"/>
          <w:szCs w:val="24"/>
          <w:rtl/>
        </w:rPr>
        <w:t>فقهية</w:t>
      </w:r>
      <w:r w:rsidRPr="00166509">
        <w:rPr>
          <w:sz w:val="24"/>
          <w:szCs w:val="24"/>
          <w:rtl/>
        </w:rPr>
        <w:t xml:space="preserve"> </w:t>
      </w:r>
      <w:r w:rsidRPr="00166509">
        <w:rPr>
          <w:b/>
          <w:bCs/>
          <w:sz w:val="24"/>
          <w:szCs w:val="24"/>
          <w:rtl/>
        </w:rPr>
        <w:t>مقارنة</w:t>
      </w:r>
      <w:r w:rsidRPr="00166509">
        <w:rPr>
          <w:sz w:val="24"/>
          <w:szCs w:val="24"/>
          <w:rtl/>
        </w:rPr>
        <w:t xml:space="preserve"> ، الاسكندرية : دار الجامعة الجديدة للنشر ، 2003 ، 15 .</w:t>
      </w:r>
      <w:r w:rsidRPr="00166509">
        <w:rPr>
          <w:rStyle w:val="Appelnotedebasdep"/>
          <w:sz w:val="24"/>
          <w:szCs w:val="24"/>
        </w:rPr>
        <w:footnoteRef/>
      </w:r>
      <w:r w:rsidRPr="00166509">
        <w:rPr>
          <w:sz w:val="24"/>
          <w:szCs w:val="24"/>
        </w:rPr>
        <w:t xml:space="preserve"> </w:t>
      </w:r>
    </w:p>
  </w:footnote>
  <w:footnote w:id="4">
    <w:p w:rsidR="00992BCD" w:rsidRPr="00166509" w:rsidRDefault="00992BCD" w:rsidP="00992BCD">
      <w:pPr>
        <w:pStyle w:val="Notedebasdepage"/>
        <w:bidi w:val="0"/>
        <w:jc w:val="right"/>
        <w:rPr>
          <w:sz w:val="24"/>
          <w:szCs w:val="24"/>
          <w:rtl/>
        </w:rPr>
      </w:pPr>
      <w:r w:rsidRPr="00166509">
        <w:rPr>
          <w:sz w:val="24"/>
          <w:szCs w:val="24"/>
          <w:rtl/>
        </w:rPr>
        <w:t xml:space="preserve"> ، سورة النمل الاية 20 .</w:t>
      </w:r>
      <w:r w:rsidRPr="00166509">
        <w:rPr>
          <w:rStyle w:val="Appelnotedebasdep"/>
          <w:sz w:val="24"/>
          <w:szCs w:val="24"/>
        </w:rPr>
        <w:footnoteRef/>
      </w:r>
      <w:r w:rsidRPr="00166509">
        <w:rPr>
          <w:sz w:val="24"/>
          <w:szCs w:val="24"/>
        </w:rPr>
        <w:t xml:space="preserve"> </w:t>
      </w:r>
    </w:p>
  </w:footnote>
  <w:footnote w:id="5">
    <w:p w:rsidR="00992BCD" w:rsidRPr="00166509" w:rsidRDefault="00992BCD" w:rsidP="00992BCD">
      <w:pPr>
        <w:pStyle w:val="Notedebasdepage"/>
        <w:bidi w:val="0"/>
        <w:jc w:val="right"/>
        <w:rPr>
          <w:sz w:val="24"/>
          <w:szCs w:val="24"/>
          <w:rtl/>
        </w:rPr>
      </w:pPr>
      <w:r w:rsidRPr="00166509">
        <w:rPr>
          <w:sz w:val="24"/>
          <w:szCs w:val="24"/>
          <w:rtl/>
        </w:rPr>
        <w:t xml:space="preserve">   ـ هادي محمد عبد الله ، المرجع السابق ، ص 17 .</w:t>
      </w:r>
      <w:r w:rsidRPr="00166509">
        <w:rPr>
          <w:rStyle w:val="Appelnotedebasdep"/>
          <w:sz w:val="24"/>
          <w:szCs w:val="24"/>
        </w:rPr>
        <w:footnoteRef/>
      </w:r>
      <w:r w:rsidRPr="00166509">
        <w:rPr>
          <w:sz w:val="24"/>
          <w:szCs w:val="24"/>
        </w:rPr>
        <w:t xml:space="preserve"> </w:t>
      </w:r>
    </w:p>
  </w:footnote>
  <w:footnote w:id="6">
    <w:p w:rsidR="00992BCD" w:rsidRPr="00166509" w:rsidRDefault="00992BCD" w:rsidP="00992BCD">
      <w:pPr>
        <w:pStyle w:val="Notedebasdepage"/>
        <w:bidi w:val="0"/>
        <w:jc w:val="right"/>
        <w:rPr>
          <w:sz w:val="24"/>
          <w:szCs w:val="24"/>
          <w:rtl/>
        </w:rPr>
      </w:pPr>
      <w:r w:rsidRPr="00166509">
        <w:rPr>
          <w:sz w:val="24"/>
          <w:szCs w:val="24"/>
          <w:rtl/>
        </w:rPr>
        <w:t xml:space="preserve">  ـ نفس المرجع و الصفحة  .</w:t>
      </w:r>
      <w:r w:rsidRPr="00166509">
        <w:rPr>
          <w:rStyle w:val="Appelnotedebasdep"/>
          <w:sz w:val="24"/>
          <w:szCs w:val="24"/>
        </w:rPr>
        <w:footnoteRef/>
      </w:r>
      <w:r w:rsidRPr="00166509">
        <w:rPr>
          <w:sz w:val="24"/>
          <w:szCs w:val="24"/>
        </w:rPr>
        <w:t xml:space="preserve"> </w:t>
      </w:r>
    </w:p>
  </w:footnote>
  <w:footnote w:id="7">
    <w:p w:rsidR="00992BCD" w:rsidRPr="00166509" w:rsidRDefault="00992BCD" w:rsidP="00992BCD">
      <w:pPr>
        <w:pStyle w:val="Notedebasdepage"/>
        <w:bidi w:val="0"/>
        <w:jc w:val="right"/>
        <w:rPr>
          <w:sz w:val="24"/>
          <w:szCs w:val="24"/>
          <w:rtl/>
        </w:rPr>
      </w:pPr>
      <w:r w:rsidRPr="00166509">
        <w:rPr>
          <w:sz w:val="24"/>
          <w:szCs w:val="24"/>
          <w:rtl/>
        </w:rPr>
        <w:t xml:space="preserve"> ـ مؤمن أحمد ذياب شويدح ، المرجع السابق ، ص 28 .</w:t>
      </w:r>
      <w:r w:rsidRPr="00166509">
        <w:rPr>
          <w:rStyle w:val="Appelnotedebasdep"/>
          <w:sz w:val="24"/>
          <w:szCs w:val="24"/>
        </w:rPr>
        <w:footnoteRef/>
      </w:r>
      <w:r w:rsidRPr="00166509">
        <w:rPr>
          <w:sz w:val="24"/>
          <w:szCs w:val="24"/>
        </w:rPr>
        <w:t xml:space="preserve"> </w:t>
      </w:r>
    </w:p>
  </w:footnote>
  <w:footnote w:id="8">
    <w:p w:rsidR="00992BCD" w:rsidRPr="00166509" w:rsidRDefault="00992BCD" w:rsidP="00992BCD">
      <w:pPr>
        <w:pStyle w:val="Notedebasdepage"/>
        <w:bidi w:val="0"/>
        <w:jc w:val="right"/>
        <w:rPr>
          <w:sz w:val="24"/>
          <w:szCs w:val="24"/>
          <w:rtl/>
        </w:rPr>
      </w:pPr>
      <w:r w:rsidRPr="00166509">
        <w:rPr>
          <w:sz w:val="24"/>
          <w:szCs w:val="24"/>
          <w:rtl/>
        </w:rPr>
        <w:t xml:space="preserve">  هادي محمد عبد الله ، المرجع السابق ، ص 16 .</w:t>
      </w:r>
      <w:r w:rsidRPr="00166509">
        <w:rPr>
          <w:rStyle w:val="Appelnotedebasdep"/>
          <w:sz w:val="24"/>
          <w:szCs w:val="24"/>
        </w:rPr>
        <w:footnoteRef/>
      </w:r>
      <w:r w:rsidRPr="00166509">
        <w:rPr>
          <w:sz w:val="24"/>
          <w:szCs w:val="24"/>
        </w:rPr>
        <w:t xml:space="preserve"> </w:t>
      </w:r>
    </w:p>
  </w:footnote>
  <w:footnote w:id="9">
    <w:p w:rsidR="00992BCD" w:rsidRPr="00166509" w:rsidRDefault="00992BCD" w:rsidP="00992BCD">
      <w:pPr>
        <w:pStyle w:val="Notedebasdepage"/>
        <w:bidi w:val="0"/>
        <w:jc w:val="right"/>
        <w:rPr>
          <w:sz w:val="24"/>
          <w:szCs w:val="24"/>
          <w:rtl/>
        </w:rPr>
      </w:pPr>
      <w:r w:rsidRPr="00166509">
        <w:rPr>
          <w:sz w:val="24"/>
          <w:szCs w:val="24"/>
          <w:rtl/>
        </w:rPr>
        <w:t xml:space="preserve">   ـ مؤمن أحمد ذياب  شويدح ، المرجع السابق ، ص 28 .</w:t>
      </w:r>
      <w:r w:rsidRPr="00166509">
        <w:rPr>
          <w:rStyle w:val="Appelnotedebasdep"/>
          <w:sz w:val="24"/>
          <w:szCs w:val="24"/>
        </w:rPr>
        <w:footnoteRef/>
      </w:r>
      <w:r w:rsidRPr="00166509">
        <w:rPr>
          <w:sz w:val="24"/>
          <w:szCs w:val="24"/>
        </w:rPr>
        <w:t xml:space="preserve"> </w:t>
      </w:r>
    </w:p>
  </w:footnote>
  <w:footnote w:id="10">
    <w:p w:rsidR="00992BCD" w:rsidRPr="00166509" w:rsidRDefault="00992BCD" w:rsidP="00992BCD">
      <w:pPr>
        <w:pStyle w:val="Notedebasdepage"/>
        <w:rPr>
          <w:sz w:val="24"/>
          <w:szCs w:val="24"/>
        </w:rPr>
      </w:pPr>
      <w:r w:rsidRPr="00166509">
        <w:rPr>
          <w:rStyle w:val="Appelnotedebasdep"/>
          <w:sz w:val="24"/>
          <w:szCs w:val="24"/>
        </w:rPr>
        <w:footnoteRef/>
      </w:r>
      <w:r w:rsidRPr="00166509">
        <w:rPr>
          <w:sz w:val="24"/>
          <w:szCs w:val="24"/>
          <w:rtl/>
        </w:rPr>
        <w:t xml:space="preserve"> ـ القانون رقم 03 ـ 06 المؤرخ في 13 ربيع الثاني عام 1424 الموافق لـ 14 يونيو سنة 2003 يتضمن الأحكام المطبقة على مفقودي زلزال 21 مايو سنة 2003 ، الصادر في الجريدة الرسمية العدد 37 الصادر بتاريخ 14 ربيع الثاني عام 1424 الموافق لـ 22 مايو سنة 2003 .</w:t>
      </w:r>
    </w:p>
  </w:footnote>
  <w:footnote w:id="11">
    <w:p w:rsidR="00992BCD" w:rsidRPr="00166509" w:rsidRDefault="00992BCD" w:rsidP="00992BCD">
      <w:pPr>
        <w:jc w:val="both"/>
      </w:pPr>
      <w:r w:rsidRPr="00166509">
        <w:rPr>
          <w:rStyle w:val="Appelnotedebasdep"/>
        </w:rPr>
        <w:footnoteRef/>
      </w:r>
      <w:r w:rsidRPr="00166509">
        <w:rPr>
          <w:rtl/>
        </w:rPr>
        <w:t xml:space="preserve"> ـ الأمر 02 ـ 03 </w:t>
      </w:r>
      <w:r w:rsidRPr="00166509">
        <w:rPr>
          <w:rStyle w:val="st"/>
          <w:rtl/>
        </w:rPr>
        <w:t>اﻟﻤﺆرخ ﻓﻲ. 13. ذي. اﻟﺤﺠﺔ ﻋﺎم. 1422. اﻟﻤﻮاﻓﻖ. 25. ﻓﺒﺮاﻳﺮ ﺳﻨﺔ. 2002. واﻟﻤﺘﻀﻤﻦ اﻷﺣﻜﺎم. اﻟﻤﻄﺒﻘﺔ ﻋﻠﻰ ﻣﻔﻘﻮدي. ﻓﻴﻀﺎﻧﺎت. 10. ﻧﻮﻓﻤﺒﺮ ﺳﻨﺔ. 2001 ، الجريدة الرسمية ، العدد 15،  الصادرة بتاريخ ﻓﻲ. 16. ذي. اﻟﺤﺠﺔ ﻋﺎم. 1422. اﻟﻤﻮاﻓﻖ. 28. ﻓﺒﺮاﻳﺮ ﺳﻨﺔ. 2002</w:t>
      </w:r>
    </w:p>
  </w:footnote>
  <w:footnote w:id="12">
    <w:p w:rsidR="00992BCD" w:rsidRPr="00166509" w:rsidRDefault="00992BCD" w:rsidP="00992BCD">
      <w:pPr>
        <w:pStyle w:val="Notedebasdepage"/>
        <w:rPr>
          <w:sz w:val="24"/>
          <w:szCs w:val="24"/>
          <w:rtl/>
        </w:rPr>
      </w:pPr>
      <w:r w:rsidRPr="00166509">
        <w:rPr>
          <w:sz w:val="24"/>
          <w:szCs w:val="24"/>
          <w:rtl/>
        </w:rPr>
        <w:t xml:space="preserve"> </w:t>
      </w:r>
      <w:r w:rsidRPr="00166509">
        <w:rPr>
          <w:rStyle w:val="Appelnotedebasdep"/>
          <w:sz w:val="24"/>
          <w:szCs w:val="24"/>
        </w:rPr>
        <w:footnoteRef/>
      </w:r>
      <w:r w:rsidRPr="00166509">
        <w:rPr>
          <w:sz w:val="24"/>
          <w:szCs w:val="24"/>
          <w:rtl/>
        </w:rPr>
        <w:t xml:space="preserve">ـ بلحاج العربي ، </w:t>
      </w:r>
      <w:r w:rsidRPr="00166509">
        <w:rPr>
          <w:b/>
          <w:bCs/>
          <w:sz w:val="24"/>
          <w:szCs w:val="24"/>
          <w:rtl/>
        </w:rPr>
        <w:t>قانون الاسرة مع تعديلات الأمر 05 ـ 02 و معلقا عليه بمبادئ المحكمة العليا خلال أربعين سنة " 1966 ـ 2006 "</w:t>
      </w:r>
      <w:r w:rsidRPr="00166509">
        <w:rPr>
          <w:sz w:val="24"/>
          <w:szCs w:val="24"/>
          <w:rtl/>
        </w:rPr>
        <w:t xml:space="preserve"> ، المرجع السابق ، ص 465 .</w:t>
      </w:r>
      <w:r w:rsidRPr="00166509">
        <w:rPr>
          <w:sz w:val="24"/>
          <w:szCs w:val="24"/>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DB38F5"/>
    <w:multiLevelType w:val="hybridMultilevel"/>
    <w:tmpl w:val="11C87FB4"/>
    <w:lvl w:ilvl="0" w:tplc="040C000F">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992BCD"/>
    <w:rsid w:val="00992BCD"/>
    <w:rsid w:val="009B2D0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992BCD"/>
    <w:pPr>
      <w:bidi/>
      <w:spacing w:after="0" w:line="240" w:lineRule="auto"/>
    </w:pPr>
    <w:rPr>
      <w:rFonts w:ascii="Times New Roman" w:eastAsia="Times New Roman" w:hAnsi="Times New Roman" w:cs="Times New Roman"/>
      <w:sz w:val="20"/>
      <w:szCs w:val="20"/>
      <w:lang w:val="en-US" w:eastAsia="en-US"/>
    </w:rPr>
  </w:style>
  <w:style w:type="character" w:customStyle="1" w:styleId="NotedebasdepageCar">
    <w:name w:val="Note de bas de page Car"/>
    <w:basedOn w:val="Policepardfaut"/>
    <w:link w:val="Notedebasdepage"/>
    <w:semiHidden/>
    <w:rsid w:val="00992BCD"/>
    <w:rPr>
      <w:rFonts w:ascii="Times New Roman" w:eastAsia="Times New Roman" w:hAnsi="Times New Roman" w:cs="Times New Roman"/>
      <w:sz w:val="20"/>
      <w:szCs w:val="20"/>
      <w:lang w:val="en-US" w:eastAsia="en-US"/>
    </w:rPr>
  </w:style>
  <w:style w:type="character" w:styleId="Appelnotedebasdep">
    <w:name w:val="footnote reference"/>
    <w:basedOn w:val="Policepardfaut"/>
    <w:semiHidden/>
    <w:rsid w:val="00992BCD"/>
    <w:rPr>
      <w:vertAlign w:val="superscript"/>
    </w:rPr>
  </w:style>
  <w:style w:type="character" w:customStyle="1" w:styleId="st">
    <w:name w:val="st"/>
    <w:basedOn w:val="Policepardfaut"/>
    <w:rsid w:val="00992B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1072</Words>
  <Characters>5902</Characters>
  <Application>Microsoft Office Word</Application>
  <DocSecurity>0</DocSecurity>
  <Lines>49</Lines>
  <Paragraphs>13</Paragraphs>
  <ScaleCrop>false</ScaleCrop>
  <Company/>
  <LinksUpToDate>false</LinksUpToDate>
  <CharactersWithSpaces>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2</cp:revision>
  <dcterms:created xsi:type="dcterms:W3CDTF">2022-05-12T17:21:00Z</dcterms:created>
  <dcterms:modified xsi:type="dcterms:W3CDTF">2022-05-12T17:22:00Z</dcterms:modified>
</cp:coreProperties>
</file>