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0C9" w:rsidRPr="00D91077" w:rsidRDefault="00D91077" w:rsidP="00D91077">
      <w:pPr>
        <w:jc w:val="center"/>
        <w:rPr>
          <w:rFonts w:asciiTheme="majorBidi" w:hAnsiTheme="majorBidi" w:cstheme="majorBidi"/>
          <w:sz w:val="32"/>
          <w:szCs w:val="32"/>
        </w:rPr>
      </w:pPr>
      <w:r w:rsidRPr="00D91077">
        <w:rPr>
          <w:rFonts w:asciiTheme="majorBidi" w:hAnsiTheme="majorBidi" w:cstheme="majorBidi"/>
          <w:sz w:val="32"/>
          <w:szCs w:val="32"/>
        </w:rPr>
        <w:t>TP 1</w:t>
      </w:r>
    </w:p>
    <w:p w:rsidR="00D91077" w:rsidRDefault="00D91077" w:rsidP="00D91077">
      <w:pPr>
        <w:rPr>
          <w:rFonts w:asciiTheme="majorBidi" w:hAnsiTheme="majorBidi" w:cstheme="majorBidi"/>
          <w:lang w:val="fr-FR"/>
        </w:rPr>
      </w:pPr>
      <w:r w:rsidRPr="00D91077">
        <w:rPr>
          <w:rFonts w:asciiTheme="majorBidi" w:hAnsiTheme="majorBidi" w:cstheme="majorBidi"/>
          <w:lang w:val="fr-FR"/>
        </w:rPr>
        <w:t xml:space="preserve">L’objectif de ce TP est de réaliser les modèles de base de la fonction </w:t>
      </w:r>
      <w:r>
        <w:rPr>
          <w:rFonts w:asciiTheme="majorBidi" w:hAnsiTheme="majorBidi" w:cstheme="majorBidi"/>
          <w:lang w:val="fr-FR"/>
        </w:rPr>
        <w:t xml:space="preserve">de la </w:t>
      </w:r>
      <w:proofErr w:type="spellStart"/>
      <w:r>
        <w:rPr>
          <w:rFonts w:asciiTheme="majorBidi" w:hAnsiTheme="majorBidi" w:cstheme="majorBidi"/>
          <w:lang w:val="fr-FR"/>
        </w:rPr>
        <w:t>reflecta</w:t>
      </w:r>
      <w:r w:rsidRPr="00D91077">
        <w:rPr>
          <w:rFonts w:asciiTheme="majorBidi" w:hAnsiTheme="majorBidi" w:cstheme="majorBidi"/>
          <w:lang w:val="fr-FR"/>
        </w:rPr>
        <w:t>nce</w:t>
      </w:r>
      <w:proofErr w:type="spellEnd"/>
      <w:r w:rsidRPr="00D91077">
        <w:rPr>
          <w:rFonts w:asciiTheme="majorBidi" w:hAnsiTheme="majorBidi" w:cstheme="majorBidi"/>
          <w:lang w:val="fr-FR"/>
        </w:rPr>
        <w:t xml:space="preserve"> </w:t>
      </w:r>
      <w:proofErr w:type="gramStart"/>
      <w:r w:rsidRPr="00D91077">
        <w:rPr>
          <w:rFonts w:asciiTheme="majorBidi" w:hAnsiTheme="majorBidi" w:cstheme="majorBidi"/>
          <w:lang w:val="fr-FR"/>
        </w:rPr>
        <w:t xml:space="preserve">bidirectionnel </w:t>
      </w:r>
      <w:r>
        <w:rPr>
          <w:rFonts w:asciiTheme="majorBidi" w:hAnsiTheme="majorBidi" w:cstheme="majorBidi"/>
          <w:lang w:val="fr-FR"/>
        </w:rPr>
        <w:t>.</w:t>
      </w:r>
      <w:proofErr w:type="gramEnd"/>
    </w:p>
    <w:p w:rsidR="00D91077" w:rsidRDefault="00D91077" w:rsidP="0073059E">
      <w:pPr>
        <w:pStyle w:val="indent"/>
        <w:numPr>
          <w:ilvl w:val="0"/>
          <w:numId w:val="3"/>
        </w:numPr>
        <w:jc w:val="both"/>
        <w:rPr>
          <w:lang w:val="fr-FR"/>
        </w:rPr>
      </w:pPr>
      <w:r>
        <w:rPr>
          <w:rFonts w:asciiTheme="majorBidi" w:hAnsiTheme="majorBidi" w:cstheme="majorBidi"/>
          <w:lang w:val="fr-FR"/>
        </w:rPr>
        <w:t xml:space="preserve">Le premier modèle est de </w:t>
      </w:r>
      <w:proofErr w:type="spellStart"/>
      <w:r>
        <w:rPr>
          <w:rFonts w:asciiTheme="majorBidi" w:hAnsiTheme="majorBidi" w:cstheme="majorBidi"/>
          <w:lang w:val="fr-FR"/>
        </w:rPr>
        <w:t>lamber</w:t>
      </w:r>
      <w:proofErr w:type="spellEnd"/>
      <w:r>
        <w:rPr>
          <w:rFonts w:asciiTheme="majorBidi" w:hAnsiTheme="majorBidi" w:cstheme="majorBidi"/>
          <w:lang w:val="fr-FR"/>
        </w:rPr>
        <w:t xml:space="preserve"> où la</w:t>
      </w:r>
      <w:r w:rsidRPr="00D91077">
        <w:rPr>
          <w:lang w:val="fr-FR"/>
        </w:rPr>
        <w:t xml:space="preserve"> </w:t>
      </w:r>
      <w:r w:rsidRPr="00D91077">
        <w:rPr>
          <w:rStyle w:val="cmti-12"/>
          <w:lang w:val="fr-FR"/>
        </w:rPr>
        <w:t xml:space="preserve">surface </w:t>
      </w:r>
      <w:proofErr w:type="spellStart"/>
      <w:r w:rsidRPr="00D91077">
        <w:rPr>
          <w:rStyle w:val="cmti-12"/>
          <w:lang w:val="fr-FR"/>
        </w:rPr>
        <w:t>lambertienne</w:t>
      </w:r>
      <w:proofErr w:type="spellEnd"/>
      <w:r w:rsidRPr="00D91077">
        <w:rPr>
          <w:rStyle w:val="cmti-12"/>
          <w:lang w:val="fr-FR"/>
        </w:rPr>
        <w:t>,</w:t>
      </w:r>
      <w:r w:rsidRPr="00D91077">
        <w:rPr>
          <w:lang w:val="fr-FR"/>
        </w:rPr>
        <w:t xml:space="preserve"> par définition, réfléchit le rayonnement de manière égale dans toutes les directions. Son BRDF est simplement</w:t>
      </w:r>
      <w:r w:rsidR="0073059E">
        <w:rPr>
          <w:lang w:val="fr-FR"/>
        </w:rPr>
        <w:t xml:space="preserve"> BRDF = </w:t>
      </w:r>
      <w:proofErr w:type="spellStart"/>
      <w:r w:rsidR="0073059E">
        <w:rPr>
          <w:lang w:val="fr-FR"/>
        </w:rPr>
        <w:t>Kd</w:t>
      </w:r>
      <w:proofErr w:type="spellEnd"/>
      <w:r w:rsidR="0073059E">
        <w:rPr>
          <w:lang w:val="fr-FR"/>
        </w:rPr>
        <w:t xml:space="preserve"> * Id </w:t>
      </w:r>
      <w:r w:rsidRPr="0073059E">
        <w:rPr>
          <w:lang w:val="fr-FR"/>
        </w:rPr>
        <w:t xml:space="preserve">où </w:t>
      </w:r>
      <w:r w:rsidRPr="00D91077">
        <w:rPr>
          <w:lang w:val="fr-FR"/>
        </w:rPr>
        <w:t xml:space="preserve">s'appelle la </w:t>
      </w:r>
      <w:r w:rsidRPr="00D91077">
        <w:rPr>
          <w:rStyle w:val="cmti-12"/>
          <w:lang w:val="fr-FR"/>
        </w:rPr>
        <w:t>réflectivité</w:t>
      </w:r>
      <w:r w:rsidRPr="00D91077">
        <w:rPr>
          <w:lang w:val="fr-FR"/>
        </w:rPr>
        <w:t xml:space="preserve"> de la surface. La ré</w:t>
      </w:r>
      <w:r>
        <w:t>ﬂ</w:t>
      </w:r>
      <w:proofErr w:type="spellStart"/>
      <w:r w:rsidRPr="00D91077">
        <w:rPr>
          <w:lang w:val="fr-FR"/>
        </w:rPr>
        <w:t>ectivité</w:t>
      </w:r>
      <w:proofErr w:type="spellEnd"/>
      <w:r w:rsidRPr="00D91077">
        <w:rPr>
          <w:lang w:val="fr-FR"/>
        </w:rPr>
        <w:t xml:space="preserve"> varie de zéro pour une surface complètement absorbante (« noire »), à un pour une surface complètement ré</w:t>
      </w:r>
      <w:r>
        <w:t>ﬂ</w:t>
      </w:r>
      <w:proofErr w:type="spellStart"/>
      <w:r w:rsidRPr="00D91077">
        <w:rPr>
          <w:lang w:val="fr-FR"/>
        </w:rPr>
        <w:t>échissante</w:t>
      </w:r>
      <w:proofErr w:type="spellEnd"/>
      <w:r w:rsidRPr="00D91077">
        <w:rPr>
          <w:lang w:val="fr-FR"/>
        </w:rPr>
        <w:t xml:space="preserve"> (« blanche »). Il n'y a pas de surfaces </w:t>
      </w:r>
      <w:proofErr w:type="spellStart"/>
      <w:r w:rsidRPr="00D91077">
        <w:rPr>
          <w:lang w:val="fr-FR"/>
        </w:rPr>
        <w:t>lambertiennes</w:t>
      </w:r>
      <w:proofErr w:type="spellEnd"/>
      <w:r w:rsidRPr="00D91077">
        <w:rPr>
          <w:lang w:val="fr-FR"/>
        </w:rPr>
        <w:t xml:space="preserve"> dans la nature, mais le papier mat est une bonne approximation sauf aux angles rasants et près de 90 degrés), où la surface commence à paraître "brillante".</w:t>
      </w:r>
    </w:p>
    <w:p w:rsidR="0073059E" w:rsidRPr="0073059E" w:rsidRDefault="0073059E" w:rsidP="0073059E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 xml:space="preserve">Le deuxième  modèle est de </w:t>
      </w:r>
      <w:proofErr w:type="spellStart"/>
      <w:r>
        <w:rPr>
          <w:rFonts w:asciiTheme="majorBidi" w:hAnsiTheme="majorBidi" w:cstheme="majorBidi"/>
          <w:lang w:val="fr-FR"/>
        </w:rPr>
        <w:t>Phong</w:t>
      </w:r>
      <w:proofErr w:type="spellEnd"/>
      <w:r>
        <w:rPr>
          <w:rFonts w:asciiTheme="majorBidi" w:hAnsiTheme="majorBidi" w:cstheme="majorBidi"/>
          <w:lang w:val="fr-FR"/>
        </w:rPr>
        <w:t xml:space="preserve"> : </w:t>
      </w:r>
      <w:r w:rsidRPr="0073059E">
        <w:rPr>
          <w:rFonts w:asciiTheme="majorBidi" w:hAnsiTheme="majorBidi" w:cstheme="majorBidi"/>
          <w:lang w:val="fr-FR"/>
        </w:rPr>
        <w:t xml:space="preserve">On définit pour chaque matériau des constantes caractéristiques : </w:t>
      </w:r>
    </w:p>
    <w:p w:rsidR="00802DBD" w:rsidRDefault="0073059E" w:rsidP="0073059E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Style w:val="mwe-math-mathml-inline"/>
          <w:rFonts w:asciiTheme="majorBidi" w:hAnsiTheme="majorBidi" w:cstheme="majorBidi"/>
          <w:lang w:val="fr-FR"/>
        </w:rPr>
      </w:pPr>
      <w:r w:rsidRPr="00802DBD">
        <w:rPr>
          <w:rStyle w:val="mwe-math-mathml-inline"/>
          <w:rFonts w:asciiTheme="majorBidi" w:hAnsiTheme="majorBidi" w:cstheme="majorBidi"/>
          <w:vanish/>
          <w:lang w:val="fr-FR"/>
        </w:rPr>
        <w:t xml:space="preserve">k a </w:t>
      </w:r>
      <w:r w:rsidRPr="00802DBD">
        <w:rPr>
          <w:rStyle w:val="mwe-math-mathml-inline"/>
          <w:rFonts w:ascii="Cambria Math" w:hAnsi="Cambria Math" w:cstheme="majorBidi"/>
          <w:vanish/>
          <w:lang w:val="fr-FR"/>
        </w:rPr>
        <w:t>∈</w:t>
      </w:r>
      <w:r w:rsidRPr="00802DBD">
        <w:rPr>
          <w:rStyle w:val="mwe-math-mathml-inline"/>
          <w:rFonts w:asciiTheme="majorBidi" w:hAnsiTheme="majorBidi" w:cstheme="majorBidi"/>
          <w:vanish/>
          <w:lang w:val="fr-FR"/>
        </w:rPr>
        <w:t xml:space="preserve"> [ 0 , 1 ] {\displaystyle k_{a}\in [0,1]}</w:t>
      </w:r>
      <w:r w:rsidRPr="00802DBD">
        <w:rPr>
          <w:rFonts w:asciiTheme="majorBidi" w:hAnsiTheme="majorBidi" w:cstheme="majorBidi"/>
          <w:lang w:val="fr-FR"/>
        </w:rPr>
        <w:t>Ka : constante liée à la composante ambiante, la proportion de lumière renvoyée ;</w:t>
      </w:r>
      <w:proofErr w:type="spellStart"/>
      <w:r w:rsidR="00802DBD" w:rsidRPr="00802DBD">
        <w:rPr>
          <w:rStyle w:val="mwe-math-mathml-inline"/>
          <w:rFonts w:asciiTheme="majorBidi" w:hAnsiTheme="majorBidi" w:cstheme="majorBidi"/>
          <w:vanish/>
          <w:lang w:val="fr-FR"/>
        </w:rPr>
        <w:t xml:space="preserve"> </w:t>
      </w:r>
      <w:r w:rsidRPr="00802DBD">
        <w:rPr>
          <w:rStyle w:val="mwe-math-mathml-inline"/>
          <w:rFonts w:asciiTheme="majorBidi" w:hAnsiTheme="majorBidi" w:cstheme="majorBidi"/>
          <w:vanish/>
          <w:lang w:val="fr-FR"/>
        </w:rPr>
        <w:t>k d</w:t>
      </w:r>
      <w:r w:rsidRPr="00802DBD">
        <w:rPr>
          <w:rStyle w:val="mwe-math-mathml-inline"/>
          <w:rFonts w:ascii="Cambria Math" w:hAnsi="Cambria Math" w:cstheme="majorBidi"/>
          <w:vanish/>
          <w:lang w:val="fr-FR"/>
        </w:rPr>
        <w:t xml:space="preserve"> </w:t>
      </w:r>
      <w:r w:rsidRPr="00802DBD">
        <w:rPr>
          <w:rStyle w:val="mwe-math-mathml-inline"/>
          <w:rFonts w:asciiTheme="majorBidi" w:hAnsiTheme="majorBidi" w:cstheme="majorBidi"/>
          <w:vanish/>
          <w:lang w:val="fr-FR"/>
        </w:rPr>
        <w:t>∈ [ 0 , 1 ] {\displaystyle k_{d}\in [0,1]}</w:t>
      </w:r>
      <w:proofErr w:type="spellEnd"/>
    </w:p>
    <w:p w:rsidR="00802DBD" w:rsidRDefault="0073059E" w:rsidP="0073059E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Style w:val="mwe-math-mathml-inline"/>
          <w:rFonts w:asciiTheme="majorBidi" w:hAnsiTheme="majorBidi" w:cstheme="majorBidi"/>
          <w:lang w:val="fr-FR"/>
        </w:rPr>
      </w:pPr>
      <w:proofErr w:type="spellStart"/>
      <w:r w:rsidRPr="00802DBD">
        <w:rPr>
          <w:rFonts w:asciiTheme="majorBidi" w:hAnsiTheme="majorBidi" w:cstheme="majorBidi"/>
          <w:lang w:val="fr-FR"/>
        </w:rPr>
        <w:t>Kd</w:t>
      </w:r>
      <w:proofErr w:type="spellEnd"/>
      <w:r w:rsidRPr="00802DBD">
        <w:rPr>
          <w:rFonts w:asciiTheme="majorBidi" w:hAnsiTheme="majorBidi" w:cstheme="majorBidi"/>
          <w:lang w:val="fr-FR"/>
        </w:rPr>
        <w:t> : constante liée à la composante diffuse </w:t>
      </w:r>
      <w:r w:rsidRPr="00802DBD">
        <w:rPr>
          <w:rFonts w:asciiTheme="majorBidi" w:hAnsiTheme="majorBidi" w:cstheme="majorBidi"/>
          <w:vanish/>
          <w:lang w:val="fr-FR"/>
        </w:rPr>
        <w:t>;</w:t>
      </w:r>
      <w:proofErr w:type="spellStart"/>
      <w:r w:rsidRPr="00802DBD">
        <w:rPr>
          <w:rStyle w:val="mwe-math-mathml-inline"/>
          <w:rFonts w:asciiTheme="majorBidi" w:hAnsiTheme="majorBidi" w:cstheme="majorBidi"/>
          <w:vanish/>
          <w:lang w:val="fr-FR"/>
        </w:rPr>
        <w:t>k s</w:t>
      </w:r>
      <w:r w:rsidRPr="00802DBD">
        <w:rPr>
          <w:rStyle w:val="mwe-math-mathml-inline"/>
          <w:rFonts w:ascii="Cambria Math" w:hAnsi="Cambria Math" w:cstheme="majorBidi"/>
          <w:vanish/>
          <w:lang w:val="fr-FR"/>
        </w:rPr>
        <w:t xml:space="preserve"> </w:t>
      </w:r>
      <w:r w:rsidRPr="00802DBD">
        <w:rPr>
          <w:rStyle w:val="mwe-math-mathml-inline"/>
          <w:rFonts w:asciiTheme="majorBidi" w:hAnsiTheme="majorBidi" w:cstheme="majorBidi"/>
          <w:vanish/>
          <w:lang w:val="fr-FR"/>
        </w:rPr>
        <w:t>∈ [ 0 , 1 ] {\displaystyle k_{s}\in [0,1]}</w:t>
      </w:r>
      <w:proofErr w:type="spellEnd"/>
    </w:p>
    <w:p w:rsidR="00802DBD" w:rsidRPr="00802DBD" w:rsidRDefault="0073059E" w:rsidP="0073059E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Style w:val="mwe-math-mathml-inline"/>
          <w:rFonts w:asciiTheme="majorBidi" w:hAnsiTheme="majorBidi" w:cstheme="majorBidi"/>
          <w:lang w:val="fr-FR"/>
        </w:rPr>
      </w:pPr>
      <w:proofErr w:type="spellStart"/>
      <w:r w:rsidRPr="00802DBD">
        <w:rPr>
          <w:rStyle w:val="mwe-math-mathml-inline"/>
          <w:rFonts w:asciiTheme="majorBidi" w:hAnsiTheme="majorBidi" w:cstheme="majorBidi"/>
          <w:lang w:val="fr-FR"/>
        </w:rPr>
        <w:t>Ks</w:t>
      </w:r>
      <w:proofErr w:type="spellEnd"/>
      <w:r w:rsidRPr="00802DBD">
        <w:rPr>
          <w:rFonts w:asciiTheme="majorBidi" w:hAnsiTheme="majorBidi" w:cstheme="majorBidi"/>
          <w:lang w:val="fr-FR"/>
        </w:rPr>
        <w:t> : constante liée à la composante spéculaire ;</w:t>
      </w:r>
      <w:r w:rsidRPr="00802DBD">
        <w:rPr>
          <w:rStyle w:val="mwe-math-mathml-inline"/>
          <w:rFonts w:asciiTheme="majorBidi" w:hAnsiTheme="majorBidi" w:cstheme="majorBidi"/>
          <w:vanish/>
        </w:rPr>
        <w:t>α</w:t>
      </w:r>
      <w:r w:rsidRPr="00802DBD">
        <w:rPr>
          <w:rStyle w:val="mwe-math-mathml-inline"/>
          <w:rFonts w:asciiTheme="majorBidi" w:hAnsiTheme="majorBidi" w:cstheme="majorBidi"/>
          <w:vanish/>
          <w:lang w:val="fr-FR"/>
        </w:rPr>
        <w:t xml:space="preserve"> </w:t>
      </w:r>
      <w:r w:rsidRPr="00802DBD">
        <w:rPr>
          <w:rStyle w:val="mwe-math-mathml-inline"/>
          <w:rFonts w:ascii="Cambria Math" w:hAnsi="Cambria Math" w:cstheme="majorBidi"/>
          <w:vanish/>
          <w:lang w:val="fr-FR"/>
        </w:rPr>
        <w:t>≫</w:t>
      </w:r>
      <w:r w:rsidRPr="00802DBD">
        <w:rPr>
          <w:rStyle w:val="mwe-math-mathml-inline"/>
          <w:rFonts w:asciiTheme="majorBidi" w:hAnsiTheme="majorBidi" w:cstheme="majorBidi"/>
          <w:vanish/>
          <w:lang w:val="fr-FR"/>
        </w:rPr>
        <w:t xml:space="preserve"> 1 {\displaystyle \alpha \gg 1}</w:t>
      </w:r>
    </w:p>
    <w:p w:rsidR="00802DBD" w:rsidRPr="009F31BC" w:rsidRDefault="0073059E" w:rsidP="00CC41EC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sym w:font="Symbol" w:char="F061"/>
      </w:r>
      <w:r w:rsidRPr="009F31BC">
        <w:rPr>
          <w:rFonts w:asciiTheme="majorBidi" w:hAnsiTheme="majorBidi" w:cstheme="majorBidi"/>
          <w:lang w:val="fr-FR"/>
        </w:rPr>
        <w:t> : constante liée au</w:t>
      </w:r>
      <w:r w:rsidR="00CC41EC">
        <w:rPr>
          <w:rFonts w:asciiTheme="majorBidi" w:hAnsiTheme="majorBidi" w:cstheme="majorBidi"/>
          <w:lang w:val="fr-FR"/>
        </w:rPr>
        <w:t xml:space="preserve"> brillance </w:t>
      </w:r>
      <w:r w:rsidRPr="009F31BC">
        <w:rPr>
          <w:rFonts w:asciiTheme="majorBidi" w:hAnsiTheme="majorBidi" w:cstheme="majorBidi"/>
          <w:lang w:val="fr-FR"/>
        </w:rPr>
        <w:t xml:space="preserve">du matériau : plus </w:t>
      </w:r>
      <w:r w:rsidRPr="009F31BC">
        <w:rPr>
          <w:rStyle w:val="mwe-math-mathml-inline"/>
          <w:rFonts w:asciiTheme="majorBidi" w:hAnsiTheme="majorBidi" w:cstheme="majorBidi"/>
          <w:vanish/>
        </w:rPr>
        <w:t>α</w:t>
      </w:r>
      <w:r w:rsidRPr="009F31BC">
        <w:rPr>
          <w:rStyle w:val="mwe-math-mathml-inline"/>
          <w:rFonts w:asciiTheme="majorBidi" w:hAnsiTheme="majorBidi" w:cstheme="majorBidi"/>
          <w:vanish/>
          <w:lang w:val="fr-FR"/>
        </w:rPr>
        <w:t xml:space="preserve"> {\displaystyle \alpha } </w:t>
      </w:r>
      <w:r>
        <w:rPr>
          <w:rFonts w:asciiTheme="majorBidi" w:hAnsiTheme="majorBidi" w:cstheme="majorBidi"/>
        </w:rPr>
        <w:sym w:font="Symbol" w:char="F061"/>
      </w:r>
      <w:r w:rsidRPr="009F31BC">
        <w:rPr>
          <w:rFonts w:asciiTheme="majorBidi" w:hAnsiTheme="majorBidi" w:cstheme="majorBidi"/>
          <w:lang w:val="fr-FR"/>
        </w:rPr>
        <w:t xml:space="preserve"> est grand, plus la surface est brillante. Cette constante peut prendre des valeurs </w:t>
      </w:r>
      <w:r w:rsidRPr="009F31BC">
        <w:rPr>
          <w:rFonts w:asciiTheme="majorBidi" w:hAnsiTheme="majorBidi" w:cstheme="majorBidi"/>
          <w:i/>
          <w:iCs/>
          <w:lang w:val="fr-FR"/>
        </w:rPr>
        <w:t>élevées</w:t>
      </w:r>
      <w:r w:rsidRPr="009F31BC">
        <w:rPr>
          <w:rFonts w:asciiTheme="majorBidi" w:hAnsiTheme="majorBidi" w:cstheme="majorBidi"/>
          <w:lang w:val="fr-FR"/>
        </w:rPr>
        <w:t> : 10, 100 ou plus.</w:t>
      </w:r>
      <w:r w:rsidR="009F31BC">
        <w:rPr>
          <w:rFonts w:asciiTheme="majorBidi" w:hAnsiTheme="majorBidi" w:cstheme="majorBidi"/>
          <w:lang w:val="fr-FR"/>
        </w:rPr>
        <w:t xml:space="preserve"> </w:t>
      </w:r>
      <w:r w:rsidRPr="009F31BC">
        <w:rPr>
          <w:rFonts w:asciiTheme="majorBidi" w:hAnsiTheme="majorBidi" w:cstheme="majorBidi"/>
          <w:lang w:val="fr-FR"/>
        </w:rPr>
        <w:t xml:space="preserve">On appelle </w:t>
      </w:r>
      <w:r w:rsidRPr="009F31BC">
        <w:rPr>
          <w:rStyle w:val="mwe-math-mathml-inline"/>
          <w:rFonts w:asciiTheme="majorBidi" w:hAnsiTheme="majorBidi" w:cstheme="majorBidi"/>
          <w:vanish/>
          <w:lang w:val="fr-FR"/>
        </w:rPr>
        <w:t>i a {\displaystyle i_{a}}</w:t>
      </w:r>
      <w:proofErr w:type="spellStart"/>
      <w:r w:rsidR="00802DBD" w:rsidRPr="009F31BC">
        <w:rPr>
          <w:rFonts w:asciiTheme="majorBidi" w:hAnsiTheme="majorBidi" w:cstheme="majorBidi"/>
          <w:lang w:val="fr-FR"/>
        </w:rPr>
        <w:t>ia</w:t>
      </w:r>
      <w:proofErr w:type="spellEnd"/>
      <w:r w:rsidR="00802DBD" w:rsidRPr="009F31BC">
        <w:rPr>
          <w:rFonts w:asciiTheme="majorBidi" w:hAnsiTheme="majorBidi" w:cstheme="majorBidi"/>
          <w:lang w:val="fr-FR"/>
        </w:rPr>
        <w:t xml:space="preserve">, </w:t>
      </w:r>
      <w:proofErr w:type="spellStart"/>
      <w:r w:rsidR="00802DBD" w:rsidRPr="009F31BC">
        <w:rPr>
          <w:rFonts w:asciiTheme="majorBidi" w:hAnsiTheme="majorBidi" w:cstheme="majorBidi"/>
          <w:lang w:val="fr-FR"/>
        </w:rPr>
        <w:t>id</w:t>
      </w:r>
      <w:proofErr w:type="gramStart"/>
      <w:r w:rsidR="00802DBD" w:rsidRPr="009F31BC">
        <w:rPr>
          <w:rFonts w:asciiTheme="majorBidi" w:hAnsiTheme="majorBidi" w:cstheme="majorBidi"/>
          <w:lang w:val="fr-FR"/>
        </w:rPr>
        <w:t>,is</w:t>
      </w:r>
      <w:proofErr w:type="spellEnd"/>
      <w:proofErr w:type="gramEnd"/>
      <w:r w:rsidR="00802DBD" w:rsidRPr="009F31BC">
        <w:rPr>
          <w:rFonts w:asciiTheme="majorBidi" w:hAnsiTheme="majorBidi" w:cstheme="majorBidi"/>
          <w:lang w:val="fr-FR"/>
        </w:rPr>
        <w:t xml:space="preserve"> </w:t>
      </w:r>
      <w:r w:rsidRPr="009F31BC">
        <w:rPr>
          <w:rStyle w:val="mwe-math-mathml-inline"/>
          <w:rFonts w:asciiTheme="majorBidi" w:hAnsiTheme="majorBidi" w:cstheme="majorBidi"/>
          <w:vanish/>
          <w:lang w:val="fr-FR"/>
        </w:rPr>
        <w:t xml:space="preserve">i d {\displaystyle i_{d}} i s {\displaystyle i_{s}} </w:t>
      </w:r>
      <w:r w:rsidR="00802DBD" w:rsidRPr="009F31BC">
        <w:rPr>
          <w:rFonts w:asciiTheme="majorBidi" w:hAnsiTheme="majorBidi" w:cstheme="majorBidi"/>
          <w:lang w:val="fr-FR"/>
        </w:rPr>
        <w:t xml:space="preserve"> </w:t>
      </w:r>
      <w:r w:rsidRPr="009F31BC">
        <w:rPr>
          <w:rFonts w:asciiTheme="majorBidi" w:hAnsiTheme="majorBidi" w:cstheme="majorBidi"/>
          <w:lang w:val="fr-FR"/>
        </w:rPr>
        <w:t xml:space="preserve">l'intensité des lumières incidentes ambiante, diffuse et spéculaire. </w:t>
      </w:r>
      <w:r w:rsidRPr="009F31BC">
        <w:rPr>
          <w:rStyle w:val="mwe-math-mathml-inline"/>
          <w:rFonts w:asciiTheme="majorBidi" w:hAnsiTheme="majorBidi" w:cstheme="majorBidi"/>
          <w:vanish/>
          <w:lang w:val="fr-FR"/>
        </w:rPr>
        <w:t>I a {\displaystyle I_{a}}</w:t>
      </w:r>
      <w:proofErr w:type="spellStart"/>
      <w:r w:rsidR="00802DBD" w:rsidRPr="009F31BC">
        <w:rPr>
          <w:rFonts w:asciiTheme="majorBidi" w:hAnsiTheme="majorBidi" w:cstheme="majorBidi"/>
          <w:lang w:val="fr-FR"/>
        </w:rPr>
        <w:t>Ia</w:t>
      </w:r>
      <w:proofErr w:type="spellEnd"/>
      <w:r w:rsidRPr="009F31BC">
        <w:rPr>
          <w:rFonts w:asciiTheme="majorBidi" w:hAnsiTheme="majorBidi" w:cstheme="majorBidi"/>
          <w:lang w:val="fr-FR"/>
        </w:rPr>
        <w:t>,</w:t>
      </w:r>
      <w:r w:rsidRPr="009F31BC">
        <w:rPr>
          <w:rStyle w:val="mwe-math-mathml-inline"/>
          <w:rFonts w:asciiTheme="majorBidi" w:hAnsiTheme="majorBidi" w:cstheme="majorBidi"/>
          <w:vanish/>
          <w:lang w:val="fr-FR"/>
        </w:rPr>
        <w:t>I d {\displaystyle I_{d}}</w:t>
      </w:r>
      <w:r w:rsidR="00802DBD" w:rsidRPr="009F31BC">
        <w:rPr>
          <w:rFonts w:asciiTheme="majorBidi" w:hAnsiTheme="majorBidi" w:cstheme="majorBidi"/>
          <w:lang w:val="fr-FR"/>
        </w:rPr>
        <w:t xml:space="preserve"> </w:t>
      </w:r>
      <w:proofErr w:type="spellStart"/>
      <w:r w:rsidR="00802DBD" w:rsidRPr="009F31BC">
        <w:rPr>
          <w:rFonts w:asciiTheme="majorBidi" w:hAnsiTheme="majorBidi" w:cstheme="majorBidi"/>
          <w:lang w:val="fr-FR"/>
        </w:rPr>
        <w:t>Id</w:t>
      </w:r>
      <w:proofErr w:type="gramStart"/>
      <w:r w:rsidRPr="009F31BC">
        <w:rPr>
          <w:rFonts w:asciiTheme="majorBidi" w:hAnsiTheme="majorBidi" w:cstheme="majorBidi"/>
          <w:lang w:val="fr-FR"/>
        </w:rPr>
        <w:t>,</w:t>
      </w:r>
      <w:proofErr w:type="gramEnd"/>
      <w:r w:rsidRPr="009F31BC">
        <w:rPr>
          <w:rStyle w:val="mwe-math-mathml-inline"/>
          <w:rFonts w:asciiTheme="majorBidi" w:hAnsiTheme="majorBidi" w:cstheme="majorBidi"/>
          <w:vanish/>
          <w:lang w:val="fr-FR"/>
        </w:rPr>
        <w:t xml:space="preserve">I s {\displaystyle I_{s}} </w:t>
      </w:r>
      <w:r w:rsidR="00802DBD" w:rsidRPr="009F31BC">
        <w:rPr>
          <w:rStyle w:val="mwe-math-mathml-inline"/>
          <w:rFonts w:asciiTheme="majorBidi" w:hAnsiTheme="majorBidi" w:cstheme="majorBidi"/>
          <w:lang w:val="fr-FR"/>
        </w:rPr>
        <w:t>Is</w:t>
      </w:r>
      <w:proofErr w:type="spellEnd"/>
      <w:r w:rsidR="00802DBD" w:rsidRPr="009F31BC">
        <w:rPr>
          <w:rStyle w:val="mwe-math-mathml-inline"/>
          <w:rFonts w:asciiTheme="majorBidi" w:hAnsiTheme="majorBidi" w:cstheme="majorBidi"/>
          <w:lang w:val="fr-FR"/>
        </w:rPr>
        <w:t xml:space="preserve"> </w:t>
      </w:r>
      <w:r w:rsidRPr="009F31BC">
        <w:rPr>
          <w:rStyle w:val="mwe-math-mathml-inline"/>
          <w:rFonts w:asciiTheme="majorBidi" w:hAnsiTheme="majorBidi" w:cstheme="majorBidi"/>
          <w:vanish/>
          <w:lang w:val="fr-FR"/>
        </w:rPr>
        <w:t xml:space="preserve">I {\displaystyle I} </w:t>
      </w:r>
      <w:r w:rsidRPr="009F31BC">
        <w:rPr>
          <w:rFonts w:asciiTheme="majorBidi" w:hAnsiTheme="majorBidi" w:cstheme="majorBidi"/>
          <w:lang w:val="fr-FR"/>
        </w:rPr>
        <w:t xml:space="preserve">les intensités réfléchies, </w:t>
      </w:r>
      <w:r w:rsidRPr="009F31BC">
        <w:rPr>
          <w:rStyle w:val="mwe-math-mathml-inline"/>
          <w:rFonts w:asciiTheme="majorBidi" w:hAnsiTheme="majorBidi" w:cstheme="majorBidi"/>
          <w:vanish/>
          <w:lang w:val="fr-FR"/>
        </w:rPr>
        <w:t xml:space="preserve">I {\displaystyle I} </w:t>
      </w:r>
      <w:r w:rsidR="00802DBD" w:rsidRPr="009F31BC">
        <w:rPr>
          <w:rFonts w:asciiTheme="majorBidi" w:hAnsiTheme="majorBidi" w:cstheme="majorBidi"/>
          <w:lang w:val="fr-FR"/>
        </w:rPr>
        <w:t xml:space="preserve">I </w:t>
      </w:r>
      <w:r w:rsidRPr="009F31BC">
        <w:rPr>
          <w:rFonts w:asciiTheme="majorBidi" w:hAnsiTheme="majorBidi" w:cstheme="majorBidi"/>
          <w:lang w:val="fr-FR"/>
        </w:rPr>
        <w:t>étant le total.</w:t>
      </w:r>
      <w:r w:rsidR="00802DBD" w:rsidRPr="009F31BC">
        <w:rPr>
          <w:rFonts w:asciiTheme="majorBidi" w:hAnsiTheme="majorBidi" w:cstheme="majorBidi"/>
          <w:lang w:val="fr-FR"/>
        </w:rPr>
        <w:t xml:space="preserve"> </w:t>
      </w:r>
    </w:p>
    <w:p w:rsidR="009F31BC" w:rsidRPr="0073059E" w:rsidRDefault="0073059E" w:rsidP="009F31BC">
      <w:pPr>
        <w:pStyle w:val="NormalWeb"/>
        <w:rPr>
          <w:rFonts w:asciiTheme="majorBidi" w:hAnsiTheme="majorBidi" w:cstheme="majorBidi"/>
          <w:sz w:val="22"/>
          <w:szCs w:val="22"/>
          <w:lang w:val="fr-FR"/>
        </w:rPr>
      </w:pPr>
      <w:r w:rsidRPr="00802DBD">
        <w:rPr>
          <w:rFonts w:asciiTheme="majorBidi" w:hAnsiTheme="majorBidi" w:cstheme="majorBidi"/>
          <w:sz w:val="22"/>
          <w:szCs w:val="22"/>
          <w:lang w:val="fr-FR"/>
        </w:rPr>
        <w:t xml:space="preserve">On définit les vecteurs suivants : </w:t>
      </w:r>
      <w:r w:rsidRPr="00802DBD">
        <w:rPr>
          <w:rStyle w:val="mwe-math-mathml-inline"/>
          <w:rFonts w:asciiTheme="majorBidi" w:hAnsiTheme="majorBidi" w:cstheme="majorBidi"/>
          <w:vanish/>
          <w:sz w:val="22"/>
          <w:szCs w:val="22"/>
          <w:lang w:val="fr-FR"/>
        </w:rPr>
        <w:t xml:space="preserve">L → {\displaystyle {\vec {L}}} </w:t>
      </w:r>
      <w:r w:rsidR="00802DBD" w:rsidRPr="00802DBD">
        <w:rPr>
          <w:rFonts w:asciiTheme="majorBidi" w:hAnsiTheme="majorBidi" w:cstheme="majorBidi"/>
          <w:lang w:val="fr-FR"/>
        </w:rPr>
        <w:t xml:space="preserve">L </w:t>
      </w:r>
      <w:r w:rsidRPr="00802DBD">
        <w:rPr>
          <w:rFonts w:asciiTheme="majorBidi" w:hAnsiTheme="majorBidi" w:cstheme="majorBidi"/>
          <w:sz w:val="22"/>
          <w:szCs w:val="22"/>
          <w:lang w:val="fr-FR"/>
        </w:rPr>
        <w:t xml:space="preserve">pour la lumière, </w:t>
      </w:r>
      <w:r w:rsidRPr="00802DBD">
        <w:rPr>
          <w:rStyle w:val="mwe-math-mathml-inline"/>
          <w:rFonts w:asciiTheme="majorBidi" w:hAnsiTheme="majorBidi" w:cstheme="majorBidi"/>
          <w:vanish/>
          <w:sz w:val="22"/>
          <w:szCs w:val="22"/>
          <w:lang w:val="fr-FR"/>
        </w:rPr>
        <w:t xml:space="preserve">N → {\displaystyle {\vec {N}}} </w:t>
      </w:r>
      <w:r w:rsidR="00802DBD" w:rsidRPr="00802DBD">
        <w:rPr>
          <w:rFonts w:asciiTheme="majorBidi" w:hAnsiTheme="majorBidi" w:cstheme="majorBidi"/>
          <w:lang w:val="fr-FR"/>
        </w:rPr>
        <w:t xml:space="preserve">N </w:t>
      </w:r>
      <w:r w:rsidRPr="00802DBD">
        <w:rPr>
          <w:rFonts w:asciiTheme="majorBidi" w:hAnsiTheme="majorBidi" w:cstheme="majorBidi"/>
          <w:sz w:val="22"/>
          <w:szCs w:val="22"/>
          <w:lang w:val="fr-FR"/>
        </w:rPr>
        <w:t xml:space="preserve">pour la normale à la surface, </w:t>
      </w:r>
      <w:r w:rsidRPr="00802DBD">
        <w:rPr>
          <w:rStyle w:val="mwe-math-mathml-inline"/>
          <w:rFonts w:asciiTheme="majorBidi" w:hAnsiTheme="majorBidi" w:cstheme="majorBidi"/>
          <w:vanish/>
          <w:sz w:val="22"/>
          <w:szCs w:val="22"/>
          <w:lang w:val="fr-FR"/>
        </w:rPr>
        <w:t xml:space="preserve">V → {\displaystyle {\vec {V}}} </w:t>
      </w:r>
      <w:r w:rsidR="00802DBD" w:rsidRPr="00802DBD">
        <w:rPr>
          <w:rFonts w:asciiTheme="majorBidi" w:hAnsiTheme="majorBidi" w:cstheme="majorBidi"/>
          <w:lang w:val="fr-FR"/>
        </w:rPr>
        <w:t xml:space="preserve">V </w:t>
      </w:r>
      <w:r w:rsidRPr="00802DBD">
        <w:rPr>
          <w:rFonts w:asciiTheme="majorBidi" w:hAnsiTheme="majorBidi" w:cstheme="majorBidi"/>
          <w:sz w:val="22"/>
          <w:szCs w:val="22"/>
          <w:lang w:val="fr-FR"/>
        </w:rPr>
        <w:t xml:space="preserve">pour la direction de vue de l'observateur et </w:t>
      </w:r>
      <w:r w:rsidRPr="00802DBD">
        <w:rPr>
          <w:rStyle w:val="mwe-math-mathml-inline"/>
          <w:rFonts w:asciiTheme="majorBidi" w:hAnsiTheme="majorBidi" w:cstheme="majorBidi"/>
          <w:vanish/>
          <w:sz w:val="22"/>
          <w:szCs w:val="22"/>
          <w:lang w:val="fr-FR"/>
        </w:rPr>
        <w:t xml:space="preserve">R → {\displaystyle {\vec {R}}} </w:t>
      </w:r>
      <w:r w:rsidR="00802DBD" w:rsidRPr="00802DBD">
        <w:rPr>
          <w:rFonts w:asciiTheme="majorBidi" w:hAnsiTheme="majorBidi" w:cstheme="majorBidi"/>
          <w:lang w:val="fr-FR"/>
        </w:rPr>
        <w:t xml:space="preserve">R </w:t>
      </w:r>
      <w:r w:rsidRPr="00802DBD">
        <w:rPr>
          <w:rFonts w:asciiTheme="majorBidi" w:hAnsiTheme="majorBidi" w:cstheme="majorBidi"/>
          <w:sz w:val="22"/>
          <w:szCs w:val="22"/>
          <w:lang w:val="fr-FR"/>
        </w:rPr>
        <w:t>pour la direction dans laquelle serait réfléchie la lumière sur un miroir.</w:t>
      </w:r>
      <w:r w:rsidR="009F31BC">
        <w:rPr>
          <w:rFonts w:asciiTheme="majorBidi" w:hAnsiTheme="majorBidi" w:cstheme="majorBidi"/>
          <w:lang w:val="fr-FR"/>
        </w:rPr>
        <w:t xml:space="preserve"> R </w:t>
      </w:r>
      <w:r w:rsidRPr="00802DBD">
        <w:rPr>
          <w:rStyle w:val="mwe-math-mathml-inline"/>
          <w:rFonts w:asciiTheme="majorBidi" w:hAnsiTheme="majorBidi" w:cstheme="majorBidi"/>
          <w:vanish/>
          <w:sz w:val="22"/>
          <w:szCs w:val="22"/>
          <w:lang w:val="fr-FR"/>
        </w:rPr>
        <w:t xml:space="preserve">R → {\displaystyle {\vec {R}}} </w:t>
      </w:r>
      <w:r w:rsidRPr="00802DBD">
        <w:rPr>
          <w:rFonts w:asciiTheme="majorBidi" w:hAnsiTheme="majorBidi" w:cstheme="majorBidi"/>
          <w:sz w:val="22"/>
          <w:szCs w:val="22"/>
          <w:lang w:val="fr-FR"/>
        </w:rPr>
        <w:t>se déduit</w:t>
      </w:r>
      <w:r w:rsidR="009F31BC">
        <w:rPr>
          <w:rFonts w:asciiTheme="majorBidi" w:hAnsiTheme="majorBidi" w:cstheme="majorBidi"/>
          <w:lang w:val="fr-FR"/>
        </w:rPr>
        <w:t xml:space="preserve"> </w:t>
      </w:r>
      <w:r w:rsidRPr="00802DBD">
        <w:rPr>
          <w:rFonts w:asciiTheme="majorBidi" w:hAnsiTheme="majorBidi" w:cstheme="majorBidi"/>
          <w:sz w:val="22"/>
          <w:szCs w:val="22"/>
          <w:lang w:val="fr-FR"/>
        </w:rPr>
        <w:t xml:space="preserve">par la relation </w:t>
      </w:r>
      <w:r w:rsidRPr="00802DBD">
        <w:rPr>
          <w:rStyle w:val="mwe-math-mathml-inline"/>
          <w:rFonts w:asciiTheme="majorBidi" w:hAnsiTheme="majorBidi" w:cstheme="majorBidi"/>
          <w:vanish/>
          <w:sz w:val="22"/>
          <w:szCs w:val="22"/>
          <w:lang w:val="fr-FR"/>
        </w:rPr>
        <w:t xml:space="preserve">R → = 2 ( N → </w:t>
      </w:r>
      <w:r w:rsidRPr="00802DBD">
        <w:rPr>
          <w:rStyle w:val="mwe-math-mathml-inline"/>
          <w:rFonts w:asciiTheme="majorBidi" w:hAnsi="Cambria Math" w:cstheme="majorBidi"/>
          <w:vanish/>
          <w:sz w:val="22"/>
          <w:szCs w:val="22"/>
          <w:lang w:val="fr-FR"/>
        </w:rPr>
        <w:t>⋅</w:t>
      </w:r>
      <w:r w:rsidRPr="00802DBD">
        <w:rPr>
          <w:rStyle w:val="mwe-math-mathml-inline"/>
          <w:rFonts w:asciiTheme="majorBidi" w:hAnsiTheme="majorBidi" w:cstheme="majorBidi"/>
          <w:vanish/>
          <w:sz w:val="22"/>
          <w:szCs w:val="22"/>
          <w:lang w:val="fr-FR"/>
        </w:rPr>
        <w:t xml:space="preserve"> L → ) N → − L → = 2 cos </w:t>
      </w:r>
      <w:r w:rsidRPr="00802DBD">
        <w:rPr>
          <w:rStyle w:val="mwe-math-mathml-inline"/>
          <w:rFonts w:asciiTheme="majorBidi" w:hAnsi="Cambria Math" w:cstheme="majorBidi"/>
          <w:vanish/>
          <w:sz w:val="22"/>
          <w:szCs w:val="22"/>
          <w:lang w:val="fr-FR"/>
        </w:rPr>
        <w:t>⁡</w:t>
      </w:r>
      <w:r w:rsidRPr="00802DBD">
        <w:rPr>
          <w:rStyle w:val="mwe-math-mathml-inline"/>
          <w:rFonts w:asciiTheme="majorBidi" w:hAnsiTheme="majorBidi" w:cstheme="majorBidi"/>
          <w:vanish/>
          <w:sz w:val="22"/>
          <w:szCs w:val="22"/>
          <w:lang w:val="fr-FR"/>
        </w:rPr>
        <w:t xml:space="preserve"> </w:t>
      </w:r>
      <w:r w:rsidRPr="00802DBD">
        <w:rPr>
          <w:rStyle w:val="mwe-math-mathml-inline"/>
          <w:rFonts w:asciiTheme="majorBidi" w:hAnsiTheme="majorBidi" w:cstheme="majorBidi"/>
          <w:vanish/>
          <w:sz w:val="22"/>
          <w:szCs w:val="22"/>
        </w:rPr>
        <w:t>θ</w:t>
      </w:r>
      <w:r w:rsidRPr="00802DBD">
        <w:rPr>
          <w:rStyle w:val="mwe-math-mathml-inline"/>
          <w:rFonts w:asciiTheme="majorBidi" w:hAnsiTheme="majorBidi" w:cstheme="majorBidi"/>
          <w:vanish/>
          <w:sz w:val="22"/>
          <w:szCs w:val="22"/>
          <w:lang w:val="fr-FR"/>
        </w:rPr>
        <w:t xml:space="preserve"> N → − L → {\displaystyle {\vec {R}}=2({\vec {N}}\cdot {\vec {L}}){\vec {N}}-{\vec {L}}=2\cos \theta {\vec {N}}-{\vec {L}}}</w:t>
      </w:r>
      <w:r w:rsidR="009F31BC" w:rsidRPr="009F31BC">
        <w:rPr>
          <w:rFonts w:asciiTheme="majorBidi" w:hAnsiTheme="majorBidi" w:cstheme="majorBidi"/>
          <w:lang w:val="fr-FR"/>
        </w:rPr>
        <w:t>R = 2(N.L).N-</w:t>
      </w:r>
      <w:r w:rsidR="009F31BC">
        <w:rPr>
          <w:rFonts w:asciiTheme="majorBidi" w:hAnsiTheme="majorBidi" w:cstheme="majorBidi"/>
          <w:lang w:val="fr-FR"/>
        </w:rPr>
        <w:t xml:space="preserve"> L</w:t>
      </w:r>
      <w:r w:rsidRPr="00802DBD">
        <w:rPr>
          <w:rFonts w:asciiTheme="majorBidi" w:hAnsiTheme="majorBidi" w:cstheme="majorBidi"/>
          <w:sz w:val="22"/>
          <w:szCs w:val="22"/>
          <w:lang w:val="fr-FR"/>
        </w:rPr>
        <w:t>.</w:t>
      </w:r>
      <w:r w:rsidR="009F31BC" w:rsidRPr="009F31BC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r w:rsidR="009F31BC" w:rsidRPr="0073059E">
        <w:rPr>
          <w:rFonts w:asciiTheme="majorBidi" w:hAnsiTheme="majorBidi" w:cstheme="majorBidi"/>
          <w:sz w:val="22"/>
          <w:szCs w:val="22"/>
          <w:lang w:val="fr-FR"/>
        </w:rPr>
        <w:t xml:space="preserve">Tous ces vecteurs doivent être normalisés pour que les produits scalaires donnent simplement le cosinus de l'angle entre les vecteurs. </w:t>
      </w:r>
    </w:p>
    <w:p w:rsidR="0073059E" w:rsidRPr="009F31BC" w:rsidRDefault="009F31BC" w:rsidP="009F31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9F31BC">
        <w:rPr>
          <w:rFonts w:asciiTheme="majorBidi" w:hAnsiTheme="majorBidi" w:cstheme="majorBidi"/>
        </w:rPr>
        <w:t xml:space="preserve">I= </w:t>
      </w:r>
      <w:proofErr w:type="spellStart"/>
      <w:r w:rsidRPr="009F31BC">
        <w:rPr>
          <w:rFonts w:asciiTheme="majorBidi" w:hAnsiTheme="majorBidi" w:cstheme="majorBidi"/>
        </w:rPr>
        <w:t>id.Kd</w:t>
      </w:r>
      <w:proofErr w:type="spellEnd"/>
      <w:r w:rsidRPr="009F31BC">
        <w:rPr>
          <w:rFonts w:asciiTheme="majorBidi" w:hAnsiTheme="majorBidi" w:cstheme="majorBidi"/>
        </w:rPr>
        <w:t xml:space="preserve">(N.L) + </w:t>
      </w:r>
      <w:proofErr w:type="spellStart"/>
      <w:r w:rsidRPr="009F31BC">
        <w:rPr>
          <w:rFonts w:asciiTheme="majorBidi" w:hAnsiTheme="majorBidi" w:cstheme="majorBidi"/>
        </w:rPr>
        <w:t>id</w:t>
      </w:r>
      <w:r>
        <w:rPr>
          <w:rFonts w:asciiTheme="majorBidi" w:hAnsiTheme="majorBidi" w:cstheme="majorBidi"/>
        </w:rPr>
        <w:t>.Kd</w:t>
      </w:r>
      <w:proofErr w:type="spellEnd"/>
      <w:r>
        <w:rPr>
          <w:rFonts w:asciiTheme="majorBidi" w:hAnsiTheme="majorBidi" w:cstheme="majorBidi"/>
        </w:rPr>
        <w:t>(R.N)</w:t>
      </w:r>
      <w:r w:rsidRPr="009F31BC">
        <w:rPr>
          <w:rFonts w:asciiTheme="majorBidi" w:hAnsiTheme="majorBidi" w:cstheme="majorBidi"/>
          <w:vertAlign w:val="superscript"/>
        </w:rPr>
        <w:sym w:font="Symbol" w:char="F061"/>
      </w:r>
    </w:p>
    <w:p w:rsidR="00D91077" w:rsidRPr="009F31BC" w:rsidRDefault="00D91077" w:rsidP="00D91077">
      <w:pPr>
        <w:rPr>
          <w:rFonts w:asciiTheme="majorBidi" w:hAnsiTheme="majorBidi" w:cstheme="majorBidi"/>
        </w:rPr>
      </w:pPr>
    </w:p>
    <w:p w:rsidR="00D91077" w:rsidRPr="009F31BC" w:rsidRDefault="00D91077">
      <w:pPr>
        <w:rPr>
          <w:rFonts w:asciiTheme="majorBidi" w:hAnsiTheme="majorBidi" w:cstheme="majorBidi"/>
        </w:rPr>
      </w:pPr>
    </w:p>
    <w:sectPr w:rsidR="00D91077" w:rsidRPr="009F31BC" w:rsidSect="00411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75390"/>
    <w:multiLevelType w:val="hybridMultilevel"/>
    <w:tmpl w:val="27684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C5164"/>
    <w:multiLevelType w:val="multilevel"/>
    <w:tmpl w:val="60C03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054626"/>
    <w:multiLevelType w:val="multilevel"/>
    <w:tmpl w:val="D3D2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586C65"/>
    <w:multiLevelType w:val="multilevel"/>
    <w:tmpl w:val="4D24B1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>
    <w:nsid w:val="4C824B43"/>
    <w:multiLevelType w:val="multilevel"/>
    <w:tmpl w:val="3EB6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4702F9"/>
    <w:multiLevelType w:val="multilevel"/>
    <w:tmpl w:val="95F0A9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D91077"/>
    <w:rsid w:val="00000B05"/>
    <w:rsid w:val="00007F9B"/>
    <w:rsid w:val="00024515"/>
    <w:rsid w:val="0002471A"/>
    <w:rsid w:val="00025B55"/>
    <w:rsid w:val="000351C3"/>
    <w:rsid w:val="0003637E"/>
    <w:rsid w:val="00040AED"/>
    <w:rsid w:val="00042120"/>
    <w:rsid w:val="000427CD"/>
    <w:rsid w:val="0005319D"/>
    <w:rsid w:val="000552B1"/>
    <w:rsid w:val="000701BD"/>
    <w:rsid w:val="000710B0"/>
    <w:rsid w:val="00072009"/>
    <w:rsid w:val="00075873"/>
    <w:rsid w:val="00084B79"/>
    <w:rsid w:val="00093DF6"/>
    <w:rsid w:val="000942F4"/>
    <w:rsid w:val="00096267"/>
    <w:rsid w:val="000973EC"/>
    <w:rsid w:val="000A2ACE"/>
    <w:rsid w:val="000A2F15"/>
    <w:rsid w:val="000A6039"/>
    <w:rsid w:val="000C626B"/>
    <w:rsid w:val="000D0A19"/>
    <w:rsid w:val="000D1264"/>
    <w:rsid w:val="000D1CBB"/>
    <w:rsid w:val="000D7486"/>
    <w:rsid w:val="000E01C8"/>
    <w:rsid w:val="000E3C56"/>
    <w:rsid w:val="000E44B3"/>
    <w:rsid w:val="000E5736"/>
    <w:rsid w:val="0010762F"/>
    <w:rsid w:val="00107AD7"/>
    <w:rsid w:val="0011077B"/>
    <w:rsid w:val="001113A1"/>
    <w:rsid w:val="001175E6"/>
    <w:rsid w:val="001311E6"/>
    <w:rsid w:val="0013463B"/>
    <w:rsid w:val="0013729F"/>
    <w:rsid w:val="00137C6A"/>
    <w:rsid w:val="001416E8"/>
    <w:rsid w:val="00142171"/>
    <w:rsid w:val="00143D24"/>
    <w:rsid w:val="00157F7E"/>
    <w:rsid w:val="00161AE9"/>
    <w:rsid w:val="00163132"/>
    <w:rsid w:val="0016314C"/>
    <w:rsid w:val="001653A0"/>
    <w:rsid w:val="00175CA3"/>
    <w:rsid w:val="00177B5A"/>
    <w:rsid w:val="00180795"/>
    <w:rsid w:val="00183755"/>
    <w:rsid w:val="00187DAA"/>
    <w:rsid w:val="00194CE1"/>
    <w:rsid w:val="001A38CD"/>
    <w:rsid w:val="001B0977"/>
    <w:rsid w:val="001C7F3A"/>
    <w:rsid w:val="001D127F"/>
    <w:rsid w:val="001D74BC"/>
    <w:rsid w:val="001E1B53"/>
    <w:rsid w:val="001E3236"/>
    <w:rsid w:val="001F12D9"/>
    <w:rsid w:val="00212274"/>
    <w:rsid w:val="0022092C"/>
    <w:rsid w:val="002273B9"/>
    <w:rsid w:val="002303CF"/>
    <w:rsid w:val="00233C75"/>
    <w:rsid w:val="00234466"/>
    <w:rsid w:val="002419F4"/>
    <w:rsid w:val="00242732"/>
    <w:rsid w:val="00242D85"/>
    <w:rsid w:val="00242FBA"/>
    <w:rsid w:val="002568B5"/>
    <w:rsid w:val="002579A7"/>
    <w:rsid w:val="00257FFE"/>
    <w:rsid w:val="00264CDA"/>
    <w:rsid w:val="0027005D"/>
    <w:rsid w:val="002770EA"/>
    <w:rsid w:val="002820E0"/>
    <w:rsid w:val="0028234F"/>
    <w:rsid w:val="00282A82"/>
    <w:rsid w:val="00282F90"/>
    <w:rsid w:val="002946A2"/>
    <w:rsid w:val="00295966"/>
    <w:rsid w:val="002B72D6"/>
    <w:rsid w:val="002C3650"/>
    <w:rsid w:val="002D33A4"/>
    <w:rsid w:val="002F1BEE"/>
    <w:rsid w:val="002F302D"/>
    <w:rsid w:val="002F7E0D"/>
    <w:rsid w:val="0030372E"/>
    <w:rsid w:val="00304728"/>
    <w:rsid w:val="00310CA5"/>
    <w:rsid w:val="00312D1F"/>
    <w:rsid w:val="00320B55"/>
    <w:rsid w:val="00321308"/>
    <w:rsid w:val="00323926"/>
    <w:rsid w:val="00323B69"/>
    <w:rsid w:val="00324043"/>
    <w:rsid w:val="00341776"/>
    <w:rsid w:val="0034670F"/>
    <w:rsid w:val="0034792A"/>
    <w:rsid w:val="0035069D"/>
    <w:rsid w:val="00353F8B"/>
    <w:rsid w:val="003574D1"/>
    <w:rsid w:val="00360D48"/>
    <w:rsid w:val="00361747"/>
    <w:rsid w:val="003904B3"/>
    <w:rsid w:val="003942F8"/>
    <w:rsid w:val="003A0006"/>
    <w:rsid w:val="003A3233"/>
    <w:rsid w:val="003A5E75"/>
    <w:rsid w:val="003A6DC8"/>
    <w:rsid w:val="003B465B"/>
    <w:rsid w:val="003B4FF1"/>
    <w:rsid w:val="003B5BD5"/>
    <w:rsid w:val="003B5D74"/>
    <w:rsid w:val="003D578B"/>
    <w:rsid w:val="003D71F5"/>
    <w:rsid w:val="003D7A97"/>
    <w:rsid w:val="003E14A3"/>
    <w:rsid w:val="003E5E93"/>
    <w:rsid w:val="003F6BCB"/>
    <w:rsid w:val="003F7394"/>
    <w:rsid w:val="0040392A"/>
    <w:rsid w:val="00410406"/>
    <w:rsid w:val="004105D5"/>
    <w:rsid w:val="004110C9"/>
    <w:rsid w:val="00417BBE"/>
    <w:rsid w:val="004238B0"/>
    <w:rsid w:val="004242B4"/>
    <w:rsid w:val="0042770D"/>
    <w:rsid w:val="004303FC"/>
    <w:rsid w:val="0043275E"/>
    <w:rsid w:val="00433056"/>
    <w:rsid w:val="004342C4"/>
    <w:rsid w:val="00450088"/>
    <w:rsid w:val="004504ED"/>
    <w:rsid w:val="004564B6"/>
    <w:rsid w:val="00457C8E"/>
    <w:rsid w:val="00466F96"/>
    <w:rsid w:val="00467EDB"/>
    <w:rsid w:val="00484EDF"/>
    <w:rsid w:val="0048791F"/>
    <w:rsid w:val="004907EB"/>
    <w:rsid w:val="00491EF0"/>
    <w:rsid w:val="00492CD3"/>
    <w:rsid w:val="00494585"/>
    <w:rsid w:val="00494F3F"/>
    <w:rsid w:val="00495ACF"/>
    <w:rsid w:val="004A27FB"/>
    <w:rsid w:val="004A4049"/>
    <w:rsid w:val="004A7A16"/>
    <w:rsid w:val="004B10F4"/>
    <w:rsid w:val="004B2BD0"/>
    <w:rsid w:val="004B49AD"/>
    <w:rsid w:val="004B6867"/>
    <w:rsid w:val="004C19E1"/>
    <w:rsid w:val="004C3568"/>
    <w:rsid w:val="004D2B4B"/>
    <w:rsid w:val="004E1D5A"/>
    <w:rsid w:val="004F09A8"/>
    <w:rsid w:val="005021D3"/>
    <w:rsid w:val="005122E9"/>
    <w:rsid w:val="00525B46"/>
    <w:rsid w:val="005274A2"/>
    <w:rsid w:val="00527647"/>
    <w:rsid w:val="005441C1"/>
    <w:rsid w:val="00547DF7"/>
    <w:rsid w:val="00554DF1"/>
    <w:rsid w:val="00561CB3"/>
    <w:rsid w:val="00565383"/>
    <w:rsid w:val="005653DD"/>
    <w:rsid w:val="00574A6A"/>
    <w:rsid w:val="00586142"/>
    <w:rsid w:val="0058757C"/>
    <w:rsid w:val="00597491"/>
    <w:rsid w:val="005A1BF3"/>
    <w:rsid w:val="005A34C8"/>
    <w:rsid w:val="005B1AF0"/>
    <w:rsid w:val="005B5A5F"/>
    <w:rsid w:val="005C0533"/>
    <w:rsid w:val="005D64E7"/>
    <w:rsid w:val="005E1711"/>
    <w:rsid w:val="005E196B"/>
    <w:rsid w:val="005E4DD3"/>
    <w:rsid w:val="005F01F3"/>
    <w:rsid w:val="005F4090"/>
    <w:rsid w:val="005F4F4E"/>
    <w:rsid w:val="005F75F8"/>
    <w:rsid w:val="0060418C"/>
    <w:rsid w:val="00604E16"/>
    <w:rsid w:val="0060558F"/>
    <w:rsid w:val="006159A2"/>
    <w:rsid w:val="00624F63"/>
    <w:rsid w:val="00630B2A"/>
    <w:rsid w:val="00630E78"/>
    <w:rsid w:val="006417AA"/>
    <w:rsid w:val="0064703C"/>
    <w:rsid w:val="006604DA"/>
    <w:rsid w:val="00660998"/>
    <w:rsid w:val="00673C17"/>
    <w:rsid w:val="00681542"/>
    <w:rsid w:val="00683478"/>
    <w:rsid w:val="006840C5"/>
    <w:rsid w:val="00690801"/>
    <w:rsid w:val="00692A8F"/>
    <w:rsid w:val="0069492C"/>
    <w:rsid w:val="0069671F"/>
    <w:rsid w:val="00697BD9"/>
    <w:rsid w:val="006A01CC"/>
    <w:rsid w:val="006A0A27"/>
    <w:rsid w:val="006A27F5"/>
    <w:rsid w:val="006B41D5"/>
    <w:rsid w:val="006B4BB7"/>
    <w:rsid w:val="006B4BFE"/>
    <w:rsid w:val="006C0703"/>
    <w:rsid w:val="006D3D18"/>
    <w:rsid w:val="006D5CBA"/>
    <w:rsid w:val="006E72E0"/>
    <w:rsid w:val="006F198F"/>
    <w:rsid w:val="006F5023"/>
    <w:rsid w:val="00700506"/>
    <w:rsid w:val="007051B0"/>
    <w:rsid w:val="00705BCD"/>
    <w:rsid w:val="00710884"/>
    <w:rsid w:val="00710D2B"/>
    <w:rsid w:val="007141A7"/>
    <w:rsid w:val="0071695F"/>
    <w:rsid w:val="00716D1E"/>
    <w:rsid w:val="00720ADA"/>
    <w:rsid w:val="0072559D"/>
    <w:rsid w:val="00726DB3"/>
    <w:rsid w:val="0073059E"/>
    <w:rsid w:val="007427DA"/>
    <w:rsid w:val="00745A13"/>
    <w:rsid w:val="00755720"/>
    <w:rsid w:val="00756F77"/>
    <w:rsid w:val="0076099C"/>
    <w:rsid w:val="00766E35"/>
    <w:rsid w:val="00775EB4"/>
    <w:rsid w:val="007836EC"/>
    <w:rsid w:val="00785C14"/>
    <w:rsid w:val="0079277E"/>
    <w:rsid w:val="00794653"/>
    <w:rsid w:val="007A086D"/>
    <w:rsid w:val="007A2A80"/>
    <w:rsid w:val="007A56F4"/>
    <w:rsid w:val="007B0A2E"/>
    <w:rsid w:val="007B228A"/>
    <w:rsid w:val="007B24A0"/>
    <w:rsid w:val="007B2577"/>
    <w:rsid w:val="007C2C6A"/>
    <w:rsid w:val="007C56B9"/>
    <w:rsid w:val="007E1E39"/>
    <w:rsid w:val="007E362B"/>
    <w:rsid w:val="007F1AFB"/>
    <w:rsid w:val="007F4026"/>
    <w:rsid w:val="007F4042"/>
    <w:rsid w:val="00802DBD"/>
    <w:rsid w:val="0081191B"/>
    <w:rsid w:val="00811A15"/>
    <w:rsid w:val="00821C89"/>
    <w:rsid w:val="008260B8"/>
    <w:rsid w:val="0083729F"/>
    <w:rsid w:val="00844C60"/>
    <w:rsid w:val="00846200"/>
    <w:rsid w:val="008549E8"/>
    <w:rsid w:val="008574BF"/>
    <w:rsid w:val="00860538"/>
    <w:rsid w:val="00877A17"/>
    <w:rsid w:val="00884BD0"/>
    <w:rsid w:val="00885338"/>
    <w:rsid w:val="0089549A"/>
    <w:rsid w:val="00895F22"/>
    <w:rsid w:val="008B1174"/>
    <w:rsid w:val="008B31F7"/>
    <w:rsid w:val="008B5B13"/>
    <w:rsid w:val="008B6C31"/>
    <w:rsid w:val="008D0C7D"/>
    <w:rsid w:val="008D3E13"/>
    <w:rsid w:val="008F4349"/>
    <w:rsid w:val="00901AAA"/>
    <w:rsid w:val="00902363"/>
    <w:rsid w:val="00905F38"/>
    <w:rsid w:val="00910D74"/>
    <w:rsid w:val="009150D6"/>
    <w:rsid w:val="009215BC"/>
    <w:rsid w:val="00930082"/>
    <w:rsid w:val="0093357F"/>
    <w:rsid w:val="00945975"/>
    <w:rsid w:val="00954FC2"/>
    <w:rsid w:val="00957801"/>
    <w:rsid w:val="00964AC1"/>
    <w:rsid w:val="00972E83"/>
    <w:rsid w:val="00982BD2"/>
    <w:rsid w:val="009833EB"/>
    <w:rsid w:val="00993252"/>
    <w:rsid w:val="00994160"/>
    <w:rsid w:val="00997B60"/>
    <w:rsid w:val="009A7D7C"/>
    <w:rsid w:val="009B06DA"/>
    <w:rsid w:val="009B3258"/>
    <w:rsid w:val="009C1449"/>
    <w:rsid w:val="009C2EA3"/>
    <w:rsid w:val="009D1760"/>
    <w:rsid w:val="009D3A50"/>
    <w:rsid w:val="009D4867"/>
    <w:rsid w:val="009F101E"/>
    <w:rsid w:val="009F31BC"/>
    <w:rsid w:val="009F7111"/>
    <w:rsid w:val="00A00C68"/>
    <w:rsid w:val="00A027E1"/>
    <w:rsid w:val="00A12586"/>
    <w:rsid w:val="00A147F1"/>
    <w:rsid w:val="00A166AE"/>
    <w:rsid w:val="00A257EE"/>
    <w:rsid w:val="00A42043"/>
    <w:rsid w:val="00A425A8"/>
    <w:rsid w:val="00A43EA5"/>
    <w:rsid w:val="00A45EB7"/>
    <w:rsid w:val="00A46070"/>
    <w:rsid w:val="00A47029"/>
    <w:rsid w:val="00A47CEE"/>
    <w:rsid w:val="00A53527"/>
    <w:rsid w:val="00A53991"/>
    <w:rsid w:val="00A54DCE"/>
    <w:rsid w:val="00A56BB3"/>
    <w:rsid w:val="00A6339A"/>
    <w:rsid w:val="00A6760B"/>
    <w:rsid w:val="00A67ECF"/>
    <w:rsid w:val="00A71834"/>
    <w:rsid w:val="00A77FAA"/>
    <w:rsid w:val="00A9461F"/>
    <w:rsid w:val="00A97A6A"/>
    <w:rsid w:val="00AA1126"/>
    <w:rsid w:val="00AA3406"/>
    <w:rsid w:val="00AA460C"/>
    <w:rsid w:val="00AA69AA"/>
    <w:rsid w:val="00AB7558"/>
    <w:rsid w:val="00AC6950"/>
    <w:rsid w:val="00AD3B07"/>
    <w:rsid w:val="00AD75A9"/>
    <w:rsid w:val="00AF1611"/>
    <w:rsid w:val="00AF1EE9"/>
    <w:rsid w:val="00AF616F"/>
    <w:rsid w:val="00B0032F"/>
    <w:rsid w:val="00B053B6"/>
    <w:rsid w:val="00B05B66"/>
    <w:rsid w:val="00B07672"/>
    <w:rsid w:val="00B07A04"/>
    <w:rsid w:val="00B10E0B"/>
    <w:rsid w:val="00B143AA"/>
    <w:rsid w:val="00B40FC7"/>
    <w:rsid w:val="00B42855"/>
    <w:rsid w:val="00B46E9D"/>
    <w:rsid w:val="00B558AE"/>
    <w:rsid w:val="00B56519"/>
    <w:rsid w:val="00B6015A"/>
    <w:rsid w:val="00B62727"/>
    <w:rsid w:val="00B638B5"/>
    <w:rsid w:val="00B649F6"/>
    <w:rsid w:val="00B65834"/>
    <w:rsid w:val="00B66AEC"/>
    <w:rsid w:val="00B74B9C"/>
    <w:rsid w:val="00B75B5B"/>
    <w:rsid w:val="00B844B6"/>
    <w:rsid w:val="00B9381F"/>
    <w:rsid w:val="00B972B3"/>
    <w:rsid w:val="00BA66D8"/>
    <w:rsid w:val="00BC3674"/>
    <w:rsid w:val="00BC60CA"/>
    <w:rsid w:val="00BD6B1D"/>
    <w:rsid w:val="00BE0EFC"/>
    <w:rsid w:val="00BF1468"/>
    <w:rsid w:val="00BF1FB9"/>
    <w:rsid w:val="00BF3372"/>
    <w:rsid w:val="00BF621A"/>
    <w:rsid w:val="00BF6F27"/>
    <w:rsid w:val="00BF7CD6"/>
    <w:rsid w:val="00C12F65"/>
    <w:rsid w:val="00C20501"/>
    <w:rsid w:val="00C21BC0"/>
    <w:rsid w:val="00C22CFF"/>
    <w:rsid w:val="00C24C33"/>
    <w:rsid w:val="00C24DFC"/>
    <w:rsid w:val="00C265C5"/>
    <w:rsid w:val="00C31683"/>
    <w:rsid w:val="00C40649"/>
    <w:rsid w:val="00C429DA"/>
    <w:rsid w:val="00C52978"/>
    <w:rsid w:val="00C72BF5"/>
    <w:rsid w:val="00C77F0F"/>
    <w:rsid w:val="00C805D0"/>
    <w:rsid w:val="00C90D05"/>
    <w:rsid w:val="00C96725"/>
    <w:rsid w:val="00CA1B94"/>
    <w:rsid w:val="00CA5722"/>
    <w:rsid w:val="00CC1C29"/>
    <w:rsid w:val="00CC2CCD"/>
    <w:rsid w:val="00CC41EC"/>
    <w:rsid w:val="00CC49CE"/>
    <w:rsid w:val="00CC5B15"/>
    <w:rsid w:val="00CD74A4"/>
    <w:rsid w:val="00CD7F25"/>
    <w:rsid w:val="00CE3C04"/>
    <w:rsid w:val="00CE40F9"/>
    <w:rsid w:val="00CF21EF"/>
    <w:rsid w:val="00D025BA"/>
    <w:rsid w:val="00D1158B"/>
    <w:rsid w:val="00D12C2C"/>
    <w:rsid w:val="00D13E26"/>
    <w:rsid w:val="00D15CE4"/>
    <w:rsid w:val="00D1793C"/>
    <w:rsid w:val="00D17EB0"/>
    <w:rsid w:val="00D2749F"/>
    <w:rsid w:val="00D308B2"/>
    <w:rsid w:val="00D30B47"/>
    <w:rsid w:val="00D33387"/>
    <w:rsid w:val="00D376EC"/>
    <w:rsid w:val="00D429AF"/>
    <w:rsid w:val="00D460DA"/>
    <w:rsid w:val="00D471DC"/>
    <w:rsid w:val="00D60E99"/>
    <w:rsid w:val="00D63D62"/>
    <w:rsid w:val="00D71E7D"/>
    <w:rsid w:val="00D72BFE"/>
    <w:rsid w:val="00D72DB5"/>
    <w:rsid w:val="00D76BC4"/>
    <w:rsid w:val="00D842BC"/>
    <w:rsid w:val="00D90C2B"/>
    <w:rsid w:val="00D91077"/>
    <w:rsid w:val="00D93DE4"/>
    <w:rsid w:val="00DA706C"/>
    <w:rsid w:val="00DB1BA9"/>
    <w:rsid w:val="00DB51E8"/>
    <w:rsid w:val="00DB6593"/>
    <w:rsid w:val="00DC3C3F"/>
    <w:rsid w:val="00DC6377"/>
    <w:rsid w:val="00DD6BA8"/>
    <w:rsid w:val="00DF51BC"/>
    <w:rsid w:val="00E10E04"/>
    <w:rsid w:val="00E2349A"/>
    <w:rsid w:val="00E25E88"/>
    <w:rsid w:val="00E30091"/>
    <w:rsid w:val="00E36E20"/>
    <w:rsid w:val="00E44387"/>
    <w:rsid w:val="00E53849"/>
    <w:rsid w:val="00E54E44"/>
    <w:rsid w:val="00E60FAB"/>
    <w:rsid w:val="00E67F9F"/>
    <w:rsid w:val="00E70986"/>
    <w:rsid w:val="00E72AFB"/>
    <w:rsid w:val="00E73817"/>
    <w:rsid w:val="00E75DF8"/>
    <w:rsid w:val="00E76E7C"/>
    <w:rsid w:val="00E76FF4"/>
    <w:rsid w:val="00E77401"/>
    <w:rsid w:val="00E77D6C"/>
    <w:rsid w:val="00E81B45"/>
    <w:rsid w:val="00E824A7"/>
    <w:rsid w:val="00E83EA9"/>
    <w:rsid w:val="00E84C56"/>
    <w:rsid w:val="00E85821"/>
    <w:rsid w:val="00E85A6B"/>
    <w:rsid w:val="00E907B0"/>
    <w:rsid w:val="00E93906"/>
    <w:rsid w:val="00EA2BBE"/>
    <w:rsid w:val="00EB6531"/>
    <w:rsid w:val="00EC4E90"/>
    <w:rsid w:val="00EC6C15"/>
    <w:rsid w:val="00EC7F0B"/>
    <w:rsid w:val="00ED1437"/>
    <w:rsid w:val="00ED2F4A"/>
    <w:rsid w:val="00ED3124"/>
    <w:rsid w:val="00ED3BA1"/>
    <w:rsid w:val="00ED5A17"/>
    <w:rsid w:val="00EE7907"/>
    <w:rsid w:val="00F01327"/>
    <w:rsid w:val="00F05AC4"/>
    <w:rsid w:val="00F13B0D"/>
    <w:rsid w:val="00F2018C"/>
    <w:rsid w:val="00F20A21"/>
    <w:rsid w:val="00F36225"/>
    <w:rsid w:val="00F46F9F"/>
    <w:rsid w:val="00F53335"/>
    <w:rsid w:val="00F54495"/>
    <w:rsid w:val="00F65CFE"/>
    <w:rsid w:val="00F66EDC"/>
    <w:rsid w:val="00F67A91"/>
    <w:rsid w:val="00F7231F"/>
    <w:rsid w:val="00F72437"/>
    <w:rsid w:val="00F862E3"/>
    <w:rsid w:val="00F87B65"/>
    <w:rsid w:val="00F921F2"/>
    <w:rsid w:val="00FA0C63"/>
    <w:rsid w:val="00FA1768"/>
    <w:rsid w:val="00FA4873"/>
    <w:rsid w:val="00FA7435"/>
    <w:rsid w:val="00FB55C5"/>
    <w:rsid w:val="00FD3F9E"/>
    <w:rsid w:val="00FD483F"/>
    <w:rsid w:val="00FE75B2"/>
    <w:rsid w:val="00FF2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4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0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91077"/>
    <w:rPr>
      <w:color w:val="0000FF" w:themeColor="hyperlink"/>
      <w:u w:val="single"/>
    </w:rPr>
  </w:style>
  <w:style w:type="paragraph" w:customStyle="1" w:styleId="indent">
    <w:name w:val="indent"/>
    <w:basedOn w:val="Normal"/>
    <w:rsid w:val="00D9107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mti-12">
    <w:name w:val="cmti-12"/>
    <w:basedOn w:val="Policepardfaut"/>
    <w:rsid w:val="00D91077"/>
  </w:style>
  <w:style w:type="paragraph" w:styleId="Textedebulles">
    <w:name w:val="Balloon Text"/>
    <w:basedOn w:val="Normal"/>
    <w:link w:val="TextedebullesCar"/>
    <w:uiPriority w:val="99"/>
    <w:semiHidden/>
    <w:unhideWhenUsed/>
    <w:rsid w:val="00D9107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1077"/>
    <w:rPr>
      <w:rFonts w:ascii="Tahoma" w:hAnsi="Tahoma" w:cs="Tahoma"/>
      <w:sz w:val="16"/>
      <w:szCs w:val="16"/>
    </w:rPr>
  </w:style>
  <w:style w:type="character" w:customStyle="1" w:styleId="mwe-math-mathml-inline">
    <w:name w:val="mwe-math-mathml-inline"/>
    <w:basedOn w:val="Policepardfaut"/>
    <w:rsid w:val="0073059E"/>
  </w:style>
  <w:style w:type="paragraph" w:styleId="NormalWeb">
    <w:name w:val="Normal (Web)"/>
    <w:basedOn w:val="Normal"/>
    <w:uiPriority w:val="99"/>
    <w:semiHidden/>
    <w:unhideWhenUsed/>
    <w:rsid w:val="0073059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7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</dc:creator>
  <cp:lastModifiedBy>SOS</cp:lastModifiedBy>
  <cp:revision>2</cp:revision>
  <dcterms:created xsi:type="dcterms:W3CDTF">2022-05-15T03:19:00Z</dcterms:created>
  <dcterms:modified xsi:type="dcterms:W3CDTF">2022-05-15T03:56:00Z</dcterms:modified>
</cp:coreProperties>
</file>