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39" w:rsidRDefault="00637739" w:rsidP="00637739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6-1-3- تكاليف الفشل: </w:t>
      </w:r>
      <w:r w:rsidRPr="00241F1A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أو عدم التطابق وتشير إلى الفرق ما بين التكاليف الحقيقية لإنتاج سلعة / تقديم خدمة وبين التكاليف في حال عدم وجود أي إخفاقات وتنقسم إلى: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bookmarkStart w:id="0" w:name="_Hlk42796186"/>
      <w:r w:rsidRPr="00E623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6-1-3-1</w:t>
      </w:r>
      <w:bookmarkEnd w:id="0"/>
      <w:r w:rsidRPr="00E623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- تكاليف الفشل الداخلي: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وتكتشف قبل إرسال المنتج/ تقديم الخدمة للمستهلك النهائي ومنها:</w:t>
      </w:r>
    </w:p>
    <w:p w:rsidR="00637739" w:rsidRPr="0097202C" w:rsidRDefault="00637739" w:rsidP="00637739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E623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6-1-3-1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-1- تكلفة التالف: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النفقات المتعلقة بالمنتجات الرديئة التي لا يمكن إصلاحها، ويتم الكشف عنها من خلال العمليات الإنتاجية.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623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6-1-3-1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-2- تكلفة إعادة العمل: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وتتعلق بإعادة إصلاح أو تثبيت المنتجات المعابة.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623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6-1-3-1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-3- تكلفة فشل العملية: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وتنشأ عن فعالية تحديد المسببات المؤدية إلى تدني مخرجات العملية الإنتاجية.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623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6-1-3-1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-4- تكلفة توقف العملية الإنتاجية: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النفقات الموجهة إلى إصلاح المعدات الإنتاجية أو ضبطها أو تغييرها أو تغيير الفرد العامل أو تدريبه.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623DF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6-1-3-1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-5- تكاليف خفض سعر البيع: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وتنشأ عن بيع المنتج المعاب بأقل من سعر بيع المنتجات ذات الجودة.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6-1-3-2- تكاليف الفشل الخارجي: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وتنشأ عند استلام المستهلك للمنتج غير المطابق للمواصفات المطلوبة ومنها: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6</w:t>
      </w:r>
      <w:bookmarkStart w:id="1" w:name="_Hlk42793913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-1-3-2-1- </w:t>
      </w:r>
      <w:bookmarkEnd w:id="1"/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تكاليف شكاوي العملاء: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ناجمة عن البحث والاستجابة المرضية لاعتراضات وشكاوي المستهلك.</w:t>
      </w:r>
    </w:p>
    <w:p w:rsidR="00637739" w:rsidRDefault="00637739" w:rsidP="00637739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6-1-3-2-2- تكاليف إعادة المنتج: </w:t>
      </w:r>
      <w:r w:rsidRPr="00460C4F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وتنشأ عن عمليات نقل أو مناولة المنتج ذو الجودة المتدنية الذي تم ارجاعه من قبل المستهلك بغرض الاستبدال.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6-1-3-2-3- تكاليف دعاوي الضمان: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التكاليف المتعلقة بالضمانات على المنتجات والمترتبة عن إصابة المستهلك بأضرار نتيجة رداءة جودة المنتج.</w:t>
      </w:r>
    </w:p>
    <w:p w:rsid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6-1-3-2-4- تكاليف المسائلة القانونية عن المنتج: </w:t>
      </w:r>
      <w:r w:rsidRPr="0097202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تكاليف المقاضاة الناجمة عن المسؤولية عن المنتجات وإيذاء المستهلك.</w:t>
      </w:r>
    </w:p>
    <w:p w:rsidR="00637739" w:rsidRDefault="00637739" w:rsidP="00637739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lastRenderedPageBreak/>
        <w:t xml:space="preserve">6-1-3-2-5- تكاليف فقدان المبيعات: </w:t>
      </w:r>
      <w:r w:rsidRPr="00CB23CD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وهي ناجمة عن عدم رضا العملاء عن جودة المنتج وعزوفه عن شرائه والتحول إلى شراء المنتج من شركات أخرى.</w:t>
      </w:r>
    </w:p>
    <w:p w:rsidR="00637739" w:rsidRDefault="00637739" w:rsidP="00637739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    وتحسب تكاليف الجودة المباشرة بالعلاقة التالية:</w:t>
      </w:r>
    </w:p>
    <w:p w:rsidR="00637739" w:rsidRDefault="00637739" w:rsidP="00637739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التكلفة الكلية المباشرة للجودة = تكلفة الضبط + تكلفة الفشل = تكلفة الوقاية + تكلفة التفتيش والتقييم + ( تكلفة الفشل الداخلي + تكلفة الفشل الخارجي )</w:t>
      </w:r>
    </w:p>
    <w:p w:rsidR="00637739" w:rsidRDefault="00637739" w:rsidP="00637739">
      <w:pPr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TQDC = CC+FC = (PC + AC ) + (IFC + EFC )</w:t>
      </w:r>
    </w:p>
    <w:p w:rsidR="00637739" w:rsidRPr="0046223C" w:rsidRDefault="00637739" w:rsidP="00637739">
      <w:pPr>
        <w:bidi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46223C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حيث:</w:t>
      </w:r>
    </w:p>
    <w:p w:rsidR="00637739" w:rsidRDefault="00637739" w:rsidP="00637739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TQDC : </w:t>
      </w:r>
      <w:r w:rsidRPr="00E00747">
        <w:rPr>
          <w:rFonts w:ascii="Traditional Arabic" w:hAnsi="Traditional Arabic" w:cs="Traditional Arabic"/>
          <w:sz w:val="32"/>
          <w:szCs w:val="32"/>
          <w:lang w:bidi="ar-DZ"/>
        </w:rPr>
        <w:t>Total Quality direct cost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التكاليف الكلية المباشرة </w:t>
      </w:r>
    </w:p>
    <w:p w:rsidR="00637739" w:rsidRPr="00E00747" w:rsidRDefault="00637739" w:rsidP="00637739">
      <w:pPr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CC </w:t>
      </w:r>
      <w:r w:rsidRPr="00E00747">
        <w:rPr>
          <w:rFonts w:ascii="Traditional Arabic" w:hAnsi="Traditional Arabic" w:cs="Traditional Arabic"/>
          <w:sz w:val="32"/>
          <w:szCs w:val="32"/>
          <w:lang w:bidi="ar-DZ"/>
        </w:rPr>
        <w:t>: Control costs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تكاليف التفتيش </w:t>
      </w:r>
    </w:p>
    <w:p w:rsidR="00637739" w:rsidRPr="00E00747" w:rsidRDefault="00637739" w:rsidP="00637739">
      <w:pPr>
        <w:rPr>
          <w:rFonts w:ascii="Traditional Arabic" w:hAnsi="Traditional Arabic" w:cs="Traditional Arabic"/>
          <w:sz w:val="32"/>
          <w:szCs w:val="32"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>FC </w:t>
      </w:r>
      <w:r w:rsidRPr="00E00747">
        <w:rPr>
          <w:rFonts w:ascii="Traditional Arabic" w:hAnsi="Traditional Arabic" w:cs="Traditional Arabic"/>
          <w:sz w:val="32"/>
          <w:szCs w:val="32"/>
          <w:lang w:bidi="ar-DZ"/>
        </w:rPr>
        <w:t>: Failure costs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تكاليف الفشل </w:t>
      </w:r>
    </w:p>
    <w:p w:rsidR="00637739" w:rsidRDefault="00637739" w:rsidP="00637739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32"/>
          <w:szCs w:val="32"/>
          <w:lang w:bidi="ar-DZ"/>
        </w:rPr>
        <w:t xml:space="preserve">PC : </w:t>
      </w:r>
      <w:r w:rsidRPr="00E00747">
        <w:rPr>
          <w:rFonts w:ascii="Traditional Arabic" w:hAnsi="Traditional Arabic" w:cs="Traditional Arabic"/>
          <w:sz w:val="32"/>
          <w:szCs w:val="32"/>
          <w:lang w:bidi="ar-DZ"/>
        </w:rPr>
        <w:t>Prevention costs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تكاليف الوقاية  </w:t>
      </w:r>
    </w:p>
    <w:p w:rsidR="00637739" w:rsidRDefault="00637739" w:rsidP="00637739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 xml:space="preserve">AC : </w:t>
      </w:r>
      <w:r w:rsidRPr="0097202C">
        <w:rPr>
          <w:rFonts w:ascii="Traditional Arabic" w:hAnsi="Traditional Arabic" w:cs="Traditional Arabic"/>
          <w:sz w:val="32"/>
          <w:szCs w:val="32"/>
          <w:lang w:bidi="ar-DZ"/>
        </w:rPr>
        <w:t>Appraisalcosts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 تكاليف التفتيش والتقييم </w:t>
      </w:r>
    </w:p>
    <w:p w:rsidR="00637739" w:rsidRDefault="00637739" w:rsidP="00637739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IFC : Internalfailurecosts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تكاليف الفشل الداخلي</w:t>
      </w:r>
    </w:p>
    <w:p w:rsidR="00637739" w:rsidRDefault="00637739" w:rsidP="00637739">
      <w:pPr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Traditional Arabic" w:hAnsi="Traditional Arabic" w:cs="Traditional Arabic"/>
          <w:sz w:val="32"/>
          <w:szCs w:val="32"/>
          <w:lang w:bidi="ar-DZ"/>
        </w:rPr>
        <w:t>EFC : Externalfailurecosts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تكاليف الفشل الخارجي </w:t>
      </w:r>
    </w:p>
    <w:p w:rsidR="005C4497" w:rsidRPr="00637739" w:rsidRDefault="00637739" w:rsidP="00637739">
      <w:pPr>
        <w:bidi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6-2- </w:t>
      </w:r>
      <w:r w:rsidRPr="00637739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التكاليف غير المباشرة: </w:t>
      </w:r>
      <w:r w:rsidRPr="00637739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وتشمل التكاليف غير الملموسة مثل تكلفة فقدان السمعة، عدم رضا الزبون، معاناة الزبون</w:t>
      </w:r>
    </w:p>
    <w:sectPr w:rsidR="005C4497" w:rsidRPr="00637739" w:rsidSect="00A66E88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981" w:rsidRDefault="005C6981" w:rsidP="00637739">
      <w:pPr>
        <w:spacing w:after="0" w:line="240" w:lineRule="auto"/>
      </w:pPr>
      <w:r>
        <w:separator/>
      </w:r>
    </w:p>
  </w:endnote>
  <w:endnote w:type="continuationSeparator" w:id="1">
    <w:p w:rsidR="005C6981" w:rsidRDefault="005C6981" w:rsidP="00637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4525139"/>
      <w:docPartObj>
        <w:docPartGallery w:val="Page Numbers (Bottom of Page)"/>
        <w:docPartUnique/>
      </w:docPartObj>
    </w:sdtPr>
    <w:sdtContent>
      <w:p w:rsidR="00637739" w:rsidRDefault="00A66E88">
        <w:pPr>
          <w:pStyle w:val="Pieddepage"/>
        </w:pPr>
        <w:r>
          <w:rPr>
            <w:noProof/>
          </w:rPr>
          <w:pict>
            <v:group id="Groupe 1" o:spid="_x0000_s4097" style="position:absolute;margin-left:0;margin-top:0;width:33pt;height:25.35pt;z-index:251659264;mso-position-horizontal:center;mso-position-horizontal-relative:margin;mso-position-vertical:center;mso-position-vertical-relative:bottom-margin-area" coordorigin="1731,14550" coordsize="660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" o:allowincell="f"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88" o:spid="_x0000_s4103" type="#_x0000_t4" style="position:absolute;left:1793;top:14550;width:536;height:5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" filled="f" strokecolor="#a5a5a5"/>
              <v:rect id="Rectangle 89" o:spid="_x0000_s4102" style="position:absolute;left:1848;top:14616;width:427;height:37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" filled="f" strokecolor="#a5a5a5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4101" type="#_x0000_t202" style="position:absolute;left:1731;top:14639;width:660;height: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" filled="f" stroked="f">
                <v:textbox inset="0,2.16pt,0,0">
                  <w:txbxContent>
                    <w:p w:rsidR="00637739" w:rsidRDefault="00A66E88">
                      <w:pPr>
                        <w:spacing w:after="0" w:line="240" w:lineRule="auto"/>
                        <w:jc w:val="center"/>
                        <w:rPr>
                          <w:color w:val="323E4F" w:themeColor="text2" w:themeShade="BF"/>
                          <w:sz w:val="16"/>
                          <w:szCs w:val="16"/>
                        </w:rPr>
                      </w:pPr>
                      <w:r w:rsidRPr="00A66E88">
                        <w:fldChar w:fldCharType="begin"/>
                      </w:r>
                      <w:r w:rsidR="00637739">
                        <w:instrText>PAGE   \* MERGEFORMAT</w:instrText>
                      </w:r>
                      <w:r w:rsidRPr="00A66E88">
                        <w:fldChar w:fldCharType="separate"/>
                      </w:r>
                      <w:r w:rsidR="00050189" w:rsidRPr="00050189">
                        <w:rPr>
                          <w:noProof/>
                          <w:color w:val="323E4F" w:themeColor="text2" w:themeShade="BF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color w:val="323E4F" w:themeColor="text2" w:themeShade="B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Group 91" o:spid="_x0000_s4098" style="position:absolute;left:1775;top:14647;width:571;height:314" coordorigin="1705,14935" coordsize="682,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<v:shape id="AutoShape 92" o:spid="_x0000_s4100" style="position:absolute;left:1782;top:14858;width:375;height:530;rotation:-90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" adj="0,,0" path="m,l5400,21600r10800,l21600,,,xe" filled="f" strokecolor="#a5a5a5">
                  <v:stroke joinstyle="miter"/>
                  <v:formulas/>
                  <v:path o:connecttype="custom" o:connectlocs="6,7;3,13;1,7;3,0" o:connectangles="0,0,0,0" textboxrect="4493,4483,17107,17117"/>
                </v:shape>
                <v:shape id="AutoShape 93" o:spid="_x0000_s4099" style="position:absolute;left:1934;top:14858;width:375;height:530;rotation:-90;flip:x;visibility:visib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" adj="0,,0" path="m,l5400,21600r10800,l21600,,,xe" filled="f" strokecolor="#a5a5a5">
                  <v:stroke joinstyle="miter"/>
                  <v:formulas/>
                  <v:path o:connecttype="custom" o:connectlocs="6,7;3,13;1,7;3,0" o:connectangles="0,0,0,0" textboxrect="4493,4483,17107,17117"/>
                </v:shape>
              </v:group>
              <w10:wrap anchorx="margin" anchory="margin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981" w:rsidRDefault="005C6981" w:rsidP="00637739">
      <w:pPr>
        <w:spacing w:after="0" w:line="240" w:lineRule="auto"/>
      </w:pPr>
      <w:r>
        <w:separator/>
      </w:r>
    </w:p>
  </w:footnote>
  <w:footnote w:type="continuationSeparator" w:id="1">
    <w:p w:rsidR="005C6981" w:rsidRDefault="005C6981" w:rsidP="006377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39" w:rsidRPr="00517E44" w:rsidRDefault="00637739" w:rsidP="00637739">
    <w:pPr>
      <w:pStyle w:val="En-tte"/>
      <w:bidi/>
      <w:jc w:val="center"/>
      <w:rPr>
        <w:rFonts w:ascii="Traditional Arabic" w:hAnsi="Traditional Arabic" w:cs="Traditional Arabic"/>
        <w:b/>
        <w:bCs/>
        <w:sz w:val="32"/>
        <w:szCs w:val="32"/>
        <w:rtl/>
        <w:lang w:bidi="ar-DZ"/>
      </w:rPr>
    </w:pPr>
    <w:r w:rsidRPr="00517E44">
      <w:rPr>
        <w:rFonts w:ascii="Traditional Arabic" w:hAnsi="Traditional Arabic" w:cs="Traditional Arabic"/>
        <w:b/>
        <w:bCs/>
        <w:sz w:val="32"/>
        <w:szCs w:val="32"/>
        <w:rtl/>
        <w:lang w:bidi="ar-DZ"/>
      </w:rPr>
      <w:t>المحاضرة ال</w:t>
    </w: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خ</w:t>
    </w:r>
    <w:r w:rsidRPr="00517E44">
      <w:rPr>
        <w:rFonts w:ascii="Traditional Arabic" w:hAnsi="Traditional Arabic" w:cs="Traditional Arabic"/>
        <w:b/>
        <w:bCs/>
        <w:sz w:val="32"/>
        <w:szCs w:val="32"/>
        <w:rtl/>
        <w:lang w:bidi="ar-DZ"/>
      </w:rPr>
      <w:t>ا</w:t>
    </w:r>
    <w:r>
      <w:rPr>
        <w:rFonts w:ascii="Traditional Arabic" w:hAnsi="Traditional Arabic" w:cs="Traditional Arabic" w:hint="cs"/>
        <w:b/>
        <w:bCs/>
        <w:sz w:val="32"/>
        <w:szCs w:val="32"/>
        <w:rtl/>
        <w:lang w:bidi="ar-DZ"/>
      </w:rPr>
      <w:t>مس</w:t>
    </w:r>
    <w:r w:rsidRPr="00517E44">
      <w:rPr>
        <w:rFonts w:ascii="Traditional Arabic" w:hAnsi="Traditional Arabic" w:cs="Traditional Arabic"/>
        <w:b/>
        <w:bCs/>
        <w:sz w:val="32"/>
        <w:szCs w:val="32"/>
        <w:rtl/>
        <w:lang w:bidi="ar-DZ"/>
      </w:rPr>
      <w:t>ة</w:t>
    </w:r>
  </w:p>
  <w:p w:rsidR="00637739" w:rsidRPr="00637739" w:rsidRDefault="00637739" w:rsidP="00637739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37739"/>
    <w:rsid w:val="00050189"/>
    <w:rsid w:val="00144723"/>
    <w:rsid w:val="001C2204"/>
    <w:rsid w:val="0046223C"/>
    <w:rsid w:val="0056355F"/>
    <w:rsid w:val="005C6981"/>
    <w:rsid w:val="00637739"/>
    <w:rsid w:val="007358DD"/>
    <w:rsid w:val="00A66E88"/>
    <w:rsid w:val="00C65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E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37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7739"/>
  </w:style>
  <w:style w:type="paragraph" w:styleId="Pieddepage">
    <w:name w:val="footer"/>
    <w:basedOn w:val="Normal"/>
    <w:link w:val="PieddepageCar"/>
    <w:uiPriority w:val="99"/>
    <w:unhideWhenUsed/>
    <w:rsid w:val="006377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77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335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</cp:lastModifiedBy>
  <cp:revision>2</cp:revision>
  <dcterms:created xsi:type="dcterms:W3CDTF">2021-04-02T19:52:00Z</dcterms:created>
  <dcterms:modified xsi:type="dcterms:W3CDTF">2021-04-02T19:52:00Z</dcterms:modified>
</cp:coreProperties>
</file>