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 تكاليف الفشل: </w:t>
      </w:r>
      <w:r w:rsidRPr="00241F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أو عدم التطابق وتشير إلى الفرق ما بين التكاليف الحقيقية لإنتاج سلعة / تقديم خدمة وبين التكاليف في حال عدم وجود أي إخفاقات وتنقسم إلى: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bookmarkStart w:id="0" w:name="_Hlk42796186"/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bookmarkEnd w:id="0"/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تكاليف الفشل الداخلي: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وتكتشف قبل إرسال المنتج/ تقديم الخدمة للمستهلك النهائي ومنها:</w:t>
      </w:r>
    </w:p>
    <w:p w:rsidR="00637739" w:rsidRPr="0097202C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-1- تكلفة التالف: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المتعلقة بالمنتجات الرديئة التي لا يمكن إصلاحها، ويتم الكشف عنها من خلال العمليات الإنتاجية.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-2- تكلفة إعادة العمل: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وتتعلق بإعادة إصلاح أو تثبيت المنتجات المعابة.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-3- تكلفة فشل العملية: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 فعالية تحديد المسببات المؤدية إلى تدني مخرجات العملية الإنتاجية.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-4- تكلفة توقف العملية الإنتاجية: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النفقات الموجهة إلى إصلاح المعدات الإنتاجية أو ضبطها أو تغييرها أو تغيير الفرد العامل أو تدريبه.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623D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6-1-3-1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-5- تكاليف خفض سعر البيع: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 بيع المنتج المعاب بأقل من سعر بيع المنتجات ذات الجودة.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 تكاليف الفشل الخارجي: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عند استلام المستهلك للمنتج غير المطابق للمواصفات المطلوبة ومنها: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6</w:t>
      </w:r>
      <w:bookmarkStart w:id="1" w:name="_Hlk42793913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-1-3-2-1- </w:t>
      </w:r>
      <w:bookmarkEnd w:id="1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تكاليف شكاوي العملاء: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ناجمة عن البحث والاستجابة المرضية لاعتراضات وشكاوي المستهلك.</w:t>
      </w:r>
    </w:p>
    <w:p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6-1-3-2-2- تكاليف إعادة المنتج: </w:t>
      </w:r>
      <w:r w:rsidRPr="00460C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وتنشأ عن عمليات نقل أو مناولة المنتج ذو الجودة المتدنية الذي تم ارجاعه من قبل المستهلك بغرض الاستبدال.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6-1-3-2-3- تكاليف دعاوي الضمان: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التكاليف المتعلقة بالضمانات على المنتجات والمترتبة عن إصابة المستهلك بأضرار نتيجة رداءة جودة المنتج.</w:t>
      </w:r>
    </w:p>
    <w:p w:rsid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6-1-3-2-4- تكاليف المسائلة القانونية عن المنتج: </w:t>
      </w:r>
      <w:r w:rsidRPr="0097202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تكاليف المقاضاة الناجمة عن المسؤولية عن المنتجات وإيذاء المستهلك.</w:t>
      </w:r>
    </w:p>
    <w:p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6-1-3-2-5- تكاليف فقدان المبيعات: </w:t>
      </w:r>
      <w:r w:rsidRPr="00CB2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وهي ناجمة عن عدم رضا العملاء عن جودة المنتج وعزوفه عن شرائه والتحول إلى شراء المنتج من شركات أخرى.</w:t>
      </w:r>
    </w:p>
    <w:p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وتحسب تكاليف الجودة المباشرة بالعلاقة التالية:</w:t>
      </w:r>
    </w:p>
    <w:p w:rsidR="00637739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التكلفة الكلية المباشرة للجودة = تكلفة الضبط + تكلفة الفشل = تكلفة الوقاية + تكلفة التفتيش والتقييم + ( تكلفة الفشل الداخلي + تكلفة الفشل الخارجي )</w:t>
      </w:r>
    </w:p>
    <w:p w:rsidR="00637739" w:rsidRDefault="00637739" w:rsidP="00637739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TQDC = CC+FC = (PC + AC ) + (IFC + EFC )</w:t>
      </w:r>
    </w:p>
    <w:p w:rsidR="00637739" w:rsidRPr="0046223C" w:rsidRDefault="00637739" w:rsidP="0063773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46223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حيث:</w:t>
      </w:r>
    </w:p>
    <w:p w:rsidR="00637739" w:rsidRDefault="00637739" w:rsidP="00637739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TQDC : 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Total Quality direct cost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التكاليف الكلية المباشرة </w:t>
      </w:r>
    </w:p>
    <w:p w:rsidR="00637739" w:rsidRPr="00E00747" w:rsidRDefault="00637739" w:rsidP="00637739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CC 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: Control costs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تكاليف التفتيش </w:t>
      </w:r>
    </w:p>
    <w:p w:rsidR="00637739" w:rsidRPr="00E00747" w:rsidRDefault="00637739" w:rsidP="00637739">
      <w:pPr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FC 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: Failure costs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تكاليف الفشل </w:t>
      </w:r>
    </w:p>
    <w:p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PC : </w:t>
      </w:r>
      <w:r w:rsidRPr="00E00747">
        <w:rPr>
          <w:rFonts w:ascii="Traditional Arabic" w:hAnsi="Traditional Arabic" w:cs="Traditional Arabic"/>
          <w:sz w:val="32"/>
          <w:szCs w:val="32"/>
          <w:lang w:bidi="ar-DZ"/>
        </w:rPr>
        <w:t>Prevention costs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تكاليف الوقاية  </w:t>
      </w:r>
    </w:p>
    <w:p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 xml:space="preserve">AC : </w:t>
      </w:r>
      <w:r w:rsidRPr="0097202C">
        <w:rPr>
          <w:rFonts w:ascii="Traditional Arabic" w:hAnsi="Traditional Arabic" w:cs="Traditional Arabic"/>
          <w:sz w:val="32"/>
          <w:szCs w:val="32"/>
          <w:lang w:bidi="ar-DZ"/>
        </w:rPr>
        <w:t>Appraisalcosts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تكاليف التفتيش والتقييم </w:t>
      </w:r>
    </w:p>
    <w:p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IFC : Internalfailurecosts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تكاليف الفشل الداخلي</w:t>
      </w:r>
    </w:p>
    <w:p w:rsidR="00637739" w:rsidRDefault="00637739" w:rsidP="00637739">
      <w:pPr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EFC : Externalfailurecosts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تكاليف الفشل الخارجي </w:t>
      </w:r>
    </w:p>
    <w:p w:rsidR="005C4497" w:rsidRPr="00637739" w:rsidRDefault="00637739" w:rsidP="00637739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6-2- </w:t>
      </w:r>
      <w:r w:rsidRPr="0063773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التكاليف غير المباشرة: </w:t>
      </w:r>
      <w:r w:rsidRPr="006377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وتشمل التكاليف غير الملموسة مثل تكلفة فقدان السمعة، عدم رضا الزبون، معاناة الزبون</w:t>
      </w:r>
    </w:p>
    <w:sectPr w:rsidR="005C4497" w:rsidRPr="00637739" w:rsidSect="00A66E88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981" w:rsidRDefault="005C6981" w:rsidP="00637739">
      <w:pPr>
        <w:spacing w:after="0" w:line="240" w:lineRule="auto"/>
      </w:pPr>
      <w:r>
        <w:separator/>
      </w:r>
    </w:p>
  </w:endnote>
  <w:endnote w:type="continuationSeparator" w:id="1">
    <w:p w:rsidR="005C6981" w:rsidRDefault="005C6981" w:rsidP="0063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525139"/>
      <w:docPartObj>
        <w:docPartGallery w:val="Page Numbers (Bottom of Page)"/>
        <w:docPartUnique/>
      </w:docPartObj>
    </w:sdtPr>
    <w:sdtContent>
      <w:p w:rsidR="00637739" w:rsidRDefault="00A66E88">
        <w:pPr>
          <w:pStyle w:val="Pieddepage"/>
        </w:pPr>
        <w:r>
          <w:rPr>
            <w:noProof/>
          </w:rPr>
          <w:pict>
            <v:group id="Groupe 1" o:spid="_x0000_s409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4103" type="#_x0000_t4" style="position:absolute;left:1793;top:14550;width:536;height:5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<v:rect id="Rectangle 89" o:spid="_x0000_s4102" style="position:absolute;left:1848;top:14616;width:427;height:3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4101" type="#_x0000_t202" style="position:absolute;left:1731;top:14639;width:660;height: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637739" w:rsidRDefault="00A66E88">
                      <w:pPr>
                        <w:spacing w:after="0" w:line="240" w:lineRule="auto"/>
                        <w:jc w:val="center"/>
                        <w:rPr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A66E88">
                        <w:fldChar w:fldCharType="begin"/>
                      </w:r>
                      <w:r w:rsidR="00637739">
                        <w:instrText>PAGE   \* MERGEFORMAT</w:instrText>
                      </w:r>
                      <w:r w:rsidRPr="00A66E88">
                        <w:fldChar w:fldCharType="separate"/>
                      </w:r>
                      <w:r w:rsidR="00050189" w:rsidRPr="00050189"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323E4F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4098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92" o:spid="_x0000_s4100" style="position:absolute;left:1782;top:14858;width:375;height:530;rotation:-9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  <v:shape id="AutoShape 93" o:spid="_x0000_s4099" style="position:absolute;left:1934;top:14858;width:375;height:530;rotation:-90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adj="0,,0" path="m,l5400,21600r10800,l21600,,,xe" filled="f" strokecolor="#a5a5a5">
                  <v:stroke joinstyle="miter"/>
                  <v:formulas/>
                  <v:path o:connecttype="custom" o:connectlocs="6,7;3,13;1,7;3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981" w:rsidRDefault="005C6981" w:rsidP="00637739">
      <w:pPr>
        <w:spacing w:after="0" w:line="240" w:lineRule="auto"/>
      </w:pPr>
      <w:r>
        <w:separator/>
      </w:r>
    </w:p>
  </w:footnote>
  <w:footnote w:type="continuationSeparator" w:id="1">
    <w:p w:rsidR="005C6981" w:rsidRDefault="005C6981" w:rsidP="0063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39" w:rsidRPr="00517E44" w:rsidRDefault="00637739" w:rsidP="00637739">
    <w:pPr>
      <w:pStyle w:val="En-tte"/>
      <w:bidi/>
      <w:jc w:val="center"/>
      <w:rPr>
        <w:rFonts w:ascii="Traditional Arabic" w:hAnsi="Traditional Arabic" w:cs="Traditional Arabic"/>
        <w:b/>
        <w:bCs/>
        <w:sz w:val="32"/>
        <w:szCs w:val="32"/>
        <w:rtl/>
        <w:lang w:bidi="ar-DZ"/>
      </w:rPr>
    </w:pPr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المحاضرة ال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خ</w:t>
    </w:r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مس</w:t>
    </w:r>
    <w:r w:rsidRPr="00517E44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ة</w:t>
    </w:r>
  </w:p>
  <w:p w:rsidR="00637739" w:rsidRPr="00637739" w:rsidRDefault="00637739" w:rsidP="0063773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7739"/>
    <w:rsid w:val="00050189"/>
    <w:rsid w:val="00144723"/>
    <w:rsid w:val="001C2204"/>
    <w:rsid w:val="0046223C"/>
    <w:rsid w:val="0056355F"/>
    <w:rsid w:val="005C6981"/>
    <w:rsid w:val="00637739"/>
    <w:rsid w:val="007358DD"/>
    <w:rsid w:val="00A66E88"/>
    <w:rsid w:val="00C6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739"/>
  </w:style>
  <w:style w:type="paragraph" w:styleId="Pieddepage">
    <w:name w:val="footer"/>
    <w:basedOn w:val="Normal"/>
    <w:link w:val="PieddepageCar"/>
    <w:uiPriority w:val="99"/>
    <w:unhideWhenUsed/>
    <w:rsid w:val="00637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</cp:lastModifiedBy>
  <cp:revision>2</cp:revision>
  <dcterms:created xsi:type="dcterms:W3CDTF">2021-04-02T19:52:00Z</dcterms:created>
  <dcterms:modified xsi:type="dcterms:W3CDTF">2021-04-02T19:52:00Z</dcterms:modified>
</cp:coreProperties>
</file>