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0E" w:rsidRPr="00B03DCB" w:rsidRDefault="000B500E" w:rsidP="000B500E">
      <w:pPr>
        <w:bidi/>
        <w:spacing w:before="60" w:after="60" w:line="276" w:lineRule="auto"/>
        <w:jc w:val="both"/>
        <w:rPr>
          <w:rFonts w:ascii="Simplified Arabic" w:hAnsi="Simplified Arabic" w:cs="Simplified Arabic"/>
          <w:b/>
          <w:bCs/>
          <w:sz w:val="28"/>
          <w:szCs w:val="28"/>
          <w:rtl/>
        </w:rPr>
      </w:pPr>
      <w:proofErr w:type="gramStart"/>
      <w:r w:rsidRPr="00B03DCB">
        <w:rPr>
          <w:rFonts w:ascii="Simplified Arabic" w:hAnsi="Simplified Arabic" w:cs="Simplified Arabic"/>
          <w:b/>
          <w:bCs/>
          <w:sz w:val="28"/>
          <w:szCs w:val="28"/>
          <w:rtl/>
          <w:lang w:val="en-US" w:bidi="ar-DZ"/>
        </w:rPr>
        <w:t xml:space="preserve">ثالثا </w:t>
      </w:r>
      <w:r w:rsidRPr="00B03DCB">
        <w:rPr>
          <w:rFonts w:ascii="Simplified Arabic" w:hAnsi="Simplified Arabic" w:cs="Simplified Arabic"/>
          <w:b/>
          <w:bCs/>
          <w:color w:val="000000"/>
          <w:sz w:val="28"/>
          <w:szCs w:val="28"/>
          <w:rtl/>
        </w:rPr>
        <w:t>:</w:t>
      </w:r>
      <w:proofErr w:type="gramEnd"/>
      <w:r w:rsidRPr="00B03DCB">
        <w:rPr>
          <w:rFonts w:ascii="Simplified Arabic" w:hAnsi="Simplified Arabic" w:cs="Simplified Arabic"/>
          <w:b/>
          <w:bCs/>
          <w:color w:val="000000"/>
          <w:sz w:val="28"/>
          <w:szCs w:val="28"/>
          <w:rtl/>
        </w:rPr>
        <w:t>مناهج تقييم الوظائف</w:t>
      </w:r>
      <w:r w:rsidRPr="00B03DCB">
        <w:rPr>
          <w:rFonts w:ascii="Simplified Arabic" w:hAnsi="Simplified Arabic" w:cs="Simplified Arabic"/>
          <w:b/>
          <w:bCs/>
          <w:sz w:val="28"/>
          <w:szCs w:val="28"/>
          <w:rtl/>
        </w:rPr>
        <w:t xml:space="preserve"> </w:t>
      </w:r>
    </w:p>
    <w:p w:rsidR="000B500E" w:rsidRPr="00B03DCB" w:rsidRDefault="000B500E" w:rsidP="000B500E">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rPr>
        <w:t>تختلف طرق تقييم الوظائف بعضها عن بعض فلكل منها جوانبه الايجابية والسلبية مما يجعل من أحدها أكثر ملائمة لمشروع أو منظمة دون أخرى ولذا يتم اختيار الطريقة المناسبة بناء على دراسة وافية، وفي ظل الهندسة الوظيفية سنطرق فقط إلى أساليب التقييم الحديثة، لأنها أكثر تلاءما والنظرة الحديثة لإدارة الموارد البشرية.</w:t>
      </w:r>
    </w:p>
    <w:p w:rsidR="000B500E" w:rsidRPr="00B03DCB" w:rsidRDefault="000B500E" w:rsidP="000B500E">
      <w:pPr>
        <w:pStyle w:val="Paragraphedeliste"/>
        <w:numPr>
          <w:ilvl w:val="0"/>
          <w:numId w:val="3"/>
        </w:numPr>
        <w:bidi/>
        <w:spacing w:before="60" w:after="60" w:line="276" w:lineRule="auto"/>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مناهج تقييم الوظائف المبنية على منطق الكفاءات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فيما يلي أهم مناهج التقييم المبنية على مبدأ تثمين الكفاءات و الخبرات المهنية </w:t>
      </w:r>
      <w:sdt>
        <w:sdtPr>
          <w:rPr>
            <w:rFonts w:ascii="Simplified Arabic" w:hAnsi="Simplified Arabic" w:cs="Simplified Arabic"/>
            <w:noProof/>
            <w:sz w:val="28"/>
            <w:szCs w:val="28"/>
            <w:rtl/>
          </w:rPr>
          <w:id w:val="153737763"/>
          <w:citation/>
        </w:sdtPr>
        <w:sdtContent>
          <w:r w:rsidR="00322FD5" w:rsidRPr="00B03DCB">
            <w:rPr>
              <w:rFonts w:ascii="Simplified Arabic" w:hAnsi="Simplified Arabic" w:cs="Simplified Arabic"/>
              <w:noProof/>
              <w:sz w:val="28"/>
              <w:szCs w:val="28"/>
              <w:rtl/>
            </w:rPr>
            <w:fldChar w:fldCharType="begin"/>
          </w:r>
          <w:r w:rsidRPr="00B03DCB">
            <w:rPr>
              <w:rFonts w:ascii="Simplified Arabic" w:hAnsi="Simplified Arabic" w:cs="Simplified Arabic"/>
              <w:noProof/>
              <w:sz w:val="28"/>
              <w:szCs w:val="28"/>
            </w:rPr>
            <w:instrText xml:space="preserve"> CITATION Espace_réservé1 \p 174-182 \l 1036  </w:instrText>
          </w:r>
          <w:r w:rsidR="00322FD5" w:rsidRPr="00B03DCB">
            <w:rPr>
              <w:rFonts w:ascii="Simplified Arabic" w:hAnsi="Simplified Arabic" w:cs="Simplified Arabic"/>
              <w:noProof/>
              <w:sz w:val="28"/>
              <w:szCs w:val="28"/>
              <w:rtl/>
            </w:rPr>
            <w:fldChar w:fldCharType="separate"/>
          </w:r>
          <w:r w:rsidRPr="00B03DCB">
            <w:rPr>
              <w:rFonts w:ascii="Simplified Arabic" w:hAnsi="Simplified Arabic" w:cs="Simplified Arabic"/>
              <w:noProof/>
              <w:sz w:val="28"/>
              <w:szCs w:val="28"/>
              <w:rtl/>
            </w:rPr>
            <w:t>(ثابتي و آخرون، المدخل الى الهندسة الوظيفية، 2017، الصفحات 174-182)</w:t>
          </w:r>
          <w:r w:rsidR="00322FD5" w:rsidRPr="00B03DCB">
            <w:rPr>
              <w:rFonts w:ascii="Simplified Arabic" w:hAnsi="Simplified Arabic" w:cs="Simplified Arabic"/>
              <w:noProof/>
              <w:sz w:val="28"/>
              <w:szCs w:val="28"/>
              <w:rtl/>
            </w:rPr>
            <w:fldChar w:fldCharType="end"/>
          </w:r>
        </w:sdtContent>
      </w:sdt>
      <w:r w:rsidRPr="00B03DCB">
        <w:rPr>
          <w:rFonts w:ascii="Simplified Arabic" w:hAnsi="Simplified Arabic" w:cs="Simplified Arabic"/>
          <w:sz w:val="28"/>
          <w:szCs w:val="28"/>
          <w:rtl/>
          <w:lang w:val="en-US" w:bidi="ar-DZ"/>
        </w:rPr>
        <w:t>.</w:t>
      </w:r>
    </w:p>
    <w:p w:rsidR="000B500E" w:rsidRPr="00B03DCB" w:rsidRDefault="000B500E" w:rsidP="000B500E">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1.1 </w:t>
      </w:r>
      <w:proofErr w:type="gramStart"/>
      <w:r w:rsidRPr="00B03DCB">
        <w:rPr>
          <w:rFonts w:ascii="Simplified Arabic" w:hAnsi="Simplified Arabic" w:cs="Simplified Arabic"/>
          <w:b/>
          <w:bCs/>
          <w:sz w:val="28"/>
          <w:szCs w:val="28"/>
          <w:rtl/>
          <w:lang w:val="en-US" w:bidi="ar-DZ"/>
        </w:rPr>
        <w:t>اتفاق</w:t>
      </w:r>
      <w:proofErr w:type="gramEnd"/>
      <w:r w:rsidRPr="00B03DCB">
        <w:rPr>
          <w:rFonts w:ascii="Simplified Arabic" w:hAnsi="Simplified Arabic" w:cs="Simplified Arabic"/>
          <w:b/>
          <w:bCs/>
          <w:sz w:val="28"/>
          <w:szCs w:val="28"/>
          <w:rtl/>
          <w:lang w:val="en-US" w:bidi="ar-DZ"/>
        </w:rPr>
        <w:t xml:space="preserve"> قيادة النشاط المهني </w:t>
      </w:r>
      <w:r w:rsidRPr="00B03DCB">
        <w:rPr>
          <w:rFonts w:ascii="Simplified Arabic" w:hAnsi="Simplified Arabic" w:cs="Simplified Arabic"/>
          <w:b/>
          <w:bCs/>
          <w:sz w:val="28"/>
          <w:szCs w:val="28"/>
          <w:lang w:bidi="ar-DZ"/>
        </w:rPr>
        <w:t>Accord A.Cap 2000</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ابرم هذا الاتفاق في 17 ديسمبر 1990 بين مجموعة المؤسسات الصناعات الحديثة </w:t>
      </w:r>
      <w:r w:rsidRPr="00B03DCB">
        <w:rPr>
          <w:rFonts w:ascii="Simplified Arabic" w:hAnsi="Simplified Arabic" w:cs="Simplified Arabic"/>
          <w:sz w:val="28"/>
          <w:szCs w:val="28"/>
          <w:lang w:bidi="ar-DZ"/>
        </w:rPr>
        <w:t>GESIM</w:t>
      </w:r>
      <w:r w:rsidRPr="00B03DCB">
        <w:rPr>
          <w:rFonts w:ascii="Simplified Arabic" w:hAnsi="Simplified Arabic" w:cs="Simplified Arabic"/>
          <w:sz w:val="28"/>
          <w:szCs w:val="28"/>
          <w:rtl/>
          <w:lang w:val="en-US" w:bidi="ar-DZ"/>
        </w:rPr>
        <w:t xml:space="preserve"> و أربع منظمات نقابية </w:t>
      </w:r>
      <w:proofErr w:type="gramStart"/>
      <w:r w:rsidRPr="00B03DCB">
        <w:rPr>
          <w:rFonts w:ascii="Simplified Arabic" w:hAnsi="Simplified Arabic" w:cs="Simplified Arabic"/>
          <w:sz w:val="28"/>
          <w:szCs w:val="28"/>
          <w:rtl/>
          <w:lang w:val="en-US" w:bidi="ar-DZ"/>
        </w:rPr>
        <w:t>فرنسية ،</w:t>
      </w:r>
      <w:proofErr w:type="gramEnd"/>
      <w:r w:rsidRPr="00B03DCB">
        <w:rPr>
          <w:rFonts w:ascii="Simplified Arabic" w:hAnsi="Simplified Arabic" w:cs="Simplified Arabic"/>
          <w:sz w:val="28"/>
          <w:szCs w:val="28"/>
          <w:rtl/>
          <w:lang w:val="en-US" w:bidi="ar-DZ"/>
        </w:rPr>
        <w:t>بعد سلسلة مفاوضات متساوية توصلت إلى الاعتراف بالكفاءات الفردية كأساس للتصنيف و إدارة المسار المهني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 قد أحدثت هذه الاتفاقية نقلة نوعية في مجال التصنيف الوظيفي و ذلك بالانتقال من المنطق التقليدي الذي يولي أهمية كبرى لعلاقة العامل بمنصب عمله من حيث ما يقتضيه هذا المنصب من مؤهلات و أنماط سلوكية و طرق علمية إلى منطق جديد عماده الإنسان ،و ما يحوزه من كفاءات لأداء مهامه ،و من ثم استطاع هذا الاتفاق أن يفصل بين التصنيف و الأجر الفرديين و بين الوظيفة التي يشغلها الفرد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أحدث هذا الاتفاق إذا انتقالا من منطق التأهيل إلى منطق </w:t>
      </w:r>
      <w:proofErr w:type="gramStart"/>
      <w:r w:rsidRPr="00B03DCB">
        <w:rPr>
          <w:rFonts w:ascii="Simplified Arabic" w:hAnsi="Simplified Arabic" w:cs="Simplified Arabic"/>
          <w:sz w:val="28"/>
          <w:szCs w:val="28"/>
          <w:rtl/>
          <w:lang w:val="en-US" w:bidi="ar-DZ"/>
        </w:rPr>
        <w:t>الكفاءة ،</w:t>
      </w:r>
      <w:proofErr w:type="gramEnd"/>
      <w:r w:rsidRPr="00B03DCB">
        <w:rPr>
          <w:rFonts w:ascii="Simplified Arabic" w:hAnsi="Simplified Arabic" w:cs="Simplified Arabic"/>
          <w:sz w:val="28"/>
          <w:szCs w:val="28"/>
          <w:rtl/>
          <w:lang w:val="en-US" w:bidi="ar-DZ"/>
        </w:rPr>
        <w:t xml:space="preserve">و أنعكس هذا التحول خصوصا على نظام تسيير ا لمسارات المهنية و أسس الترقية </w:t>
      </w:r>
      <w:proofErr w:type="gramStart"/>
      <w:r w:rsidRPr="00B03DCB">
        <w:rPr>
          <w:rFonts w:ascii="Simplified Arabic" w:hAnsi="Simplified Arabic" w:cs="Simplified Arabic"/>
          <w:sz w:val="28"/>
          <w:szCs w:val="28"/>
          <w:rtl/>
          <w:lang w:val="en-US" w:bidi="ar-DZ"/>
        </w:rPr>
        <w:t>الوظيفية ،</w:t>
      </w:r>
      <w:proofErr w:type="gramEnd"/>
      <w:r w:rsidRPr="00B03DCB">
        <w:rPr>
          <w:rFonts w:ascii="Simplified Arabic" w:hAnsi="Simplified Arabic" w:cs="Simplified Arabic"/>
          <w:sz w:val="28"/>
          <w:szCs w:val="28"/>
          <w:rtl/>
          <w:lang w:val="en-US" w:bidi="ar-DZ"/>
        </w:rPr>
        <w:t>و على نظام الأجور و تحديد المستحقات الفردية لكل عامل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 تجدر الإشارة إلى أن هذا الاتفاق لم يأت من فراغ بل هو امتداد لاتفاقية 1975 الخاصة بقطاع الصناعات الحديدية و التي كرست لأول مرة التصنيف على أساس القدرات الفردية لشغل الوظيفة منظورا إليها من زاوية المساهمة الخصوصية في إنجاز أهداف النسق الإنتاجي ،محدثة بذلك قطيعة  مع النظام التصنيفي السابق ا لمعروف باسم .....و المتمثل في تصنيف مفهرس يجمع و يرتب المناصب المتشكلة تاريخيا و المحددة</w:t>
      </w:r>
      <w:proofErr w:type="gramStart"/>
      <w:r w:rsidRPr="00B03DCB">
        <w:rPr>
          <w:rFonts w:ascii="Simplified Arabic" w:hAnsi="Simplified Arabic" w:cs="Simplified Arabic"/>
          <w:sz w:val="28"/>
          <w:szCs w:val="28"/>
          <w:rtl/>
          <w:lang w:val="en-US" w:bidi="ar-DZ"/>
        </w:rPr>
        <w:t xml:space="preserve"> سلفا </w:t>
      </w:r>
      <w:proofErr w:type="gramEnd"/>
      <w:r w:rsidRPr="00B03DCB">
        <w:rPr>
          <w:rFonts w:ascii="Simplified Arabic" w:hAnsi="Simplified Arabic" w:cs="Simplified Arabic"/>
          <w:sz w:val="28"/>
          <w:szCs w:val="28"/>
          <w:rtl/>
          <w:lang w:val="en-US" w:bidi="ar-DZ"/>
        </w:rPr>
        <w:t>.</w:t>
      </w:r>
    </w:p>
    <w:p w:rsidR="000B500E" w:rsidRPr="00B03DCB" w:rsidRDefault="000B500E" w:rsidP="000B500E">
      <w:pPr>
        <w:bidi/>
        <w:spacing w:before="60" w:after="6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val="en-US" w:bidi="ar-DZ"/>
        </w:rPr>
        <w:t xml:space="preserve">2.1 طريقة لجنة الدراسة العامة للتنظيم العلمي </w:t>
      </w:r>
      <w:r w:rsidRPr="00B03DCB">
        <w:rPr>
          <w:rFonts w:ascii="Simplified Arabic" w:hAnsi="Simplified Arabic" w:cs="Simplified Arabic"/>
          <w:b/>
          <w:bCs/>
          <w:sz w:val="28"/>
          <w:szCs w:val="28"/>
          <w:lang w:bidi="ar-DZ"/>
        </w:rPr>
        <w:t>Méthode CEGOS</w:t>
      </w:r>
    </w:p>
    <w:p w:rsidR="000B500E" w:rsidRPr="00B03DCB" w:rsidRDefault="000B500E" w:rsidP="000B500E">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خلافا للطرق الأخرى ترفض لجنة الدراسة العامة للتنظيم العلمي فكرة وجود طريقة شاملة للتصنيف تصلح لكل الهيئات أو المنظمات ،بل ترى أن أي تصنيف ينبغي أن يراعي خصوصيات المؤسسة و يسعى إلى التكيف مع </w:t>
      </w:r>
      <w:r w:rsidRPr="00B03DCB">
        <w:rPr>
          <w:rFonts w:ascii="Simplified Arabic" w:hAnsi="Simplified Arabic" w:cs="Simplified Arabic"/>
          <w:sz w:val="28"/>
          <w:szCs w:val="28"/>
          <w:rtl/>
          <w:lang w:bidi="ar-DZ"/>
        </w:rPr>
        <w:lastRenderedPageBreak/>
        <w:t>معطياتها الذاتية و الحصول من خلال ذلك إلى توافق اجتماعي ،و تعتبر أن هذا التوافق هو ضمان نجاح الوظائفية التصنيفية .</w:t>
      </w:r>
    </w:p>
    <w:p w:rsidR="000B500E" w:rsidRPr="00B03DCB" w:rsidRDefault="000B500E" w:rsidP="000B500E">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و تتلخص الأهداف الأساسية لهذه الطريقة في النقاط التالية :</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المقارنة بين المناصب داخل كل </w:t>
      </w:r>
      <w:proofErr w:type="gramStart"/>
      <w:r w:rsidRPr="00B03DCB">
        <w:rPr>
          <w:rFonts w:ascii="Simplified Arabic" w:hAnsi="Simplified Arabic" w:cs="Simplified Arabic"/>
          <w:sz w:val="28"/>
          <w:szCs w:val="28"/>
          <w:rtl/>
          <w:lang w:bidi="ar-DZ"/>
        </w:rPr>
        <w:t>مؤسسة .</w:t>
      </w:r>
      <w:proofErr w:type="gramEnd"/>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خلق قبول عام لدى الشركاء الاجتماعيين</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السهر على احترام ثقافة المؤسسة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bidi="ar-DZ"/>
        </w:rPr>
        <w:t xml:space="preserve">3.1 </w:t>
      </w:r>
      <w:r w:rsidRPr="00B03DCB">
        <w:rPr>
          <w:rFonts w:ascii="Simplified Arabic" w:hAnsi="Simplified Arabic" w:cs="Simplified Arabic"/>
          <w:b/>
          <w:bCs/>
          <w:sz w:val="28"/>
          <w:szCs w:val="28"/>
          <w:rtl/>
          <w:lang w:bidi="ar-DZ"/>
        </w:rPr>
        <w:t>طريقة معدلات التقييم هاي</w:t>
      </w:r>
      <w:r w:rsidRPr="00B03DCB">
        <w:rPr>
          <w:rFonts w:ascii="Simplified Arabic" w:hAnsi="Simplified Arabic" w:cs="Simplified Arabic"/>
          <w:sz w:val="28"/>
          <w:szCs w:val="28"/>
          <w:rtl/>
          <w:lang w:bidi="ar-DZ"/>
        </w:rPr>
        <w:t xml:space="preserve"> </w:t>
      </w:r>
      <w:r w:rsidRPr="00B03DCB">
        <w:rPr>
          <w:rFonts w:ascii="Simplified Arabic" w:hAnsi="Simplified Arabic" w:cs="Simplified Arabic"/>
          <w:sz w:val="28"/>
          <w:szCs w:val="28"/>
          <w:lang w:bidi="ar-DZ"/>
        </w:rPr>
        <w:t>Méthode des barèmes d’évaluation Hay</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تأسس مكتب هاي الاستشاري في الولايات المتحدة الأمريكية عام 1943 و هو متخصص في الاستشارات المتعلقة بالتسيير  و التنظيم و تطوير الموارد البشرية ،و قد اشتهر عبر العالم بالطريقة التحليلية لتصنيف مناصب الوظائف التي تحمل اسمه (طريقة هاي ) و التي يعود الفضل في ابتكارها إلى عالمي النفس  </w:t>
      </w:r>
      <w:proofErr w:type="spellStart"/>
      <w:r w:rsidRPr="00B03DCB">
        <w:rPr>
          <w:rFonts w:ascii="Simplified Arabic" w:hAnsi="Simplified Arabic" w:cs="Simplified Arabic"/>
          <w:sz w:val="28"/>
          <w:szCs w:val="28"/>
          <w:lang w:bidi="ar-DZ"/>
        </w:rPr>
        <w:t>Edourd</w:t>
      </w:r>
      <w:proofErr w:type="spellEnd"/>
      <w:r w:rsidRPr="00B03DCB">
        <w:rPr>
          <w:rFonts w:ascii="Simplified Arabic" w:hAnsi="Simplified Arabic" w:cs="Simplified Arabic"/>
          <w:sz w:val="28"/>
          <w:szCs w:val="28"/>
          <w:lang w:bidi="ar-DZ"/>
        </w:rPr>
        <w:t xml:space="preserve"> </w:t>
      </w:r>
      <w:proofErr w:type="spellStart"/>
      <w:r w:rsidRPr="00B03DCB">
        <w:rPr>
          <w:rFonts w:ascii="Simplified Arabic" w:hAnsi="Simplified Arabic" w:cs="Simplified Arabic"/>
          <w:sz w:val="28"/>
          <w:szCs w:val="28"/>
          <w:lang w:bidi="ar-DZ"/>
        </w:rPr>
        <w:t>Hay,Eugene</w:t>
      </w:r>
      <w:proofErr w:type="spellEnd"/>
      <w:r w:rsidRPr="00B03DCB">
        <w:rPr>
          <w:rFonts w:ascii="Simplified Arabic" w:hAnsi="Simplified Arabic" w:cs="Simplified Arabic"/>
          <w:sz w:val="28"/>
          <w:szCs w:val="28"/>
          <w:lang w:bidi="ar-DZ"/>
        </w:rPr>
        <w:t xml:space="preserve"> </w:t>
      </w:r>
      <w:proofErr w:type="spellStart"/>
      <w:r w:rsidRPr="00B03DCB">
        <w:rPr>
          <w:rFonts w:ascii="Simplified Arabic" w:hAnsi="Simplified Arabic" w:cs="Simplified Arabic"/>
          <w:sz w:val="28"/>
          <w:szCs w:val="28"/>
          <w:lang w:bidi="ar-DZ"/>
        </w:rPr>
        <w:t>Benge</w:t>
      </w:r>
      <w:proofErr w:type="spellEnd"/>
      <w:r w:rsidRPr="00B03DCB">
        <w:rPr>
          <w:rFonts w:ascii="Simplified Arabic" w:hAnsi="Simplified Arabic" w:cs="Simplified Arabic"/>
          <w:sz w:val="28"/>
          <w:szCs w:val="28"/>
          <w:rtl/>
          <w:lang w:val="en-US" w:bidi="ar-DZ"/>
        </w:rPr>
        <w:t xml:space="preserve"> الذين أهتما قبيل الحرب العالمية الثانية بالبحث في إشكالية تصميم طريقة موضوعية لتصنيف الوظائف و تشكل أساسا عمليا لمبدأ التساوي في الوظائف يستلزم التساوي في الأجر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تحدد طريقة هاي القيمة النسبية (أو الوزن ) لكل منصب في المنظمة باستخدام مجموعة معايير محددة و معايير فرعية تتميز بالموضوعية و العقلانية و الشمولية ،و من خلال قياس الدرجة النسبية لمساهمة كل منصب في أهداف المنظمة بكفاءة و فعالية .</w:t>
      </w:r>
    </w:p>
    <w:p w:rsidR="000B500E" w:rsidRPr="00B03DCB" w:rsidRDefault="000B500E" w:rsidP="000B500E">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4.1 </w:t>
      </w:r>
      <w:proofErr w:type="gramStart"/>
      <w:r w:rsidRPr="00B03DCB">
        <w:rPr>
          <w:rFonts w:ascii="Simplified Arabic" w:hAnsi="Simplified Arabic" w:cs="Simplified Arabic"/>
          <w:b/>
          <w:bCs/>
          <w:sz w:val="28"/>
          <w:szCs w:val="28"/>
          <w:rtl/>
          <w:lang w:val="en-US" w:bidi="ar-DZ"/>
        </w:rPr>
        <w:t>طريقة</w:t>
      </w:r>
      <w:proofErr w:type="gramEnd"/>
      <w:r w:rsidRPr="00B03DCB">
        <w:rPr>
          <w:rFonts w:ascii="Simplified Arabic" w:hAnsi="Simplified Arabic" w:cs="Simplified Arabic"/>
          <w:b/>
          <w:bCs/>
          <w:sz w:val="28"/>
          <w:szCs w:val="28"/>
          <w:rtl/>
          <w:lang w:val="en-US" w:bidi="ar-DZ"/>
        </w:rPr>
        <w:t xml:space="preserve"> التقييم التحليلي الشامل للوظائف </w:t>
      </w:r>
      <w:r w:rsidRPr="00B03DCB">
        <w:rPr>
          <w:rFonts w:ascii="Simplified Arabic" w:hAnsi="Simplified Arabic" w:cs="Simplified Arabic"/>
          <w:b/>
          <w:bCs/>
          <w:sz w:val="28"/>
          <w:szCs w:val="28"/>
          <w:lang w:bidi="ar-DZ"/>
        </w:rPr>
        <w:t>Méthode ORBA</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صممت هذه الطريقة بداية من طرف الجمعية العامة الهولندية لأرباب الوظائف كطريقة تحليلية للتقييم القطاعي للوظائف ،ثم تبنتها مؤسسة </w:t>
      </w:r>
      <w:r w:rsidRPr="00B03DCB">
        <w:rPr>
          <w:rFonts w:ascii="Simplified Arabic" w:hAnsi="Simplified Arabic" w:cs="Simplified Arabic"/>
          <w:sz w:val="28"/>
          <w:szCs w:val="28"/>
          <w:lang w:bidi="ar-DZ"/>
        </w:rPr>
        <w:t>OPTIMOR</w:t>
      </w:r>
      <w:r w:rsidRPr="00B03DCB">
        <w:rPr>
          <w:rFonts w:ascii="Simplified Arabic" w:hAnsi="Simplified Arabic" w:cs="Simplified Arabic"/>
          <w:sz w:val="28"/>
          <w:szCs w:val="28"/>
          <w:rtl/>
          <w:lang w:val="en-US" w:bidi="ar-DZ"/>
        </w:rPr>
        <w:t xml:space="preserve"> البلجيكية للاستثمارات منذ تأسيسها في 1991،و قامت بتطويرها لتصبح صالحة للاستعمال في مختلف المنظمات والقطاعات ،وقد عرفت نتيجة لذلك شهرة كبيرة و انتشارا واسعا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يتم تطبيق طريقة </w:t>
      </w:r>
      <w:r w:rsidRPr="00B03DCB">
        <w:rPr>
          <w:rFonts w:ascii="Simplified Arabic" w:hAnsi="Simplified Arabic" w:cs="Simplified Arabic"/>
          <w:sz w:val="28"/>
          <w:szCs w:val="28"/>
          <w:lang w:bidi="ar-DZ"/>
        </w:rPr>
        <w:t>ORBA</w:t>
      </w:r>
      <w:r w:rsidRPr="00B03DCB">
        <w:rPr>
          <w:rFonts w:ascii="Simplified Arabic" w:hAnsi="Simplified Arabic" w:cs="Simplified Arabic"/>
          <w:sz w:val="28"/>
          <w:szCs w:val="28"/>
          <w:rtl/>
          <w:lang w:val="en-US" w:bidi="ar-DZ"/>
        </w:rPr>
        <w:t xml:space="preserve"> عبر ست </w:t>
      </w:r>
      <w:proofErr w:type="gramStart"/>
      <w:r w:rsidRPr="00B03DCB">
        <w:rPr>
          <w:rFonts w:ascii="Simplified Arabic" w:hAnsi="Simplified Arabic" w:cs="Simplified Arabic"/>
          <w:sz w:val="28"/>
          <w:szCs w:val="28"/>
          <w:rtl/>
          <w:lang w:val="en-US" w:bidi="ar-DZ"/>
        </w:rPr>
        <w:t>مراحل :</w:t>
      </w:r>
      <w:proofErr w:type="gramEnd"/>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تحديد الهدف أو الأهداف المرجوة من الدراسة و التحضير للعملية عن طريق تحديد الإجراءات و توزيع المهام .</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التمهيد للدراسة</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جمع المعلومات بواسطة </w:t>
      </w:r>
      <w:proofErr w:type="gramStart"/>
      <w:r w:rsidRPr="00B03DCB">
        <w:rPr>
          <w:rFonts w:ascii="Simplified Arabic" w:hAnsi="Simplified Arabic" w:cs="Simplified Arabic"/>
          <w:sz w:val="28"/>
          <w:szCs w:val="28"/>
          <w:rtl/>
          <w:lang w:val="en-US" w:bidi="ar-DZ"/>
        </w:rPr>
        <w:t>الاستبيانات ،</w:t>
      </w:r>
      <w:proofErr w:type="gramEnd"/>
      <w:r w:rsidRPr="00B03DCB">
        <w:rPr>
          <w:rFonts w:ascii="Simplified Arabic" w:hAnsi="Simplified Arabic" w:cs="Simplified Arabic"/>
          <w:sz w:val="28"/>
          <w:szCs w:val="28"/>
          <w:rtl/>
          <w:lang w:val="en-US" w:bidi="ar-DZ"/>
        </w:rPr>
        <w:t>المقابلات ،فرق الوظائف ....</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proofErr w:type="gramStart"/>
      <w:r w:rsidRPr="00B03DCB">
        <w:rPr>
          <w:rFonts w:ascii="Simplified Arabic" w:hAnsi="Simplified Arabic" w:cs="Simplified Arabic"/>
          <w:sz w:val="28"/>
          <w:szCs w:val="28"/>
          <w:rtl/>
          <w:lang w:val="en-US" w:bidi="ar-DZ"/>
        </w:rPr>
        <w:lastRenderedPageBreak/>
        <w:t>تحليل</w:t>
      </w:r>
      <w:proofErr w:type="gramEnd"/>
      <w:r w:rsidRPr="00B03DCB">
        <w:rPr>
          <w:rFonts w:ascii="Simplified Arabic" w:hAnsi="Simplified Arabic" w:cs="Simplified Arabic"/>
          <w:sz w:val="28"/>
          <w:szCs w:val="28"/>
          <w:rtl/>
          <w:lang w:val="en-US" w:bidi="ar-DZ"/>
        </w:rPr>
        <w:t xml:space="preserve"> و هيكلة المعلومات</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إعداد توصيفات الوظائف و الوحدات الإدارية .</w:t>
      </w:r>
    </w:p>
    <w:p w:rsidR="000B500E" w:rsidRPr="00B03DCB" w:rsidRDefault="000B500E" w:rsidP="000B500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تقيم الوظائف الموصوفة .</w:t>
      </w:r>
    </w:p>
    <w:p w:rsidR="000B500E" w:rsidRPr="00B03DCB" w:rsidRDefault="000B500E" w:rsidP="000B500E">
      <w:pPr>
        <w:pStyle w:val="Paragraphedeliste"/>
        <w:numPr>
          <w:ilvl w:val="0"/>
          <w:numId w:val="3"/>
        </w:numPr>
        <w:bidi/>
        <w:spacing w:before="60" w:after="60" w:line="276" w:lineRule="auto"/>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مناهج تقييم الوظائف المحايدة </w:t>
      </w:r>
      <w:proofErr w:type="gramStart"/>
      <w:r w:rsidRPr="00B03DCB">
        <w:rPr>
          <w:rFonts w:ascii="Simplified Arabic" w:hAnsi="Simplified Arabic" w:cs="Simplified Arabic"/>
          <w:b/>
          <w:bCs/>
          <w:sz w:val="28"/>
          <w:szCs w:val="28"/>
          <w:rtl/>
          <w:lang w:val="en-US" w:bidi="ar-DZ"/>
        </w:rPr>
        <w:t>جنسيا</w:t>
      </w:r>
      <w:proofErr w:type="gramEnd"/>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ضمانا للمساواة في الأجر و التطبيق الصارم لمبدأ التساوي في الوظائف يستلزم التساوي في الأجر ،و إزالة كل أوجه التمييز بين الجنسين في هذا الشأن ،بادرا العديد من الهيئات المتخصصة في المساواة بين النساء و الرجال بتطوير المناهج و الأدوات العلمية لتسمح بالقضاء على التميز و تحليل و تقييم مناصب الوظائف بمنأى عن مؤثرات النوع .و فيما يلي بعض هذه المناهج </w:t>
      </w:r>
      <w:sdt>
        <w:sdtPr>
          <w:rPr>
            <w:rFonts w:ascii="Simplified Arabic" w:hAnsi="Simplified Arabic" w:cs="Simplified Arabic"/>
            <w:sz w:val="28"/>
            <w:szCs w:val="28"/>
            <w:rtl/>
            <w:lang w:val="en-US" w:bidi="ar-DZ"/>
          </w:rPr>
          <w:id w:val="153737773"/>
          <w:citation/>
        </w:sdtPr>
        <w:sdtContent>
          <w:r w:rsidR="00322FD5"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lang w:bidi="ar-DZ"/>
            </w:rPr>
            <w:instrText xml:space="preserve"> CITATION Espace_réservé1 \p 185-191 \l 1036  </w:instrText>
          </w:r>
          <w:r w:rsidR="00322FD5"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bidi="ar-DZ"/>
            </w:rPr>
            <w:t>(ثابتي و آخرون، المدخل الى الهندسة الوظيفية، 2017، الصفحات 185-191)</w:t>
          </w:r>
          <w:r w:rsidR="00322FD5"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sz w:val="28"/>
          <w:szCs w:val="28"/>
          <w:rtl/>
          <w:lang w:val="en-US" w:bidi="ar-DZ"/>
        </w:rPr>
        <w:t>:</w:t>
      </w:r>
    </w:p>
    <w:p w:rsidR="000B500E" w:rsidRPr="00B03DCB" w:rsidRDefault="000B500E" w:rsidP="000B500E">
      <w:pPr>
        <w:bidi/>
        <w:spacing w:before="60" w:after="6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sz w:val="28"/>
          <w:szCs w:val="28"/>
          <w:rtl/>
          <w:lang w:val="en-US" w:bidi="ar-DZ"/>
        </w:rPr>
        <w:t xml:space="preserve">1.2 </w:t>
      </w:r>
      <w:r w:rsidRPr="00B03DCB">
        <w:rPr>
          <w:rFonts w:ascii="Simplified Arabic" w:hAnsi="Simplified Arabic" w:cs="Simplified Arabic"/>
          <w:b/>
          <w:bCs/>
          <w:sz w:val="28"/>
          <w:szCs w:val="28"/>
          <w:rtl/>
          <w:lang w:val="en-US" w:bidi="ar-DZ"/>
        </w:rPr>
        <w:t xml:space="preserve">طريقة التقييم التحليلي للعمل </w:t>
      </w:r>
      <w:proofErr w:type="gramStart"/>
      <w:r w:rsidRPr="00B03DCB">
        <w:rPr>
          <w:rFonts w:ascii="Simplified Arabic" w:hAnsi="Simplified Arabic" w:cs="Simplified Arabic"/>
          <w:b/>
          <w:bCs/>
          <w:sz w:val="28"/>
          <w:szCs w:val="28"/>
          <w:rtl/>
          <w:lang w:val="en-US" w:bidi="ar-DZ"/>
        </w:rPr>
        <w:t>حسب</w:t>
      </w:r>
      <w:proofErr w:type="gramEnd"/>
      <w:r w:rsidRPr="00B03DCB">
        <w:rPr>
          <w:rFonts w:ascii="Simplified Arabic" w:hAnsi="Simplified Arabic" w:cs="Simplified Arabic"/>
          <w:b/>
          <w:bCs/>
          <w:sz w:val="28"/>
          <w:szCs w:val="28"/>
          <w:rtl/>
          <w:lang w:val="en-US" w:bidi="ar-DZ"/>
        </w:rPr>
        <w:t xml:space="preserve"> </w:t>
      </w:r>
      <w:r w:rsidRPr="00B03DCB">
        <w:rPr>
          <w:rFonts w:ascii="Simplified Arabic" w:hAnsi="Simplified Arabic" w:cs="Simplified Arabic"/>
          <w:b/>
          <w:bCs/>
          <w:sz w:val="28"/>
          <w:szCs w:val="28"/>
          <w:lang w:bidi="ar-DZ"/>
        </w:rPr>
        <w:t>(Méthode ABAKABA)Katz&amp;</w:t>
      </w:r>
      <w:proofErr w:type="spellStart"/>
      <w:r w:rsidRPr="00B03DCB">
        <w:rPr>
          <w:rFonts w:ascii="Simplified Arabic" w:hAnsi="Simplified Arabic" w:cs="Simplified Arabic"/>
          <w:b/>
          <w:bCs/>
          <w:sz w:val="28"/>
          <w:szCs w:val="28"/>
          <w:lang w:bidi="ar-DZ"/>
        </w:rPr>
        <w:t>Baitsch</w:t>
      </w:r>
      <w:proofErr w:type="spellEnd"/>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proofErr w:type="spellStart"/>
      <w:r w:rsidRPr="00B03DCB">
        <w:rPr>
          <w:rFonts w:ascii="Simplified Arabic" w:hAnsi="Simplified Arabic" w:cs="Simplified Arabic"/>
          <w:b/>
          <w:bCs/>
          <w:sz w:val="28"/>
          <w:szCs w:val="28"/>
          <w:lang w:val="en-US" w:bidi="ar-DZ"/>
        </w:rPr>
        <w:t>Analytische</w:t>
      </w:r>
      <w:proofErr w:type="spellEnd"/>
      <w:r w:rsidRPr="00B03DCB">
        <w:rPr>
          <w:rFonts w:ascii="Simplified Arabic" w:hAnsi="Simplified Arabic" w:cs="Simplified Arabic"/>
          <w:b/>
          <w:bCs/>
          <w:sz w:val="28"/>
          <w:szCs w:val="28"/>
          <w:lang w:val="en-US" w:bidi="ar-DZ"/>
        </w:rPr>
        <w:t xml:space="preserve"> </w:t>
      </w:r>
      <w:proofErr w:type="spellStart"/>
      <w:r w:rsidRPr="00B03DCB">
        <w:rPr>
          <w:rFonts w:ascii="Simplified Arabic" w:hAnsi="Simplified Arabic" w:cs="Simplified Arabic"/>
          <w:b/>
          <w:bCs/>
          <w:sz w:val="28"/>
          <w:szCs w:val="28"/>
          <w:lang w:val="en-US" w:bidi="ar-DZ"/>
        </w:rPr>
        <w:t>Bewertung</w:t>
      </w:r>
      <w:proofErr w:type="spellEnd"/>
      <w:r w:rsidRPr="00B03DCB">
        <w:rPr>
          <w:rFonts w:ascii="Simplified Arabic" w:hAnsi="Simplified Arabic" w:cs="Simplified Arabic"/>
          <w:b/>
          <w:bCs/>
          <w:sz w:val="28"/>
          <w:szCs w:val="28"/>
          <w:lang w:val="en-US" w:bidi="ar-DZ"/>
        </w:rPr>
        <w:t xml:space="preserve"> Von </w:t>
      </w:r>
      <w:proofErr w:type="spellStart"/>
      <w:r w:rsidRPr="00B03DCB">
        <w:rPr>
          <w:rFonts w:ascii="Simplified Arabic" w:hAnsi="Simplified Arabic" w:cs="Simplified Arabic"/>
          <w:b/>
          <w:bCs/>
          <w:sz w:val="28"/>
          <w:szCs w:val="28"/>
          <w:lang w:val="en-US" w:bidi="ar-DZ"/>
        </w:rPr>
        <w:t>Arbeitstatigheiten</w:t>
      </w:r>
      <w:proofErr w:type="spellEnd"/>
      <w:r w:rsidRPr="00B03DCB">
        <w:rPr>
          <w:rFonts w:ascii="Simplified Arabic" w:hAnsi="Simplified Arabic" w:cs="Simplified Arabic"/>
          <w:b/>
          <w:bCs/>
          <w:sz w:val="28"/>
          <w:szCs w:val="28"/>
          <w:lang w:val="en-US" w:bidi="ar-DZ"/>
        </w:rPr>
        <w:t xml:space="preserve"> mach Katz </w:t>
      </w:r>
      <w:proofErr w:type="spellStart"/>
      <w:r w:rsidRPr="00B03DCB">
        <w:rPr>
          <w:rFonts w:ascii="Simplified Arabic" w:hAnsi="Simplified Arabic" w:cs="Simplified Arabic"/>
          <w:b/>
          <w:bCs/>
          <w:sz w:val="28"/>
          <w:szCs w:val="28"/>
          <w:lang w:val="en-US" w:bidi="ar-DZ"/>
        </w:rPr>
        <w:t>undBaitsch</w:t>
      </w:r>
      <w:proofErr w:type="spellEnd"/>
    </w:p>
    <w:p w:rsidR="000B500E" w:rsidRPr="00B03DCB" w:rsidRDefault="000B500E" w:rsidP="000B500E">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رغم تضافر الجهود الدولية و تعدد التشريعات القطرية لضمان المساواة بين الجنسين في شتى المجالات لا سيما في مجال الوظائف ،تبقى وضعية المرأة مطروحة بحدة مقارنة بالرجل و تستمر الفوارق </w:t>
      </w:r>
      <w:proofErr w:type="spellStart"/>
      <w:r w:rsidRPr="00B03DCB">
        <w:rPr>
          <w:rFonts w:ascii="Simplified Arabic" w:hAnsi="Simplified Arabic" w:cs="Simplified Arabic"/>
          <w:sz w:val="28"/>
          <w:szCs w:val="28"/>
          <w:rtl/>
          <w:lang w:val="en-US" w:bidi="ar-DZ"/>
        </w:rPr>
        <w:t>الأجرية</w:t>
      </w:r>
      <w:proofErr w:type="spellEnd"/>
      <w:r w:rsidRPr="00B03DCB">
        <w:rPr>
          <w:rFonts w:ascii="Simplified Arabic" w:hAnsi="Simplified Arabic" w:cs="Simplified Arabic"/>
          <w:sz w:val="28"/>
          <w:szCs w:val="28"/>
          <w:rtl/>
          <w:lang w:val="en-US" w:bidi="ar-DZ"/>
        </w:rPr>
        <w:t xml:space="preserve"> بين الجنسين  مشكلة انشغالا أساسيا لدى الهيئات الاجتماعية و في الأوساط السياسية ،و لا يمكن </w:t>
      </w:r>
      <w:proofErr w:type="spellStart"/>
      <w:r w:rsidRPr="00B03DCB">
        <w:rPr>
          <w:rFonts w:ascii="Simplified Arabic" w:hAnsi="Simplified Arabic" w:cs="Simplified Arabic"/>
          <w:sz w:val="28"/>
          <w:szCs w:val="28"/>
          <w:rtl/>
          <w:lang w:val="en-US" w:bidi="ar-DZ"/>
        </w:rPr>
        <w:t>عزو</w:t>
      </w:r>
      <w:proofErr w:type="spellEnd"/>
      <w:r w:rsidRPr="00B03DCB">
        <w:rPr>
          <w:rFonts w:ascii="Simplified Arabic" w:hAnsi="Simplified Arabic" w:cs="Simplified Arabic"/>
          <w:sz w:val="28"/>
          <w:szCs w:val="28"/>
          <w:rtl/>
          <w:lang w:val="en-US" w:bidi="ar-DZ"/>
        </w:rPr>
        <w:t xml:space="preserve"> هذا التأرجح في تكريس المساواة </w:t>
      </w:r>
      <w:proofErr w:type="spellStart"/>
      <w:r w:rsidRPr="00B03DCB">
        <w:rPr>
          <w:rFonts w:ascii="Simplified Arabic" w:hAnsi="Simplified Arabic" w:cs="Simplified Arabic"/>
          <w:sz w:val="28"/>
          <w:szCs w:val="28"/>
          <w:rtl/>
          <w:lang w:val="en-US" w:bidi="ar-DZ"/>
        </w:rPr>
        <w:t>الأجرية</w:t>
      </w:r>
      <w:proofErr w:type="spellEnd"/>
      <w:r w:rsidRPr="00B03DCB">
        <w:rPr>
          <w:rFonts w:ascii="Simplified Arabic" w:hAnsi="Simplified Arabic" w:cs="Simplified Arabic"/>
          <w:sz w:val="28"/>
          <w:szCs w:val="28"/>
          <w:rtl/>
          <w:lang w:val="en-US" w:bidi="ar-DZ"/>
        </w:rPr>
        <w:t xml:space="preserve"> بين النساء و الرجال إلى غياب الإدارة السياسية أو التقاعس الاجتماعي ،و غنما مرده بالدرجة الأولى إلى غياب المناهج العلمية الكفيلة بضمان المساواة الفعلية .</w:t>
      </w:r>
    </w:p>
    <w:p w:rsidR="000B500E" w:rsidRDefault="000B500E" w:rsidP="000B500E">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انطلاقا من هذه القناعة بادر المكتب الفيدرالي للمساواة بين النساء و الرجال في سويسرا إلى اعتماد طريقة تحليلية من ابتكار الاختصاصيين </w:t>
      </w:r>
      <w:r w:rsidRPr="00B03DCB">
        <w:rPr>
          <w:rFonts w:ascii="Simplified Arabic" w:hAnsi="Simplified Arabic" w:cs="Simplified Arabic"/>
          <w:sz w:val="28"/>
          <w:szCs w:val="28"/>
          <w:lang w:bidi="ar-DZ"/>
        </w:rPr>
        <w:t>Christian Katz&amp;</w:t>
      </w:r>
      <w:proofErr w:type="spellStart"/>
      <w:r w:rsidRPr="00B03DCB">
        <w:rPr>
          <w:rFonts w:ascii="Simplified Arabic" w:hAnsi="Simplified Arabic" w:cs="Simplified Arabic"/>
          <w:sz w:val="28"/>
          <w:szCs w:val="28"/>
          <w:lang w:bidi="ar-DZ"/>
        </w:rPr>
        <w:t>Christof</w:t>
      </w:r>
      <w:proofErr w:type="spellEnd"/>
      <w:r w:rsidRPr="00B03DCB">
        <w:rPr>
          <w:rFonts w:ascii="Simplified Arabic" w:hAnsi="Simplified Arabic" w:cs="Simplified Arabic"/>
          <w:sz w:val="28"/>
          <w:szCs w:val="28"/>
          <w:lang w:bidi="ar-DZ"/>
        </w:rPr>
        <w:t xml:space="preserve"> </w:t>
      </w:r>
      <w:proofErr w:type="spellStart"/>
      <w:r w:rsidRPr="00B03DCB">
        <w:rPr>
          <w:rFonts w:ascii="Simplified Arabic" w:hAnsi="Simplified Arabic" w:cs="Simplified Arabic"/>
          <w:sz w:val="28"/>
          <w:szCs w:val="28"/>
          <w:lang w:bidi="ar-DZ"/>
        </w:rPr>
        <w:t>Baitsch</w:t>
      </w:r>
      <w:proofErr w:type="spellEnd"/>
      <w:r w:rsidRPr="00B03DCB">
        <w:rPr>
          <w:rFonts w:ascii="Simplified Arabic" w:hAnsi="Simplified Arabic" w:cs="Simplified Arabic"/>
          <w:sz w:val="28"/>
          <w:szCs w:val="28"/>
          <w:rtl/>
          <w:lang w:val="en-US" w:bidi="ar-DZ"/>
        </w:rPr>
        <w:t xml:space="preserve"> (مختصين في سيكولوجيا و تنظيم الوظائف )،تأخذ بعين الاعتبار المواصفات الخصوصية الذكرية و الخصوصية الأنثوية للنشاطات المهنية و تدرجها ضمن التقييم بالتساوي بواسطة استخدام مبادئ علمية تسمح للمنظمات بتصميم نظام أجري غير تمييزي .</w:t>
      </w:r>
    </w:p>
    <w:p w:rsidR="000B500E" w:rsidRPr="00B03DCB" w:rsidRDefault="000B500E" w:rsidP="000B500E">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2.2 </w:t>
      </w:r>
      <w:proofErr w:type="gramStart"/>
      <w:r w:rsidRPr="00B03DCB">
        <w:rPr>
          <w:rFonts w:ascii="Simplified Arabic" w:hAnsi="Simplified Arabic" w:cs="Simplified Arabic"/>
          <w:b/>
          <w:bCs/>
          <w:sz w:val="28"/>
          <w:szCs w:val="28"/>
          <w:rtl/>
          <w:lang w:val="en-US" w:bidi="ar-DZ"/>
        </w:rPr>
        <w:t>طريقة</w:t>
      </w:r>
      <w:proofErr w:type="gramEnd"/>
      <w:r w:rsidRPr="00B03DCB">
        <w:rPr>
          <w:rFonts w:ascii="Simplified Arabic" w:hAnsi="Simplified Arabic" w:cs="Simplified Arabic"/>
          <w:b/>
          <w:bCs/>
          <w:sz w:val="28"/>
          <w:szCs w:val="28"/>
          <w:rtl/>
          <w:lang w:val="en-US" w:bidi="ar-DZ"/>
        </w:rPr>
        <w:t xml:space="preserve"> تقدير الأجر المستحق </w:t>
      </w:r>
      <w:r w:rsidRPr="00B03DCB">
        <w:rPr>
          <w:rFonts w:ascii="Simplified Arabic" w:hAnsi="Simplified Arabic" w:cs="Simplified Arabic"/>
          <w:b/>
          <w:bCs/>
          <w:sz w:val="28"/>
          <w:szCs w:val="28"/>
          <w:lang w:bidi="ar-DZ"/>
        </w:rPr>
        <w:t>Méthode VIWIV</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تعتبر هذه الطريقة مكملة لطريقة </w:t>
      </w:r>
      <w:r w:rsidRPr="00B03DCB">
        <w:rPr>
          <w:rFonts w:ascii="Simplified Arabic" w:hAnsi="Simplified Arabic" w:cs="Simplified Arabic"/>
          <w:sz w:val="28"/>
          <w:szCs w:val="28"/>
          <w:lang w:bidi="ar-DZ"/>
        </w:rPr>
        <w:t>ABAKABA</w:t>
      </w:r>
      <w:r w:rsidRPr="00B03DCB">
        <w:rPr>
          <w:rFonts w:ascii="Simplified Arabic" w:hAnsi="Simplified Arabic" w:cs="Simplified Arabic"/>
          <w:sz w:val="28"/>
          <w:szCs w:val="28"/>
          <w:rtl/>
          <w:lang w:val="en-US" w:bidi="ar-DZ"/>
        </w:rPr>
        <w:t xml:space="preserve"> ،كما أنه بالإمكان استخدام كل منهما بشكل مستقل ،غير إن واضعي الطريقتين </w:t>
      </w:r>
      <w:r w:rsidRPr="00B03DCB">
        <w:rPr>
          <w:rFonts w:ascii="Simplified Arabic" w:hAnsi="Simplified Arabic" w:cs="Simplified Arabic"/>
          <w:sz w:val="28"/>
          <w:szCs w:val="28"/>
          <w:lang w:bidi="ar-DZ"/>
        </w:rPr>
        <w:t>(Katz&amp;</w:t>
      </w:r>
      <w:proofErr w:type="spellStart"/>
      <w:r w:rsidRPr="00B03DCB">
        <w:rPr>
          <w:rFonts w:ascii="Simplified Arabic" w:hAnsi="Simplified Arabic" w:cs="Simplified Arabic"/>
          <w:sz w:val="28"/>
          <w:szCs w:val="28"/>
          <w:lang w:bidi="ar-DZ"/>
        </w:rPr>
        <w:t>Baitsch</w:t>
      </w:r>
      <w:proofErr w:type="spellEnd"/>
      <w:r w:rsidRPr="00B03DCB">
        <w:rPr>
          <w:rFonts w:ascii="Simplified Arabic" w:hAnsi="Simplified Arabic" w:cs="Simplified Arabic"/>
          <w:sz w:val="28"/>
          <w:szCs w:val="28"/>
          <w:lang w:bidi="ar-DZ"/>
        </w:rPr>
        <w:t>)</w:t>
      </w:r>
      <w:r w:rsidRPr="00B03DCB">
        <w:rPr>
          <w:rFonts w:ascii="Simplified Arabic" w:hAnsi="Simplified Arabic" w:cs="Simplified Arabic"/>
          <w:sz w:val="28"/>
          <w:szCs w:val="28"/>
          <w:rtl/>
          <w:lang w:val="en-US" w:bidi="ar-DZ"/>
        </w:rPr>
        <w:t xml:space="preserve"> ينصحان باستخدام </w:t>
      </w:r>
      <w:r w:rsidRPr="00B03DCB">
        <w:rPr>
          <w:rFonts w:ascii="Simplified Arabic" w:hAnsi="Simplified Arabic" w:cs="Simplified Arabic"/>
          <w:sz w:val="28"/>
          <w:szCs w:val="28"/>
          <w:lang w:bidi="ar-DZ"/>
        </w:rPr>
        <w:t>VIWIV</w:t>
      </w:r>
      <w:r w:rsidRPr="00B03DCB">
        <w:rPr>
          <w:rFonts w:ascii="Simplified Arabic" w:hAnsi="Simplified Arabic" w:cs="Simplified Arabic"/>
          <w:sz w:val="28"/>
          <w:szCs w:val="28"/>
          <w:rtl/>
          <w:lang w:val="en-US" w:bidi="ar-DZ"/>
        </w:rPr>
        <w:t xml:space="preserve"> في حالة وجود نزاع يتعلق بالمساواة </w:t>
      </w:r>
      <w:proofErr w:type="spellStart"/>
      <w:r w:rsidRPr="00B03DCB">
        <w:rPr>
          <w:rFonts w:ascii="Simplified Arabic" w:hAnsi="Simplified Arabic" w:cs="Simplified Arabic"/>
          <w:sz w:val="28"/>
          <w:szCs w:val="28"/>
          <w:rtl/>
          <w:lang w:val="en-US" w:bidi="ar-DZ"/>
        </w:rPr>
        <w:t>الأجرية</w:t>
      </w:r>
      <w:proofErr w:type="spellEnd"/>
      <w:r w:rsidRPr="00B03DCB">
        <w:rPr>
          <w:rFonts w:ascii="Simplified Arabic" w:hAnsi="Simplified Arabic" w:cs="Simplified Arabic"/>
          <w:sz w:val="28"/>
          <w:szCs w:val="28"/>
          <w:rtl/>
          <w:lang w:val="en-US" w:bidi="ar-DZ"/>
        </w:rPr>
        <w:t xml:space="preserve"> ،أو كمرحلة سابقة لتطبيق طريقة </w:t>
      </w:r>
      <w:r w:rsidRPr="00B03DCB">
        <w:rPr>
          <w:rFonts w:ascii="Simplified Arabic" w:hAnsi="Simplified Arabic" w:cs="Simplified Arabic"/>
          <w:sz w:val="28"/>
          <w:szCs w:val="28"/>
          <w:lang w:bidi="ar-DZ"/>
        </w:rPr>
        <w:t>ABAKABA</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lastRenderedPageBreak/>
        <w:t xml:space="preserve">و تشكل هذه الطريقة أداة لاستكشاف </w:t>
      </w:r>
      <w:proofErr w:type="spellStart"/>
      <w:r w:rsidRPr="00B03DCB">
        <w:rPr>
          <w:rFonts w:ascii="Simplified Arabic" w:hAnsi="Simplified Arabic" w:cs="Simplified Arabic"/>
          <w:sz w:val="28"/>
          <w:szCs w:val="28"/>
          <w:rtl/>
          <w:lang w:val="en-US" w:bidi="ar-DZ"/>
        </w:rPr>
        <w:t>اللامساواة</w:t>
      </w:r>
      <w:proofErr w:type="spellEnd"/>
      <w:r w:rsidRPr="00B03DCB">
        <w:rPr>
          <w:rFonts w:ascii="Simplified Arabic" w:hAnsi="Simplified Arabic" w:cs="Simplified Arabic"/>
          <w:sz w:val="28"/>
          <w:szCs w:val="28"/>
          <w:rtl/>
          <w:lang w:val="en-US" w:bidi="ar-DZ"/>
        </w:rPr>
        <w:t xml:space="preserve"> </w:t>
      </w:r>
      <w:proofErr w:type="spellStart"/>
      <w:r w:rsidRPr="00B03DCB">
        <w:rPr>
          <w:rFonts w:ascii="Simplified Arabic" w:hAnsi="Simplified Arabic" w:cs="Simplified Arabic"/>
          <w:sz w:val="28"/>
          <w:szCs w:val="28"/>
          <w:rtl/>
          <w:lang w:val="en-US" w:bidi="ar-DZ"/>
        </w:rPr>
        <w:t>الأجرية</w:t>
      </w:r>
      <w:proofErr w:type="spellEnd"/>
      <w:r w:rsidRPr="00B03DCB">
        <w:rPr>
          <w:rFonts w:ascii="Simplified Arabic" w:hAnsi="Simplified Arabic" w:cs="Simplified Arabic"/>
          <w:sz w:val="28"/>
          <w:szCs w:val="28"/>
          <w:rtl/>
          <w:lang w:val="en-US" w:bidi="ar-DZ"/>
        </w:rPr>
        <w:t xml:space="preserve"> الناجمة خصوصا عن التمييز الجنسي ،و بذلك فهي تستعمل قبل التقييم كما يمكن أ، تستعمل بعده للتأكد من مدى صلاحية التقييم و حياده الجنسي</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يعتبر التمييز مباشرا عندما يكون الأجر الذي تتقاضاه المرأة العاملة (و قد يتعلق الأمر أيضا بالتمييز ضد الرجل ) أقل مما يتقاضاه زملاؤها الذين يمارسون نفس </w:t>
      </w:r>
      <w:proofErr w:type="gramStart"/>
      <w:r w:rsidRPr="00B03DCB">
        <w:rPr>
          <w:rFonts w:ascii="Simplified Arabic" w:hAnsi="Simplified Arabic" w:cs="Simplified Arabic"/>
          <w:sz w:val="28"/>
          <w:szCs w:val="28"/>
          <w:rtl/>
          <w:lang w:val="en-US" w:bidi="ar-DZ"/>
        </w:rPr>
        <w:t>الوظائف .</w:t>
      </w:r>
      <w:proofErr w:type="gramEnd"/>
    </w:p>
    <w:p w:rsidR="000B500E" w:rsidRPr="00B03DCB" w:rsidRDefault="000B500E" w:rsidP="000B500E">
      <w:pPr>
        <w:bidi/>
        <w:spacing w:before="60" w:after="6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val="en-US" w:bidi="ar-DZ"/>
        </w:rPr>
        <w:t xml:space="preserve">3.2 مشروع التقييم التحليلي للوظائف </w:t>
      </w:r>
      <w:r w:rsidRPr="00B03DCB">
        <w:rPr>
          <w:rFonts w:ascii="Simplified Arabic" w:hAnsi="Simplified Arabic" w:cs="Simplified Arabic"/>
          <w:b/>
          <w:bCs/>
          <w:sz w:val="28"/>
          <w:szCs w:val="28"/>
          <w:lang w:bidi="ar-DZ"/>
        </w:rPr>
        <w:t>Projet EVA</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lang w:bidi="ar-DZ"/>
        </w:rPr>
        <w:t>(Evaluation Analytique des Fonctions)</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أمام استعصاء مشكلة التميز الجنسي للأجور ،و صعوبة و ضع حد لاستمرارها،بل و تفاقمها في بعض الحالات ،كما تشير إليه العديد من التقارير المختصة ،و في زمن </w:t>
      </w:r>
      <w:proofErr w:type="spellStart"/>
      <w:r w:rsidRPr="00B03DCB">
        <w:rPr>
          <w:rFonts w:ascii="Simplified Arabic" w:hAnsi="Simplified Arabic" w:cs="Simplified Arabic"/>
          <w:sz w:val="28"/>
          <w:szCs w:val="28"/>
          <w:rtl/>
          <w:lang w:val="en-US" w:bidi="ar-DZ"/>
        </w:rPr>
        <w:t>يتنامى</w:t>
      </w:r>
      <w:proofErr w:type="spellEnd"/>
      <w:r w:rsidRPr="00B03DCB">
        <w:rPr>
          <w:rFonts w:ascii="Simplified Arabic" w:hAnsi="Simplified Arabic" w:cs="Simplified Arabic"/>
          <w:sz w:val="28"/>
          <w:szCs w:val="28"/>
          <w:rtl/>
          <w:lang w:val="en-US" w:bidi="ar-DZ"/>
        </w:rPr>
        <w:t xml:space="preserve"> فيه الاهتمام بالنوع </w:t>
      </w:r>
      <w:r w:rsidRPr="00B03DCB">
        <w:rPr>
          <w:rFonts w:ascii="Simplified Arabic" w:hAnsi="Simplified Arabic" w:cs="Simplified Arabic"/>
          <w:sz w:val="28"/>
          <w:szCs w:val="28"/>
          <w:lang w:bidi="ar-DZ"/>
        </w:rPr>
        <w:t xml:space="preserve">Le Genre </w:t>
      </w:r>
      <w:r w:rsidRPr="00B03DCB">
        <w:rPr>
          <w:rFonts w:ascii="Simplified Arabic" w:hAnsi="Simplified Arabic" w:cs="Simplified Arabic"/>
          <w:sz w:val="28"/>
          <w:szCs w:val="28"/>
          <w:rtl/>
          <w:lang w:val="en-US" w:bidi="ar-DZ"/>
        </w:rPr>
        <w:t xml:space="preserve"> بغية إزالة كل مظاهر الغبن و التميز و </w:t>
      </w:r>
      <w:proofErr w:type="spellStart"/>
      <w:r w:rsidRPr="00B03DCB">
        <w:rPr>
          <w:rFonts w:ascii="Simplified Arabic" w:hAnsi="Simplified Arabic" w:cs="Simplified Arabic"/>
          <w:sz w:val="28"/>
          <w:szCs w:val="28"/>
          <w:rtl/>
          <w:lang w:val="en-US" w:bidi="ar-DZ"/>
        </w:rPr>
        <w:t>اللامساواة</w:t>
      </w:r>
      <w:proofErr w:type="spellEnd"/>
      <w:r w:rsidRPr="00B03DCB">
        <w:rPr>
          <w:rFonts w:ascii="Simplified Arabic" w:hAnsi="Simplified Arabic" w:cs="Simplified Arabic"/>
          <w:sz w:val="28"/>
          <w:szCs w:val="28"/>
          <w:rtl/>
          <w:lang w:val="en-US" w:bidi="ar-DZ"/>
        </w:rPr>
        <w:t xml:space="preserve"> ،شرعت بعض الدوائر الوزارية (في الدول الغربية بطبيعة الحال و الهيئات المختصة الدولية و القطرية في اقتراح مشاريع لتسوية الوضعية المتردية للمرأة في الحياة العامة و الحياة المهنية بوجه خاص .</w:t>
      </w:r>
    </w:p>
    <w:p w:rsidR="000B500E" w:rsidRPr="00B03DCB" w:rsidRDefault="000B500E" w:rsidP="000B500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في هذا السياق انطلق مشروع التقييم التحليلي للوظائف سنة 2001 بمبادرة من مديرية تكافؤ الفرص التابعة لوزارة العدل </w:t>
      </w:r>
      <w:proofErr w:type="gramStart"/>
      <w:r w:rsidRPr="00B03DCB">
        <w:rPr>
          <w:rFonts w:ascii="Simplified Arabic" w:hAnsi="Simplified Arabic" w:cs="Simplified Arabic"/>
          <w:sz w:val="28"/>
          <w:szCs w:val="28"/>
          <w:rtl/>
          <w:lang w:val="en-US" w:bidi="ar-DZ"/>
        </w:rPr>
        <w:t>البلجيكية ،</w:t>
      </w:r>
      <w:proofErr w:type="gramEnd"/>
      <w:r w:rsidRPr="00B03DCB">
        <w:rPr>
          <w:rFonts w:ascii="Simplified Arabic" w:hAnsi="Simplified Arabic" w:cs="Simplified Arabic"/>
          <w:sz w:val="28"/>
          <w:szCs w:val="28"/>
          <w:rtl/>
          <w:lang w:val="en-US" w:bidi="ar-DZ"/>
        </w:rPr>
        <w:t xml:space="preserve">ثم لم </w:t>
      </w:r>
      <w:proofErr w:type="spellStart"/>
      <w:r w:rsidRPr="00B03DCB">
        <w:rPr>
          <w:rFonts w:ascii="Simplified Arabic" w:hAnsi="Simplified Arabic" w:cs="Simplified Arabic"/>
          <w:sz w:val="28"/>
          <w:szCs w:val="28"/>
          <w:rtl/>
          <w:lang w:val="en-US" w:bidi="ar-DZ"/>
        </w:rPr>
        <w:t>يلبث</w:t>
      </w:r>
      <w:proofErr w:type="spellEnd"/>
      <w:r w:rsidRPr="00B03DCB">
        <w:rPr>
          <w:rFonts w:ascii="Simplified Arabic" w:hAnsi="Simplified Arabic" w:cs="Simplified Arabic"/>
          <w:sz w:val="28"/>
          <w:szCs w:val="28"/>
          <w:rtl/>
          <w:lang w:val="en-US" w:bidi="ar-DZ"/>
        </w:rPr>
        <w:t xml:space="preserve"> أن حول المشروع برمته إلى معهد  المساواة بين النساء و الرجال بعد تأسيسه في 01/06/2003 .</w:t>
      </w:r>
    </w:p>
    <w:p w:rsidR="000B500E" w:rsidRDefault="000B500E" w:rsidP="000B500E">
      <w:pPr>
        <w:bidi/>
        <w:spacing w:before="60" w:after="60" w:line="276" w:lineRule="auto"/>
        <w:jc w:val="both"/>
        <w:rPr>
          <w:rFonts w:ascii="Simplified Arabic" w:hAnsi="Simplified Arabic" w:cs="Simplified Arabic" w:hint="cs"/>
          <w:sz w:val="28"/>
          <w:szCs w:val="28"/>
          <w:rtl/>
          <w:lang w:val="en-US" w:bidi="ar-DZ"/>
        </w:rPr>
      </w:pPr>
      <w:r w:rsidRPr="00B03DCB">
        <w:rPr>
          <w:rFonts w:ascii="Simplified Arabic" w:hAnsi="Simplified Arabic" w:cs="Simplified Arabic"/>
          <w:sz w:val="28"/>
          <w:szCs w:val="28"/>
          <w:rtl/>
          <w:lang w:val="en-US" w:bidi="ar-DZ"/>
        </w:rPr>
        <w:t>الطموح الأساسي الذي كان وراء تحريك مشروع ُ</w:t>
      </w:r>
      <w:r w:rsidRPr="00B03DCB">
        <w:rPr>
          <w:rFonts w:ascii="Simplified Arabic" w:hAnsi="Simplified Arabic" w:cs="Simplified Arabic"/>
          <w:sz w:val="28"/>
          <w:szCs w:val="28"/>
          <w:lang w:bidi="ar-DZ"/>
        </w:rPr>
        <w:t>EVA</w:t>
      </w:r>
      <w:r w:rsidRPr="00B03DCB">
        <w:rPr>
          <w:rFonts w:ascii="Simplified Arabic" w:hAnsi="Simplified Arabic" w:cs="Simplified Arabic"/>
          <w:sz w:val="28"/>
          <w:szCs w:val="28"/>
          <w:rtl/>
          <w:lang w:val="en-US" w:bidi="ar-DZ"/>
        </w:rPr>
        <w:t xml:space="preserve"> هو تحسيس الشركاء الاجتماعيين و مختلف قطاعات النشاط المهني بمخاطر استمرار التميز بين النساء و الرجال في مجال تصنيف الوظائف و تحديد الأجور ،و قد حدد لها هذا المشروع مدة زمنية كافية استغرقت خمس سنوات (2001-2005) للوصول إلى تطبيق تقييم موضوعي و محايد جنسيا من شأنه أن يزيل الفوارق </w:t>
      </w:r>
      <w:proofErr w:type="spellStart"/>
      <w:r w:rsidRPr="00B03DCB">
        <w:rPr>
          <w:rFonts w:ascii="Simplified Arabic" w:hAnsi="Simplified Arabic" w:cs="Simplified Arabic"/>
          <w:sz w:val="28"/>
          <w:szCs w:val="28"/>
          <w:rtl/>
          <w:lang w:val="en-US" w:bidi="ar-DZ"/>
        </w:rPr>
        <w:t>الأجرية</w:t>
      </w:r>
      <w:proofErr w:type="spellEnd"/>
      <w:r w:rsidRPr="00B03DCB">
        <w:rPr>
          <w:rFonts w:ascii="Simplified Arabic" w:hAnsi="Simplified Arabic" w:cs="Simplified Arabic"/>
          <w:sz w:val="28"/>
          <w:szCs w:val="28"/>
          <w:rtl/>
          <w:lang w:val="en-US" w:bidi="ar-DZ"/>
        </w:rPr>
        <w:t xml:space="preserve"> بين الجنسين .</w:t>
      </w: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p>
    <w:p w:rsidR="00D42F22" w:rsidRPr="00B03DCB" w:rsidRDefault="00D42F22" w:rsidP="00D42F22">
      <w:pPr>
        <w:spacing w:before="60" w:after="60" w:line="276" w:lineRule="auto"/>
        <w:jc w:val="right"/>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lastRenderedPageBreak/>
        <w:t>اولا مفاهيم حول المدونات المرجعية للوظائف والكفاءات</w:t>
      </w:r>
    </w:p>
    <w:p w:rsidR="00D42F22" w:rsidRPr="00B03DCB" w:rsidRDefault="00D42F22" w:rsidP="00D42F22">
      <w:pPr>
        <w:pStyle w:val="Paragraphedeliste"/>
        <w:numPr>
          <w:ilvl w:val="0"/>
          <w:numId w:val="9"/>
        </w:numPr>
        <w:tabs>
          <w:tab w:val="right" w:pos="226"/>
          <w:tab w:val="right" w:pos="368"/>
          <w:tab w:val="right" w:pos="425"/>
        </w:tabs>
        <w:bidi/>
        <w:spacing w:before="60" w:after="60" w:line="276" w:lineRule="auto"/>
        <w:ind w:left="0" w:firstLine="0"/>
        <w:contextualSpacing w:val="0"/>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 xml:space="preserve">تعريف </w:t>
      </w:r>
      <w:r w:rsidRPr="00B03DCB">
        <w:rPr>
          <w:rFonts w:ascii="Simplified Arabic" w:hAnsi="Simplified Arabic" w:cs="Simplified Arabic"/>
          <w:b/>
          <w:bCs/>
          <w:sz w:val="28"/>
          <w:szCs w:val="28"/>
          <w:rtl/>
        </w:rPr>
        <w:t>المدونات المرجعية للوظائف والكفاءات</w:t>
      </w:r>
      <w:r w:rsidRPr="00B03DCB">
        <w:rPr>
          <w:rFonts w:ascii="Simplified Arabic" w:hAnsi="Simplified Arabic" w:cs="Simplified Arabic"/>
          <w:sz w:val="28"/>
          <w:szCs w:val="28"/>
          <w:rtl/>
        </w:rPr>
        <w:t xml:space="preserve"> </w:t>
      </w:r>
      <w:r w:rsidRPr="00B03DCB">
        <w:rPr>
          <w:rFonts w:ascii="Simplified Arabic" w:hAnsi="Simplified Arabic" w:cs="Simplified Arabic"/>
          <w:b/>
          <w:bCs/>
          <w:sz w:val="28"/>
          <w:szCs w:val="28"/>
          <w:rtl/>
          <w:lang w:bidi="ar-DZ"/>
        </w:rPr>
        <w:t xml:space="preserve">: </w:t>
      </w:r>
      <w:r w:rsidRPr="00B03DCB">
        <w:rPr>
          <w:rFonts w:ascii="Simplified Arabic" w:hAnsi="Simplified Arabic" w:cs="Simplified Arabic"/>
          <w:sz w:val="28"/>
          <w:szCs w:val="28"/>
          <w:rtl/>
        </w:rPr>
        <w:t xml:space="preserve">هي وثيقة مرجعية تضم محورين المحور الأول خاص بالوظيفة والمحور الثاني متعلق بالكفاءات المطلوبة لأداء هذه الوظائف، وتعتبر وثيقة يعتمد عليها في بناء التوقعات المستقبلية التي يمكن أن تطرأ على الموارد البشرية داخل المنظمة. </w:t>
      </w:r>
      <w:r w:rsidRPr="00B03DCB">
        <w:rPr>
          <w:rFonts w:ascii="Simplified Arabic" w:hAnsi="Simplified Arabic" w:cs="Simplified Arabic"/>
          <w:b/>
          <w:bCs/>
          <w:sz w:val="28"/>
          <w:szCs w:val="28"/>
          <w:rtl/>
          <w:lang w:bidi="ar-DZ"/>
        </w:rPr>
        <w:t>ومن خصائص المدونة:</w:t>
      </w:r>
    </w:p>
    <w:p w:rsidR="00D42F22" w:rsidRPr="00B03DCB" w:rsidRDefault="00D42F22" w:rsidP="00D42F22">
      <w:pPr>
        <w:pStyle w:val="Paragraphedeliste"/>
        <w:numPr>
          <w:ilvl w:val="0"/>
          <w:numId w:val="6"/>
        </w:numPr>
        <w:tabs>
          <w:tab w:val="right" w:pos="226"/>
          <w:tab w:val="right" w:pos="368"/>
          <w:tab w:val="right" w:pos="425"/>
        </w:tabs>
        <w:bidi/>
        <w:spacing w:before="60" w:after="60" w:line="276" w:lineRule="auto"/>
        <w:contextualSpacing w:val="0"/>
        <w:jc w:val="both"/>
        <w:rPr>
          <w:rFonts w:ascii="Simplified Arabic" w:hAnsi="Simplified Arabic" w:cs="Simplified Arabic"/>
          <w:sz w:val="28"/>
          <w:szCs w:val="28"/>
        </w:rPr>
      </w:pPr>
      <w:proofErr w:type="gramStart"/>
      <w:r w:rsidRPr="00B03DCB">
        <w:rPr>
          <w:rFonts w:ascii="Simplified Arabic" w:hAnsi="Simplified Arabic" w:cs="Simplified Arabic"/>
          <w:sz w:val="28"/>
          <w:szCs w:val="28"/>
          <w:rtl/>
        </w:rPr>
        <w:t>وثيقة</w:t>
      </w:r>
      <w:proofErr w:type="gramEnd"/>
      <w:r w:rsidRPr="00B03DCB">
        <w:rPr>
          <w:rFonts w:ascii="Simplified Arabic" w:hAnsi="Simplified Arabic" w:cs="Simplified Arabic"/>
          <w:sz w:val="28"/>
          <w:szCs w:val="28"/>
          <w:rtl/>
        </w:rPr>
        <w:t xml:space="preserve"> بسيطة وسهلة الفهم والتنفيذ</w:t>
      </w:r>
    </w:p>
    <w:p w:rsidR="00D42F22" w:rsidRPr="00B03DCB" w:rsidRDefault="00D42F22" w:rsidP="00D42F22">
      <w:pPr>
        <w:pStyle w:val="Paragraphedeliste"/>
        <w:numPr>
          <w:ilvl w:val="0"/>
          <w:numId w:val="6"/>
        </w:numPr>
        <w:tabs>
          <w:tab w:val="right" w:pos="226"/>
          <w:tab w:val="right" w:pos="368"/>
          <w:tab w:val="right" w:pos="425"/>
        </w:tabs>
        <w:bidi/>
        <w:spacing w:before="60" w:after="60" w:line="276" w:lineRule="auto"/>
        <w:contextualSpacing w:val="0"/>
        <w:jc w:val="both"/>
        <w:rPr>
          <w:rFonts w:ascii="Simplified Arabic" w:hAnsi="Simplified Arabic" w:cs="Simplified Arabic"/>
          <w:sz w:val="28"/>
          <w:szCs w:val="28"/>
        </w:rPr>
      </w:pPr>
      <w:proofErr w:type="gramStart"/>
      <w:r w:rsidRPr="00B03DCB">
        <w:rPr>
          <w:rFonts w:ascii="Simplified Arabic" w:hAnsi="Simplified Arabic" w:cs="Simplified Arabic"/>
          <w:sz w:val="28"/>
          <w:szCs w:val="28"/>
          <w:rtl/>
        </w:rPr>
        <w:t>وثيقة</w:t>
      </w:r>
      <w:proofErr w:type="gramEnd"/>
      <w:r w:rsidRPr="00B03DCB">
        <w:rPr>
          <w:rFonts w:ascii="Simplified Arabic" w:hAnsi="Simplified Arabic" w:cs="Simplified Arabic"/>
          <w:sz w:val="28"/>
          <w:szCs w:val="28"/>
          <w:rtl/>
        </w:rPr>
        <w:t xml:space="preserve"> سهلة التحديث لأنها تضم المفردات الرئيسية المتعلقة بكل مهنة أو وظيفة والكفاءات المتعلقة بها</w:t>
      </w:r>
    </w:p>
    <w:p w:rsidR="00D42F22" w:rsidRPr="00B03DCB" w:rsidRDefault="00D42F22" w:rsidP="00D42F22">
      <w:pPr>
        <w:tabs>
          <w:tab w:val="right" w:pos="226"/>
          <w:tab w:val="right" w:pos="368"/>
          <w:tab w:val="right" w:pos="425"/>
        </w:tabs>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وثيقة تترجم الاحتياجات الضرورية إلى ممارسات مهنية.</w:t>
      </w:r>
    </w:p>
    <w:p w:rsidR="00D42F22" w:rsidRPr="00B03DCB" w:rsidRDefault="00D42F22" w:rsidP="00D42F22">
      <w:pPr>
        <w:tabs>
          <w:tab w:val="right" w:pos="226"/>
          <w:tab w:val="right" w:pos="368"/>
          <w:tab w:val="right" w:pos="425"/>
        </w:tabs>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وتعرف على انها أداة ووسيلة لإدارة ومرافقة المسارات المهنية بتاطير كاف لتطوير الكفاءات استجابة لاحتياجات الوظائف من خلال التحليل المعمق للوظائف مع إدراك تام وواضح للكفاءات المعبر عنها بأداء الأنشطة فأداء النشاط تعبير صريح عن اكتساب المعرفة </w:t>
      </w:r>
      <w:sdt>
        <w:sdtPr>
          <w:rPr>
            <w:rFonts w:ascii="Simplified Arabic" w:hAnsi="Simplified Arabic" w:cs="Simplified Arabic"/>
            <w:color w:val="000000"/>
            <w:sz w:val="28"/>
            <w:szCs w:val="28"/>
            <w:rtl/>
          </w:rPr>
          <w:id w:val="95246014"/>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 Espace_réservé1 \p 243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(ثابتي و آخرون، المدخل الى الهندسة الوظيفية، 2017، صفحة 243)</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sz w:val="28"/>
          <w:szCs w:val="28"/>
          <w:rtl/>
        </w:rPr>
        <w:t>.</w:t>
      </w:r>
    </w:p>
    <w:p w:rsidR="00D42F22" w:rsidRPr="00B03DCB" w:rsidRDefault="00D42F22" w:rsidP="00D42F22">
      <w:pPr>
        <w:pStyle w:val="Paragraphedeliste"/>
        <w:numPr>
          <w:ilvl w:val="0"/>
          <w:numId w:val="9"/>
        </w:numPr>
        <w:tabs>
          <w:tab w:val="right" w:pos="226"/>
          <w:tab w:val="right" w:pos="368"/>
          <w:tab w:val="right" w:pos="425"/>
          <w:tab w:val="right" w:pos="709"/>
        </w:tabs>
        <w:bidi/>
        <w:spacing w:before="60" w:after="60" w:line="276" w:lineRule="auto"/>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 xml:space="preserve"> أهداف إعداد مرجعية الوظائف والكفاءات</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تقدم صورة واقعية على خارطة المهن، وتأخذ بعين الاعتبار كل التغيرات أثناء عملية تصميم الوظائف.</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التطورات المرغوبة والمحتملة على المهن والكفاءات في المدى المتوسط.</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proofErr w:type="gramStart"/>
      <w:r w:rsidRPr="00B03DCB">
        <w:rPr>
          <w:rFonts w:ascii="Simplified Arabic" w:hAnsi="Simplified Arabic" w:cs="Simplified Arabic"/>
          <w:sz w:val="28"/>
          <w:szCs w:val="28"/>
          <w:rtl/>
          <w:lang w:bidi="ar-DZ"/>
        </w:rPr>
        <w:t>تحديد</w:t>
      </w:r>
      <w:proofErr w:type="gramEnd"/>
      <w:r w:rsidRPr="00B03DCB">
        <w:rPr>
          <w:rFonts w:ascii="Simplified Arabic" w:hAnsi="Simplified Arabic" w:cs="Simplified Arabic"/>
          <w:sz w:val="28"/>
          <w:szCs w:val="28"/>
          <w:rtl/>
          <w:lang w:bidi="ar-DZ"/>
        </w:rPr>
        <w:t xml:space="preserve"> كيفية تنفيذ المهن والوظائف</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proofErr w:type="gramStart"/>
      <w:r w:rsidRPr="00B03DCB">
        <w:rPr>
          <w:rFonts w:ascii="Simplified Arabic" w:hAnsi="Simplified Arabic" w:cs="Simplified Arabic"/>
          <w:sz w:val="28"/>
          <w:szCs w:val="28"/>
          <w:rtl/>
          <w:lang w:bidi="ar-DZ"/>
        </w:rPr>
        <w:t>تحديد</w:t>
      </w:r>
      <w:proofErr w:type="gramEnd"/>
      <w:r w:rsidRPr="00B03DCB">
        <w:rPr>
          <w:rFonts w:ascii="Simplified Arabic" w:hAnsi="Simplified Arabic" w:cs="Simplified Arabic"/>
          <w:sz w:val="28"/>
          <w:szCs w:val="28"/>
          <w:rtl/>
          <w:lang w:bidi="ar-DZ"/>
        </w:rPr>
        <w:t xml:space="preserve"> موقع الوظائف والمهن وتوضيح علاقته مع باقي المهن.</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اقتراح مرجعيات تساعد في بناء الهويات المهنية.</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توفير معايير تساعد في  عملية تنفيذ وتحليل وتبادل </w:t>
      </w:r>
      <w:proofErr w:type="spellStart"/>
      <w:r w:rsidRPr="00B03DCB">
        <w:rPr>
          <w:rFonts w:ascii="Simplified Arabic" w:hAnsi="Simplified Arabic" w:cs="Simplified Arabic"/>
          <w:sz w:val="28"/>
          <w:szCs w:val="28"/>
          <w:rtl/>
          <w:lang w:bidi="ar-DZ"/>
        </w:rPr>
        <w:t>ورسملة</w:t>
      </w:r>
      <w:proofErr w:type="spellEnd"/>
      <w:r w:rsidRPr="00B03DCB">
        <w:rPr>
          <w:rFonts w:ascii="Simplified Arabic" w:hAnsi="Simplified Arabic" w:cs="Simplified Arabic"/>
          <w:sz w:val="28"/>
          <w:szCs w:val="28"/>
          <w:rtl/>
          <w:lang w:bidi="ar-DZ"/>
        </w:rPr>
        <w:t xml:space="preserve"> الممارسات المهنية.</w:t>
      </w:r>
    </w:p>
    <w:p w:rsidR="00D42F22" w:rsidRPr="00B03DCB" w:rsidRDefault="00D42F22" w:rsidP="00D42F22">
      <w:pPr>
        <w:pStyle w:val="Paragraphedeliste"/>
        <w:numPr>
          <w:ilvl w:val="0"/>
          <w:numId w:val="5"/>
        </w:numPr>
        <w:tabs>
          <w:tab w:val="right" w:pos="425"/>
        </w:tabs>
        <w:bidi/>
        <w:spacing w:before="60" w:after="60" w:line="276" w:lineRule="auto"/>
        <w:contextualSpacing w:val="0"/>
        <w:jc w:val="both"/>
        <w:rPr>
          <w:rFonts w:ascii="Simplified Arabic" w:hAnsi="Simplified Arabic" w:cs="Simplified Arabic"/>
          <w:sz w:val="28"/>
          <w:szCs w:val="28"/>
          <w:lang w:bidi="ar-DZ"/>
        </w:rPr>
      </w:pPr>
      <w:proofErr w:type="gramStart"/>
      <w:r w:rsidRPr="00B03DCB">
        <w:rPr>
          <w:rFonts w:ascii="Simplified Arabic" w:hAnsi="Simplified Arabic" w:cs="Simplified Arabic"/>
          <w:sz w:val="28"/>
          <w:szCs w:val="28"/>
          <w:rtl/>
          <w:lang w:bidi="ar-DZ"/>
        </w:rPr>
        <w:t>مساعدة</w:t>
      </w:r>
      <w:proofErr w:type="gramEnd"/>
      <w:r w:rsidRPr="00B03DCB">
        <w:rPr>
          <w:rFonts w:ascii="Simplified Arabic" w:hAnsi="Simplified Arabic" w:cs="Simplified Arabic"/>
          <w:sz w:val="28"/>
          <w:szCs w:val="28"/>
          <w:rtl/>
          <w:lang w:bidi="ar-DZ"/>
        </w:rPr>
        <w:t xml:space="preserve"> المهنيين في تطوير أنشطة البحث والتدريب لتلبية احتياجات المنظمة.</w:t>
      </w:r>
    </w:p>
    <w:p w:rsidR="00D42F22" w:rsidRDefault="00D42F22" w:rsidP="00D42F22">
      <w:pPr>
        <w:pStyle w:val="Paragraphedeliste"/>
        <w:numPr>
          <w:ilvl w:val="0"/>
          <w:numId w:val="5"/>
        </w:numPr>
        <w:tabs>
          <w:tab w:val="right" w:pos="226"/>
          <w:tab w:val="right" w:pos="368"/>
          <w:tab w:val="right" w:pos="425"/>
        </w:tabs>
        <w:bidi/>
        <w:spacing w:before="60" w:after="60" w:line="276" w:lineRule="auto"/>
        <w:contextualSpacing w:val="0"/>
        <w:jc w:val="both"/>
        <w:rPr>
          <w:rFonts w:ascii="Simplified Arabic" w:hAnsi="Simplified Arabic" w:cs="Simplified Arabic" w:hint="cs"/>
          <w:sz w:val="28"/>
          <w:szCs w:val="28"/>
        </w:rPr>
      </w:pPr>
      <w:r w:rsidRPr="00B03DCB">
        <w:rPr>
          <w:rFonts w:ascii="Simplified Arabic" w:hAnsi="Simplified Arabic" w:cs="Simplified Arabic"/>
          <w:sz w:val="28"/>
          <w:szCs w:val="28"/>
          <w:rtl/>
        </w:rPr>
        <w:t>يساعد على الاستثمار الأمثل والاستعمال الجيد للموارد البشرية، سواء تعلق الأمر بالتوظيف أو الترقية أو إعادة انتشار الموظفين أو تقوية الأداء أو التأديب أو التكوين المستمر</w:t>
      </w:r>
      <w:r w:rsidRPr="00B03DCB">
        <w:rPr>
          <w:rFonts w:ascii="Simplified Arabic" w:hAnsi="Simplified Arabic" w:cs="Simplified Arabic"/>
          <w:sz w:val="28"/>
          <w:szCs w:val="28"/>
        </w:rPr>
        <w:t>.</w:t>
      </w:r>
    </w:p>
    <w:p w:rsidR="004C446C" w:rsidRDefault="004C446C" w:rsidP="004C446C">
      <w:pPr>
        <w:tabs>
          <w:tab w:val="right" w:pos="226"/>
          <w:tab w:val="right" w:pos="368"/>
          <w:tab w:val="right" w:pos="425"/>
        </w:tabs>
        <w:bidi/>
        <w:spacing w:before="60" w:after="60" w:line="276" w:lineRule="auto"/>
        <w:jc w:val="both"/>
        <w:rPr>
          <w:rFonts w:ascii="Simplified Arabic" w:hAnsi="Simplified Arabic" w:cs="Simplified Arabic" w:hint="cs"/>
          <w:sz w:val="28"/>
          <w:szCs w:val="28"/>
          <w:rtl/>
        </w:rPr>
      </w:pPr>
    </w:p>
    <w:p w:rsidR="004C446C" w:rsidRDefault="004C446C" w:rsidP="004C446C">
      <w:pPr>
        <w:tabs>
          <w:tab w:val="right" w:pos="226"/>
          <w:tab w:val="right" w:pos="368"/>
          <w:tab w:val="right" w:pos="425"/>
        </w:tabs>
        <w:bidi/>
        <w:spacing w:before="60" w:after="60" w:line="276" w:lineRule="auto"/>
        <w:jc w:val="both"/>
        <w:rPr>
          <w:rFonts w:ascii="Simplified Arabic" w:hAnsi="Simplified Arabic" w:cs="Simplified Arabic" w:hint="cs"/>
          <w:sz w:val="28"/>
          <w:szCs w:val="28"/>
          <w:rtl/>
        </w:rPr>
      </w:pPr>
    </w:p>
    <w:p w:rsidR="004C446C" w:rsidRPr="004C446C" w:rsidRDefault="004C446C" w:rsidP="004C446C">
      <w:pPr>
        <w:tabs>
          <w:tab w:val="right" w:pos="226"/>
          <w:tab w:val="right" w:pos="368"/>
          <w:tab w:val="right" w:pos="425"/>
        </w:tabs>
        <w:bidi/>
        <w:spacing w:before="60" w:after="60" w:line="276" w:lineRule="auto"/>
        <w:jc w:val="both"/>
        <w:rPr>
          <w:rFonts w:ascii="Simplified Arabic" w:hAnsi="Simplified Arabic" w:cs="Simplified Arabic"/>
          <w:sz w:val="28"/>
          <w:szCs w:val="28"/>
          <w:rtl/>
        </w:rPr>
      </w:pPr>
    </w:p>
    <w:p w:rsidR="00D42F22" w:rsidRPr="00B03DCB" w:rsidRDefault="00D42F22" w:rsidP="00D42F22">
      <w:pPr>
        <w:bidi/>
        <w:spacing w:before="60" w:after="60" w:line="276" w:lineRule="auto"/>
        <w:jc w:val="both"/>
        <w:rPr>
          <w:rFonts w:ascii="Simplified Arabic" w:hAnsi="Simplified Arabic" w:cs="Simplified Arabic"/>
          <w:b/>
          <w:bCs/>
          <w:sz w:val="28"/>
          <w:szCs w:val="28"/>
          <w:rtl/>
        </w:rPr>
      </w:pPr>
      <w:r w:rsidRPr="00B03DCB">
        <w:rPr>
          <w:rFonts w:ascii="Simplified Arabic" w:hAnsi="Simplified Arabic" w:cs="Simplified Arabic"/>
          <w:b/>
          <w:bCs/>
          <w:sz w:val="28"/>
          <w:szCs w:val="28"/>
          <w:rtl/>
        </w:rPr>
        <w:lastRenderedPageBreak/>
        <w:t>ثانيا</w:t>
      </w:r>
      <w:r w:rsidRPr="00B03DCB">
        <w:rPr>
          <w:rFonts w:ascii="Simplified Arabic" w:hAnsi="Simplified Arabic" w:cs="Simplified Arabic"/>
          <w:b/>
          <w:bCs/>
          <w:sz w:val="28"/>
          <w:szCs w:val="28"/>
          <w:rtl/>
          <w:lang w:bidi="ar-DZ"/>
        </w:rPr>
        <w:t>:</w:t>
      </w:r>
      <w:r w:rsidRPr="00B03DCB">
        <w:rPr>
          <w:rFonts w:ascii="Simplified Arabic" w:hAnsi="Simplified Arabic" w:cs="Simplified Arabic"/>
          <w:b/>
          <w:bCs/>
          <w:sz w:val="28"/>
          <w:szCs w:val="28"/>
          <w:rtl/>
        </w:rPr>
        <w:t xml:space="preserve"> ابعاد  المدونات المرجعية للوظائف والكفاءات</w:t>
      </w:r>
    </w:p>
    <w:p w:rsidR="00D42F22" w:rsidRPr="00B03DCB" w:rsidRDefault="00D42F22" w:rsidP="00D42F22">
      <w:pPr>
        <w:tabs>
          <w:tab w:val="right" w:pos="226"/>
          <w:tab w:val="right" w:pos="368"/>
          <w:tab w:val="right" w:pos="425"/>
        </w:tabs>
        <w:bidi/>
        <w:spacing w:before="60" w:after="6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1- مرجعيات الوظائف:</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rPr>
        <w:t>هي الوثيقة مرجعية (نموذجية) تقوم المنظمات بإنجازها بواسطة فريق عمل مكون لهذا الهدف، تتضمن هذه الوثيقة وصفا دقيقا وتحليليا لما تتضمنه كل وظيفة من بيانات مفصلة وتحديد  المواصفات والشروط  الواجب التوفر عليها ومن تم بلورة إطار مرجعي للكفاءات يمكن من معرفة</w:t>
      </w:r>
      <w:r w:rsidRPr="00B03DCB">
        <w:rPr>
          <w:rFonts w:ascii="Simplified Arabic" w:hAnsi="Simplified Arabic" w:cs="Simplified Arabic"/>
          <w:sz w:val="28"/>
          <w:szCs w:val="28"/>
        </w:rPr>
        <w:br/>
      </w:r>
      <w:r w:rsidRPr="00B03DCB">
        <w:rPr>
          <w:rFonts w:ascii="Simplified Arabic" w:hAnsi="Simplified Arabic" w:cs="Simplified Arabic"/>
          <w:sz w:val="28"/>
          <w:szCs w:val="28"/>
          <w:rtl/>
        </w:rPr>
        <w:t>وضبط خرائط الوظائف الموجودة والبيانات المكونة لها مع جرد المعايير التي تتطلبها كل وظيفة.</w:t>
      </w:r>
      <w:r w:rsidRPr="00B03DCB">
        <w:rPr>
          <w:rFonts w:ascii="Simplified Arabic" w:hAnsi="Simplified Arabic" w:cs="Simplified Arabic"/>
          <w:sz w:val="28"/>
          <w:szCs w:val="28"/>
          <w:rtl/>
          <w:lang w:val="en-US" w:bidi="ar-DZ"/>
        </w:rPr>
        <w:t xml:space="preserve"> </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إن مدونات الوظائف عبارة عن تقديم لدفتر الوظائف النموذج و الذي يسمح بوصف للأنشطة الحالية و المحتملة مستقبلا ،فهو وسيلة </w:t>
      </w:r>
      <w:proofErr w:type="spellStart"/>
      <w:r w:rsidRPr="00B03DCB">
        <w:rPr>
          <w:rFonts w:ascii="Simplified Arabic" w:hAnsi="Simplified Arabic" w:cs="Simplified Arabic"/>
          <w:sz w:val="28"/>
          <w:szCs w:val="28"/>
          <w:rtl/>
          <w:lang w:val="en-US" w:bidi="ar-DZ"/>
        </w:rPr>
        <w:t>إتصال</w:t>
      </w:r>
      <w:proofErr w:type="spellEnd"/>
      <w:r w:rsidRPr="00B03DCB">
        <w:rPr>
          <w:rFonts w:ascii="Simplified Arabic" w:hAnsi="Simplified Arabic" w:cs="Simplified Arabic"/>
          <w:sz w:val="28"/>
          <w:szCs w:val="28"/>
          <w:rtl/>
          <w:lang w:val="en-US" w:bidi="ar-DZ"/>
        </w:rPr>
        <w:t xml:space="preserve"> بين الأطراف الفاعلة و المتدخلة في تحديد رسم و تقييم الوظائف</w:t>
      </w:r>
      <w:r w:rsidRPr="00B03DCB">
        <w:rPr>
          <w:rFonts w:ascii="Simplified Arabic" w:hAnsi="Simplified Arabic" w:cs="Simplified Arabic"/>
          <w:b/>
          <w:bCs/>
          <w:sz w:val="28"/>
          <w:szCs w:val="28"/>
          <w:lang w:bidi="ar-DZ"/>
        </w:rPr>
        <w:t xml:space="preserve"> </w:t>
      </w:r>
      <w:sdt>
        <w:sdtPr>
          <w:rPr>
            <w:rFonts w:ascii="Simplified Arabic" w:hAnsi="Simplified Arabic" w:cs="Simplified Arabic"/>
            <w:b/>
            <w:bCs/>
            <w:sz w:val="28"/>
            <w:szCs w:val="28"/>
            <w:rtl/>
            <w:lang w:bidi="ar-DZ"/>
          </w:rPr>
          <w:id w:val="95245954"/>
          <w:citation/>
        </w:sdtPr>
        <w:sdtContent>
          <w:r w:rsidRPr="00B03DCB">
            <w:rPr>
              <w:rFonts w:ascii="Simplified Arabic" w:hAnsi="Simplified Arabic" w:cs="Simplified Arabic"/>
              <w:b/>
              <w:bCs/>
              <w:sz w:val="28"/>
              <w:szCs w:val="28"/>
              <w:lang w:bidi="ar-DZ"/>
            </w:rPr>
            <w:fldChar w:fldCharType="begin"/>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instrText>CITATION</w:instrText>
          </w:r>
          <w:r w:rsidRPr="00B03DCB">
            <w:rPr>
              <w:rFonts w:ascii="Simplified Arabic" w:hAnsi="Simplified Arabic" w:cs="Simplified Arabic"/>
              <w:b/>
              <w:bCs/>
              <w:sz w:val="28"/>
              <w:szCs w:val="28"/>
              <w:rtl/>
              <w:lang w:bidi="ar-DZ"/>
            </w:rPr>
            <w:instrText xml:space="preserve"> لعل1 \</w:instrText>
          </w:r>
          <w:r w:rsidRPr="00B03DCB">
            <w:rPr>
              <w:rFonts w:ascii="Simplified Arabic" w:hAnsi="Simplified Arabic" w:cs="Simplified Arabic"/>
              <w:b/>
              <w:bCs/>
              <w:sz w:val="28"/>
              <w:szCs w:val="28"/>
              <w:lang w:bidi="ar-DZ"/>
            </w:rPr>
            <w:instrText>p 219 \l 5121</w:instrText>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fldChar w:fldCharType="separate"/>
          </w:r>
          <w:r w:rsidRPr="00B03DCB">
            <w:rPr>
              <w:rFonts w:ascii="Simplified Arabic" w:hAnsi="Simplified Arabic" w:cs="Simplified Arabic"/>
              <w:noProof/>
              <w:sz w:val="28"/>
              <w:szCs w:val="28"/>
              <w:rtl/>
              <w:lang w:bidi="ar-DZ"/>
            </w:rPr>
            <w:t>(لعلى، 2017، صفحة 219)</w:t>
          </w:r>
          <w:r w:rsidRPr="00B03DCB">
            <w:rPr>
              <w:rFonts w:ascii="Simplified Arabic" w:hAnsi="Simplified Arabic" w:cs="Simplified Arabic"/>
              <w:b/>
              <w:bCs/>
              <w:sz w:val="28"/>
              <w:szCs w:val="28"/>
              <w:lang w:bidi="ar-DZ"/>
            </w:rPr>
            <w:fldChar w:fldCharType="end"/>
          </w:r>
        </w:sdtContent>
      </w:sdt>
      <w:r w:rsidRPr="00B03DCB">
        <w:rPr>
          <w:rFonts w:ascii="Simplified Arabic" w:hAnsi="Simplified Arabic" w:cs="Simplified Arabic"/>
          <w:sz w:val="28"/>
          <w:szCs w:val="28"/>
          <w:rtl/>
          <w:lang w:val="en-US" w:bidi="ar-DZ"/>
        </w:rPr>
        <w:t xml:space="preserve"> .</w:t>
      </w:r>
    </w:p>
    <w:p w:rsidR="00D42F22" w:rsidRPr="00B03DCB" w:rsidRDefault="00D42F22" w:rsidP="00D42F22">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1.1 دفتر الوظيفة </w:t>
      </w:r>
      <w:proofErr w:type="gramStart"/>
      <w:r w:rsidRPr="00B03DCB">
        <w:rPr>
          <w:rFonts w:ascii="Simplified Arabic" w:hAnsi="Simplified Arabic" w:cs="Simplified Arabic"/>
          <w:b/>
          <w:bCs/>
          <w:sz w:val="28"/>
          <w:szCs w:val="28"/>
          <w:rtl/>
          <w:lang w:val="en-US" w:bidi="ar-DZ"/>
        </w:rPr>
        <w:t>النموذج</w:t>
      </w:r>
      <w:proofErr w:type="gramEnd"/>
      <w:r w:rsidRPr="00B03DCB">
        <w:rPr>
          <w:rFonts w:ascii="Simplified Arabic" w:hAnsi="Simplified Arabic" w:cs="Simplified Arabic"/>
          <w:b/>
          <w:bCs/>
          <w:sz w:val="28"/>
          <w:szCs w:val="28"/>
          <w:rtl/>
          <w:lang w:val="en-US" w:bidi="ar-DZ"/>
        </w:rPr>
        <w:t xml:space="preserve"> </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إن</w:t>
      </w:r>
      <w:proofErr w:type="gramEnd"/>
      <w:r w:rsidRPr="00B03DCB">
        <w:rPr>
          <w:rFonts w:ascii="Simplified Arabic" w:hAnsi="Simplified Arabic" w:cs="Simplified Arabic"/>
          <w:sz w:val="28"/>
          <w:szCs w:val="28"/>
          <w:rtl/>
          <w:lang w:val="en-US" w:bidi="ar-DZ"/>
        </w:rPr>
        <w:t xml:space="preserve"> دفتر الوظيفة النموذج تقديم للتقارب المهني الموجود بين العائلات المهنية و العائلات المهنية الفرعية المكونة لها من خلال تقديم تبويب و ترتيب في شكل قائمة لمجموعة من الوظائف النموذج لتشكيل قاعدة مشتركة للوظائف </w:t>
      </w:r>
      <w:sdt>
        <w:sdtPr>
          <w:rPr>
            <w:rFonts w:ascii="Simplified Arabic" w:hAnsi="Simplified Arabic" w:cs="Simplified Arabic"/>
            <w:b/>
            <w:bCs/>
            <w:sz w:val="28"/>
            <w:szCs w:val="28"/>
            <w:rtl/>
            <w:lang w:bidi="ar-DZ"/>
          </w:rPr>
          <w:id w:val="95245958"/>
          <w:citation/>
        </w:sdtPr>
        <w:sdtContent>
          <w:r w:rsidRPr="00B03DCB">
            <w:rPr>
              <w:rFonts w:ascii="Simplified Arabic" w:hAnsi="Simplified Arabic" w:cs="Simplified Arabic"/>
              <w:b/>
              <w:bCs/>
              <w:sz w:val="28"/>
              <w:szCs w:val="28"/>
              <w:lang w:bidi="ar-DZ"/>
            </w:rPr>
            <w:fldChar w:fldCharType="begin"/>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instrText>CITATION</w:instrText>
          </w:r>
          <w:r w:rsidRPr="00B03DCB">
            <w:rPr>
              <w:rFonts w:ascii="Simplified Arabic" w:hAnsi="Simplified Arabic" w:cs="Simplified Arabic"/>
              <w:b/>
              <w:bCs/>
              <w:sz w:val="28"/>
              <w:szCs w:val="28"/>
              <w:rtl/>
              <w:lang w:bidi="ar-DZ"/>
            </w:rPr>
            <w:instrText xml:space="preserve"> لعل1 \</w:instrText>
          </w:r>
          <w:r w:rsidRPr="00B03DCB">
            <w:rPr>
              <w:rFonts w:ascii="Simplified Arabic" w:hAnsi="Simplified Arabic" w:cs="Simplified Arabic"/>
              <w:b/>
              <w:bCs/>
              <w:sz w:val="28"/>
              <w:szCs w:val="28"/>
              <w:lang w:bidi="ar-DZ"/>
            </w:rPr>
            <w:instrText>p 219 \l 5121</w:instrText>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fldChar w:fldCharType="separate"/>
          </w:r>
          <w:r w:rsidRPr="00B03DCB">
            <w:rPr>
              <w:rFonts w:ascii="Simplified Arabic" w:hAnsi="Simplified Arabic" w:cs="Simplified Arabic"/>
              <w:noProof/>
              <w:sz w:val="28"/>
              <w:szCs w:val="28"/>
              <w:rtl/>
              <w:lang w:bidi="ar-DZ"/>
            </w:rPr>
            <w:t>(لعلى، 2017، صفحة 219)</w:t>
          </w:r>
          <w:r w:rsidRPr="00B03DCB">
            <w:rPr>
              <w:rFonts w:ascii="Simplified Arabic" w:hAnsi="Simplified Arabic" w:cs="Simplified Arabic"/>
              <w:b/>
              <w:bCs/>
              <w:sz w:val="28"/>
              <w:szCs w:val="28"/>
              <w:lang w:bidi="ar-DZ"/>
            </w:rPr>
            <w:fldChar w:fldCharType="end"/>
          </w:r>
        </w:sdtContent>
      </w:sdt>
      <w:r w:rsidRPr="00B03DCB">
        <w:rPr>
          <w:rFonts w:ascii="Simplified Arabic" w:hAnsi="Simplified Arabic" w:cs="Simplified Arabic"/>
          <w:sz w:val="28"/>
          <w:szCs w:val="28"/>
          <w:rtl/>
          <w:lang w:val="en-US" w:bidi="ar-DZ"/>
        </w:rPr>
        <w:t>.</w:t>
      </w:r>
    </w:p>
    <w:p w:rsidR="00D42F22" w:rsidRPr="00B03DCB" w:rsidRDefault="00D42F22" w:rsidP="00D42F22">
      <w:pPr>
        <w:pStyle w:val="Paragraphedeliste"/>
        <w:numPr>
          <w:ilvl w:val="1"/>
          <w:numId w:val="12"/>
        </w:numPr>
        <w:tabs>
          <w:tab w:val="right" w:pos="850"/>
        </w:tabs>
        <w:bidi/>
        <w:spacing w:before="60" w:after="60" w:line="276" w:lineRule="auto"/>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بين دفتر الوظيفة النموذج و خريطة الوظائف النموذجية :</w:t>
      </w:r>
    </w:p>
    <w:p w:rsidR="00D42F22" w:rsidRDefault="00D42F22" w:rsidP="00D42F22">
      <w:pPr>
        <w:bidi/>
        <w:spacing w:before="60" w:after="60" w:line="276" w:lineRule="auto"/>
        <w:jc w:val="both"/>
        <w:rPr>
          <w:rFonts w:ascii="Simplified Arabic" w:hAnsi="Simplified Arabic" w:cs="Simplified Arabic" w:hint="cs"/>
          <w:sz w:val="28"/>
          <w:szCs w:val="28"/>
          <w:rtl/>
          <w:lang w:val="en-US" w:bidi="ar-DZ"/>
        </w:rPr>
      </w:pPr>
      <w:r w:rsidRPr="00B03DCB">
        <w:rPr>
          <w:rFonts w:ascii="Simplified Arabic" w:hAnsi="Simplified Arabic" w:cs="Simplified Arabic"/>
          <w:sz w:val="28"/>
          <w:szCs w:val="28"/>
          <w:rtl/>
          <w:lang w:val="en-US" w:bidi="ar-DZ"/>
        </w:rPr>
        <w:t xml:space="preserve">إن خريطة الوظائف النموذجية تركيبة أهم و أشمل من دفتر الوظيفة النموذج و ذلك لتضمن خريطة الوظائف النموذجية دفتر الوظيفة النموذجية. </w:t>
      </w: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Default="004C446C" w:rsidP="004C446C">
      <w:pPr>
        <w:bidi/>
        <w:spacing w:before="60" w:after="60" w:line="276" w:lineRule="auto"/>
        <w:jc w:val="both"/>
        <w:rPr>
          <w:rFonts w:ascii="Simplified Arabic" w:hAnsi="Simplified Arabic" w:cs="Simplified Arabic" w:hint="cs"/>
          <w:sz w:val="28"/>
          <w:szCs w:val="28"/>
          <w:rtl/>
          <w:lang w:val="en-US" w:bidi="ar-DZ"/>
        </w:rPr>
      </w:pPr>
    </w:p>
    <w:p w:rsidR="004C446C" w:rsidRPr="00B03DCB" w:rsidRDefault="004C446C" w:rsidP="004C446C">
      <w:pPr>
        <w:bidi/>
        <w:spacing w:before="60" w:after="60" w:line="276" w:lineRule="auto"/>
        <w:jc w:val="both"/>
        <w:rPr>
          <w:rFonts w:ascii="Simplified Arabic" w:hAnsi="Simplified Arabic" w:cs="Simplified Arabic"/>
          <w:sz w:val="28"/>
          <w:szCs w:val="28"/>
          <w:rtl/>
          <w:lang w:val="en-US" w:bidi="ar-DZ"/>
        </w:rPr>
      </w:pP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lastRenderedPageBreak/>
        <w:t>الجدول رقم (01) :خريطة الوظائف النموذجية</w:t>
      </w:r>
    </w:p>
    <w:tbl>
      <w:tblPr>
        <w:tblStyle w:val="Grilledutableau"/>
        <w:bidiVisual/>
        <w:tblW w:w="0" w:type="auto"/>
        <w:tblLook w:val="04A0"/>
      </w:tblPr>
      <w:tblGrid>
        <w:gridCol w:w="1904"/>
        <w:gridCol w:w="2020"/>
        <w:gridCol w:w="1949"/>
        <w:gridCol w:w="1850"/>
        <w:gridCol w:w="1443"/>
      </w:tblGrid>
      <w:tr w:rsidR="00D42F22" w:rsidRPr="00B03DCB" w:rsidTr="00C30407">
        <w:tc>
          <w:tcPr>
            <w:tcW w:w="5873" w:type="dxa"/>
            <w:gridSpan w:val="3"/>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العائلة</w:t>
            </w:r>
            <w:proofErr w:type="gramEnd"/>
            <w:r w:rsidRPr="00B03DCB">
              <w:rPr>
                <w:rFonts w:ascii="Simplified Arabic" w:hAnsi="Simplified Arabic" w:cs="Simplified Arabic"/>
                <w:sz w:val="28"/>
                <w:szCs w:val="28"/>
                <w:rtl/>
                <w:lang w:val="en-US" w:bidi="ar-DZ"/>
              </w:rPr>
              <w:t xml:space="preserve"> المهنية 01</w:t>
            </w:r>
          </w:p>
        </w:tc>
        <w:tc>
          <w:tcPr>
            <w:tcW w:w="1850" w:type="dxa"/>
            <w:tcBorders>
              <w:righ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العائلة</w:t>
            </w:r>
            <w:proofErr w:type="gramEnd"/>
            <w:r w:rsidRPr="00B03DCB">
              <w:rPr>
                <w:rFonts w:ascii="Simplified Arabic" w:hAnsi="Simplified Arabic" w:cs="Simplified Arabic"/>
                <w:sz w:val="28"/>
                <w:szCs w:val="28"/>
                <w:rtl/>
                <w:lang w:val="en-US" w:bidi="ar-DZ"/>
              </w:rPr>
              <w:t xml:space="preserve"> المهنية 02 </w:t>
            </w:r>
          </w:p>
        </w:tc>
        <w:tc>
          <w:tcPr>
            <w:tcW w:w="1443" w:type="dxa"/>
            <w:tcBorders>
              <w:lef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العائلة</w:t>
            </w:r>
            <w:proofErr w:type="gramEnd"/>
            <w:r w:rsidRPr="00B03DCB">
              <w:rPr>
                <w:rFonts w:ascii="Simplified Arabic" w:hAnsi="Simplified Arabic" w:cs="Simplified Arabic"/>
                <w:sz w:val="28"/>
                <w:szCs w:val="28"/>
                <w:rtl/>
                <w:lang w:val="en-US" w:bidi="ar-DZ"/>
              </w:rPr>
              <w:t xml:space="preserve"> المهنية 03</w:t>
            </w:r>
          </w:p>
        </w:tc>
      </w:tr>
      <w:tr w:rsidR="00D42F22" w:rsidRPr="00B03DCB" w:rsidTr="00C30407">
        <w:trPr>
          <w:trHeight w:val="595"/>
        </w:trPr>
        <w:tc>
          <w:tcPr>
            <w:tcW w:w="1904" w:type="dxa"/>
            <w:tcBorders>
              <w:bottom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العائلة</w:t>
            </w:r>
            <w:proofErr w:type="gramEnd"/>
            <w:r w:rsidRPr="00B03DCB">
              <w:rPr>
                <w:rFonts w:ascii="Simplified Arabic" w:hAnsi="Simplified Arabic" w:cs="Simplified Arabic"/>
                <w:sz w:val="28"/>
                <w:szCs w:val="28"/>
                <w:rtl/>
                <w:lang w:val="en-US" w:bidi="ar-DZ"/>
              </w:rPr>
              <w:t xml:space="preserve"> المهنية الفرعية 01</w:t>
            </w:r>
          </w:p>
        </w:tc>
        <w:tc>
          <w:tcPr>
            <w:tcW w:w="2020" w:type="dxa"/>
            <w:tcBorders>
              <w:bottom w:val="single" w:sz="4" w:space="0" w:color="auto"/>
              <w:righ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العائلة</w:t>
            </w:r>
            <w:proofErr w:type="gramEnd"/>
            <w:r w:rsidRPr="00B03DCB">
              <w:rPr>
                <w:rFonts w:ascii="Simplified Arabic" w:hAnsi="Simplified Arabic" w:cs="Simplified Arabic"/>
                <w:sz w:val="28"/>
                <w:szCs w:val="28"/>
                <w:rtl/>
                <w:lang w:val="en-US" w:bidi="ar-DZ"/>
              </w:rPr>
              <w:t xml:space="preserve"> المهنية الفرعية 02</w:t>
            </w:r>
          </w:p>
        </w:tc>
        <w:tc>
          <w:tcPr>
            <w:tcW w:w="1949" w:type="dxa"/>
            <w:tcBorders>
              <w:left w:val="single" w:sz="4" w:space="0" w:color="auto"/>
              <w:bottom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العائلة</w:t>
            </w:r>
            <w:proofErr w:type="gramEnd"/>
            <w:r w:rsidRPr="00B03DCB">
              <w:rPr>
                <w:rFonts w:ascii="Simplified Arabic" w:hAnsi="Simplified Arabic" w:cs="Simplified Arabic"/>
                <w:sz w:val="28"/>
                <w:szCs w:val="28"/>
                <w:rtl/>
                <w:lang w:val="en-US" w:bidi="ar-DZ"/>
              </w:rPr>
              <w:t xml:space="preserve"> المهنية الفرعية 03</w:t>
            </w:r>
          </w:p>
        </w:tc>
        <w:tc>
          <w:tcPr>
            <w:tcW w:w="1850" w:type="dxa"/>
            <w:vMerge w:val="restart"/>
            <w:tcBorders>
              <w:righ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
        </w:tc>
        <w:tc>
          <w:tcPr>
            <w:tcW w:w="1443" w:type="dxa"/>
            <w:vMerge w:val="restart"/>
            <w:tcBorders>
              <w:lef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
        </w:tc>
      </w:tr>
      <w:tr w:rsidR="00D42F22" w:rsidRPr="00B03DCB" w:rsidTr="00C30407">
        <w:trPr>
          <w:trHeight w:val="3110"/>
        </w:trPr>
        <w:tc>
          <w:tcPr>
            <w:tcW w:w="1904" w:type="dxa"/>
            <w:tcBorders>
              <w:top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 01</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 02</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 03</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عمل04</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عمل05</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عمل06</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عمل07</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عمل08</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عمل09</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عمل10</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عمل11</w:t>
            </w:r>
          </w:p>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وضعية عمل12</w:t>
            </w:r>
          </w:p>
        </w:tc>
        <w:tc>
          <w:tcPr>
            <w:tcW w:w="2020" w:type="dxa"/>
            <w:tcBorders>
              <w:top w:val="single" w:sz="4" w:space="0" w:color="auto"/>
              <w:righ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lang w:eastAsia="en-US"/>
              </w:rPr>
              <w:pict>
                <v:rect id="_x0000_s1026" style="position:absolute;left:0;text-align:left;margin-left:-1.9pt;margin-top:37.5pt;width:93pt;height:39.5pt;z-index:251660288;mso-position-horizontal-relative:text;mso-position-vertical-relative:text">
                  <v:textbox>
                    <w:txbxContent>
                      <w:p w:rsidR="00D42F22" w:rsidRDefault="00D42F22" w:rsidP="00D42F22">
                        <w:pPr>
                          <w:bidi/>
                          <w:rPr>
                            <w:lang w:bidi="ar-DZ"/>
                          </w:rPr>
                        </w:pPr>
                        <w:r w:rsidRPr="000E72B3">
                          <w:rPr>
                            <w:rFonts w:ascii="Traditional Arabic" w:hAnsi="Traditional Arabic" w:cs="Traditional Arabic" w:hint="cs"/>
                            <w:sz w:val="32"/>
                            <w:szCs w:val="32"/>
                            <w:rtl/>
                            <w:lang w:val="en-US" w:bidi="ar-DZ"/>
                          </w:rPr>
                          <w:t>الوظيفة</w:t>
                        </w:r>
                        <w:r>
                          <w:rPr>
                            <w:rFonts w:hint="cs"/>
                            <w:rtl/>
                            <w:lang w:bidi="ar-DZ"/>
                          </w:rPr>
                          <w:t xml:space="preserve"> النموذج أ</w:t>
                        </w:r>
                      </w:p>
                    </w:txbxContent>
                  </v:textbox>
                </v:rect>
              </w:pict>
            </w:r>
          </w:p>
        </w:tc>
        <w:tc>
          <w:tcPr>
            <w:tcW w:w="1949" w:type="dxa"/>
            <w:tcBorders>
              <w:top w:val="single" w:sz="4" w:space="0" w:color="auto"/>
              <w:lef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lang w:eastAsia="en-US"/>
              </w:rPr>
              <w:pict>
                <v:rect id="_x0000_s1028" style="position:absolute;left:0;text-align:left;margin-left:-155.45pt;margin-top:235pt;width:330pt;height:37.5pt;z-index:251662336;mso-position-horizontal-relative:text;mso-position-vertical-relative:text">
                  <v:textbox>
                    <w:txbxContent>
                      <w:p w:rsidR="00D42F22" w:rsidRPr="000E72B3" w:rsidRDefault="00D42F22" w:rsidP="00D42F22">
                        <w:pPr>
                          <w:bidi/>
                          <w:rPr>
                            <w:rFonts w:ascii="Traditional Arabic" w:hAnsi="Traditional Arabic" w:cs="Traditional Arabic"/>
                            <w:sz w:val="32"/>
                            <w:szCs w:val="32"/>
                            <w:lang w:val="en-US" w:bidi="ar-DZ"/>
                          </w:rPr>
                        </w:pPr>
                        <w:proofErr w:type="gramStart"/>
                        <w:r w:rsidRPr="000E72B3">
                          <w:rPr>
                            <w:rFonts w:ascii="Traditional Arabic" w:hAnsi="Traditional Arabic" w:cs="Traditional Arabic" w:hint="cs"/>
                            <w:sz w:val="32"/>
                            <w:szCs w:val="32"/>
                            <w:rtl/>
                            <w:lang w:val="en-US" w:bidi="ar-DZ"/>
                          </w:rPr>
                          <w:t>النموذج</w:t>
                        </w:r>
                        <w:proofErr w:type="gramEnd"/>
                        <w:r w:rsidRPr="000E72B3">
                          <w:rPr>
                            <w:rFonts w:ascii="Traditional Arabic" w:hAnsi="Traditional Arabic" w:cs="Traditional Arabic" w:hint="cs"/>
                            <w:sz w:val="32"/>
                            <w:szCs w:val="32"/>
                            <w:rtl/>
                            <w:lang w:val="en-US" w:bidi="ar-DZ"/>
                          </w:rPr>
                          <w:t xml:space="preserve"> ج</w:t>
                        </w:r>
                      </w:p>
                    </w:txbxContent>
                  </v:textbox>
                </v:rect>
              </w:pict>
            </w:r>
            <w:r>
              <w:rPr>
                <w:rFonts w:ascii="Simplified Arabic" w:hAnsi="Simplified Arabic" w:cs="Simplified Arabic"/>
                <w:noProof/>
                <w:sz w:val="28"/>
                <w:szCs w:val="28"/>
                <w:rtl/>
                <w:lang w:eastAsia="en-US"/>
              </w:rPr>
              <w:pict>
                <v:rect id="_x0000_s1027" style="position:absolute;left:0;text-align:left;margin-left:28.55pt;margin-top:168.5pt;width:119.5pt;height:44.5pt;z-index:251661312;mso-position-horizontal-relative:text;mso-position-vertical-relative:text">
                  <v:textbox>
                    <w:txbxContent>
                      <w:p w:rsidR="00D42F22" w:rsidRPr="000E72B3" w:rsidRDefault="00D42F22" w:rsidP="00D42F22">
                        <w:pPr>
                          <w:bidi/>
                          <w:rPr>
                            <w:rFonts w:ascii="Traditional Arabic" w:hAnsi="Traditional Arabic" w:cs="Traditional Arabic"/>
                            <w:sz w:val="32"/>
                            <w:szCs w:val="32"/>
                            <w:lang w:val="en-US" w:bidi="ar-DZ"/>
                          </w:rPr>
                        </w:pPr>
                        <w:r w:rsidRPr="000E72B3">
                          <w:rPr>
                            <w:rFonts w:ascii="Traditional Arabic" w:hAnsi="Traditional Arabic" w:cs="Traditional Arabic" w:hint="cs"/>
                            <w:sz w:val="32"/>
                            <w:szCs w:val="32"/>
                            <w:rtl/>
                            <w:lang w:val="en-US" w:bidi="ar-DZ"/>
                          </w:rPr>
                          <w:t>الوظيفة النموذج ب</w:t>
                        </w:r>
                      </w:p>
                    </w:txbxContent>
                  </v:textbox>
                </v:rect>
              </w:pict>
            </w:r>
          </w:p>
        </w:tc>
        <w:tc>
          <w:tcPr>
            <w:tcW w:w="1850" w:type="dxa"/>
            <w:vMerge/>
            <w:tcBorders>
              <w:righ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
        </w:tc>
        <w:tc>
          <w:tcPr>
            <w:tcW w:w="1443" w:type="dxa"/>
            <w:vMerge/>
            <w:tcBorders>
              <w:left w:val="single" w:sz="4" w:space="0" w:color="auto"/>
            </w:tcBorders>
          </w:tcPr>
          <w:p w:rsidR="00D42F22" w:rsidRPr="00B03DCB" w:rsidRDefault="00D42F22" w:rsidP="00C30407">
            <w:pPr>
              <w:bidi/>
              <w:spacing w:before="60" w:after="60" w:line="276" w:lineRule="auto"/>
              <w:jc w:val="both"/>
              <w:rPr>
                <w:rFonts w:ascii="Simplified Arabic" w:hAnsi="Simplified Arabic" w:cs="Simplified Arabic"/>
                <w:sz w:val="28"/>
                <w:szCs w:val="28"/>
                <w:rtl/>
                <w:lang w:val="en-US" w:bidi="ar-DZ"/>
              </w:rPr>
            </w:pPr>
          </w:p>
        </w:tc>
      </w:tr>
    </w:tbl>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bidi="ar-DZ"/>
        </w:rPr>
        <w:t xml:space="preserve">المصدر </w:t>
      </w:r>
      <w:sdt>
        <w:sdtPr>
          <w:rPr>
            <w:rFonts w:ascii="Simplified Arabic" w:hAnsi="Simplified Arabic" w:cs="Simplified Arabic"/>
            <w:b/>
            <w:bCs/>
            <w:sz w:val="28"/>
            <w:szCs w:val="28"/>
            <w:rtl/>
            <w:lang w:bidi="ar-DZ"/>
          </w:rPr>
          <w:id w:val="95245962"/>
          <w:citation/>
        </w:sdtPr>
        <w:sdtContent>
          <w:r w:rsidRPr="00B03DCB">
            <w:rPr>
              <w:rFonts w:ascii="Simplified Arabic" w:hAnsi="Simplified Arabic" w:cs="Simplified Arabic"/>
              <w:b/>
              <w:bCs/>
              <w:sz w:val="28"/>
              <w:szCs w:val="28"/>
              <w:lang w:bidi="ar-DZ"/>
            </w:rPr>
            <w:fldChar w:fldCharType="begin"/>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instrText>CITATION</w:instrText>
          </w:r>
          <w:r w:rsidRPr="00B03DCB">
            <w:rPr>
              <w:rFonts w:ascii="Simplified Arabic" w:hAnsi="Simplified Arabic" w:cs="Simplified Arabic"/>
              <w:b/>
              <w:bCs/>
              <w:sz w:val="28"/>
              <w:szCs w:val="28"/>
              <w:rtl/>
              <w:lang w:bidi="ar-DZ"/>
            </w:rPr>
            <w:instrText xml:space="preserve"> لعل1 \</w:instrText>
          </w:r>
          <w:r w:rsidRPr="00B03DCB">
            <w:rPr>
              <w:rFonts w:ascii="Simplified Arabic" w:hAnsi="Simplified Arabic" w:cs="Simplified Arabic"/>
              <w:b/>
              <w:bCs/>
              <w:sz w:val="28"/>
              <w:szCs w:val="28"/>
              <w:lang w:bidi="ar-DZ"/>
            </w:rPr>
            <w:instrText>p 220 \l 5121</w:instrText>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fldChar w:fldCharType="separate"/>
          </w:r>
          <w:r w:rsidRPr="00B03DCB">
            <w:rPr>
              <w:rFonts w:ascii="Simplified Arabic" w:hAnsi="Simplified Arabic" w:cs="Simplified Arabic"/>
              <w:noProof/>
              <w:sz w:val="28"/>
              <w:szCs w:val="28"/>
              <w:rtl/>
              <w:lang w:bidi="ar-DZ"/>
            </w:rPr>
            <w:t>(لعلى، 2017، صفحة 220)</w:t>
          </w:r>
          <w:r w:rsidRPr="00B03DCB">
            <w:rPr>
              <w:rFonts w:ascii="Simplified Arabic" w:hAnsi="Simplified Arabic" w:cs="Simplified Arabic"/>
              <w:b/>
              <w:bCs/>
              <w:sz w:val="28"/>
              <w:szCs w:val="28"/>
              <w:lang w:bidi="ar-DZ"/>
            </w:rPr>
            <w:fldChar w:fldCharType="end"/>
          </w:r>
        </w:sdtContent>
      </w:sdt>
      <w:r w:rsidRPr="00B03DCB">
        <w:rPr>
          <w:rFonts w:ascii="Simplified Arabic" w:hAnsi="Simplified Arabic" w:cs="Simplified Arabic"/>
          <w:b/>
          <w:bCs/>
          <w:sz w:val="28"/>
          <w:szCs w:val="28"/>
          <w:rtl/>
          <w:lang w:bidi="ar-DZ"/>
        </w:rPr>
        <w:t xml:space="preserve"> </w:t>
      </w:r>
      <w:r w:rsidRPr="00B03DCB">
        <w:rPr>
          <w:rFonts w:ascii="Simplified Arabic" w:hAnsi="Simplified Arabic" w:cs="Simplified Arabic"/>
          <w:sz w:val="28"/>
          <w:szCs w:val="28"/>
          <w:rtl/>
          <w:lang w:bidi="ar-DZ"/>
        </w:rPr>
        <w:t>بتصرف</w:t>
      </w:r>
      <w:r w:rsidRPr="00B03DCB">
        <w:rPr>
          <w:rFonts w:ascii="Simplified Arabic" w:hAnsi="Simplified Arabic" w:cs="Simplified Arabic"/>
          <w:b/>
          <w:bCs/>
          <w:sz w:val="28"/>
          <w:szCs w:val="28"/>
          <w:rtl/>
          <w:lang w:bidi="ar-DZ"/>
        </w:rPr>
        <w:t>.</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proofErr w:type="gramStart"/>
      <w:r w:rsidRPr="00B03DCB">
        <w:rPr>
          <w:rFonts w:ascii="Simplified Arabic" w:hAnsi="Simplified Arabic" w:cs="Simplified Arabic"/>
          <w:sz w:val="28"/>
          <w:szCs w:val="28"/>
          <w:rtl/>
          <w:lang w:val="en-US" w:bidi="ar-DZ"/>
        </w:rPr>
        <w:t>فبعض</w:t>
      </w:r>
      <w:proofErr w:type="gramEnd"/>
      <w:r w:rsidRPr="00B03DCB">
        <w:rPr>
          <w:rFonts w:ascii="Simplified Arabic" w:hAnsi="Simplified Arabic" w:cs="Simplified Arabic"/>
          <w:sz w:val="28"/>
          <w:szCs w:val="28"/>
          <w:rtl/>
          <w:lang w:val="en-US" w:bidi="ar-DZ"/>
        </w:rPr>
        <w:t xml:space="preserve"> مناصب العمل الخاصة بعائلة مهنية واحدة تقتصر على إحدى العائلات المهنية الفرعية المكونة لها الوظيفة تشترك في أكثر من واحدة (الوظيفة النموذج ب) و هناك من الوظائف النموذج ما تشترك في أكثر من عائلة مهنية (الوظيفة النموذج ج).</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فالعائلات </w:t>
      </w:r>
      <w:proofErr w:type="gramStart"/>
      <w:r w:rsidRPr="00B03DCB">
        <w:rPr>
          <w:rFonts w:ascii="Simplified Arabic" w:hAnsi="Simplified Arabic" w:cs="Simplified Arabic"/>
          <w:sz w:val="28"/>
          <w:szCs w:val="28"/>
          <w:rtl/>
          <w:lang w:val="en-US" w:bidi="ar-DZ"/>
        </w:rPr>
        <w:t>المهنية :</w:t>
      </w:r>
      <w:proofErr w:type="gramEnd"/>
      <w:r w:rsidRPr="00B03DCB">
        <w:rPr>
          <w:rFonts w:ascii="Simplified Arabic" w:hAnsi="Simplified Arabic" w:cs="Simplified Arabic"/>
          <w:sz w:val="28"/>
          <w:szCs w:val="28"/>
          <w:rtl/>
          <w:lang w:val="en-US" w:bidi="ar-DZ"/>
        </w:rPr>
        <w:t xml:space="preserve"> مثلا الموارد البشرية </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فالعائلات المهنية </w:t>
      </w:r>
      <w:proofErr w:type="gramStart"/>
      <w:r w:rsidRPr="00B03DCB">
        <w:rPr>
          <w:rFonts w:ascii="Simplified Arabic" w:hAnsi="Simplified Arabic" w:cs="Simplified Arabic"/>
          <w:sz w:val="28"/>
          <w:szCs w:val="28"/>
          <w:rtl/>
          <w:lang w:val="en-US" w:bidi="ar-DZ"/>
        </w:rPr>
        <w:t>الفرعية :</w:t>
      </w:r>
      <w:proofErr w:type="gramEnd"/>
      <w:r w:rsidRPr="00B03DCB">
        <w:rPr>
          <w:rFonts w:ascii="Simplified Arabic" w:hAnsi="Simplified Arabic" w:cs="Simplified Arabic"/>
          <w:sz w:val="28"/>
          <w:szCs w:val="28"/>
          <w:rtl/>
          <w:lang w:val="en-US" w:bidi="ar-DZ"/>
        </w:rPr>
        <w:t xml:space="preserve"> التكوين ،و التوظيف .</w:t>
      </w:r>
    </w:p>
    <w:p w:rsidR="00D42F22" w:rsidRPr="00B03DCB" w:rsidRDefault="00D42F22" w:rsidP="00D42F22">
      <w:pPr>
        <w:pStyle w:val="Paragraphedeliste"/>
        <w:numPr>
          <w:ilvl w:val="0"/>
          <w:numId w:val="12"/>
        </w:numPr>
        <w:tabs>
          <w:tab w:val="right" w:pos="567"/>
        </w:tabs>
        <w:bidi/>
        <w:spacing w:before="60" w:after="60" w:line="276" w:lineRule="auto"/>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lastRenderedPageBreak/>
        <w:t>مرجعية الكفاءات :</w:t>
      </w:r>
    </w:p>
    <w:p w:rsidR="00D42F22" w:rsidRPr="00B03DCB" w:rsidRDefault="00D42F22" w:rsidP="004C446C">
      <w:pPr>
        <w:tabs>
          <w:tab w:val="right" w:pos="226"/>
          <w:tab w:val="right" w:pos="368"/>
          <w:tab w:val="right" w:pos="425"/>
        </w:tabs>
        <w:bidi/>
        <w:spacing w:before="60" w:after="60" w:line="276" w:lineRule="auto"/>
        <w:jc w:val="both"/>
        <w:rPr>
          <w:rFonts w:ascii="Simplified Arabic" w:hAnsi="Simplified Arabic" w:cs="Simplified Arabic"/>
          <w:sz w:val="28"/>
          <w:szCs w:val="28"/>
          <w:lang w:val="en-US" w:bidi="ar-DZ"/>
        </w:rPr>
      </w:pPr>
      <w:proofErr w:type="gramStart"/>
      <w:r w:rsidRPr="00B03DCB">
        <w:rPr>
          <w:rFonts w:ascii="Simplified Arabic" w:hAnsi="Simplified Arabic" w:cs="Simplified Arabic"/>
          <w:sz w:val="28"/>
          <w:szCs w:val="28"/>
          <w:rtl/>
        </w:rPr>
        <w:t>يقدم</w:t>
      </w:r>
      <w:proofErr w:type="gramEnd"/>
      <w:r w:rsidRPr="00B03DCB">
        <w:rPr>
          <w:rFonts w:ascii="Simplified Arabic" w:hAnsi="Simplified Arabic" w:cs="Simplified Arabic"/>
          <w:sz w:val="28"/>
          <w:szCs w:val="28"/>
          <w:rtl/>
        </w:rPr>
        <w:t xml:space="preserve"> مرجع الكفاءات هيكلة عامة للكفاءات المرتبطة بالوظائف النموذجية المعدة سابقا، وتعتبر مفتاح نظام مراقبة الموارد البشرية، فهي تسمح بدراسة العلاقة بين فرص العمل وإمكانيات الموارد البشرية في المنظمة. كما تعتبر أداة نوعية لضبط الكفاءات مع متطلبات التوظيف والتدريب  ان </w:t>
      </w:r>
      <w:r w:rsidRPr="00B03DCB">
        <w:rPr>
          <w:rFonts w:ascii="Simplified Arabic" w:hAnsi="Simplified Arabic" w:cs="Simplified Arabic"/>
          <w:sz w:val="28"/>
          <w:szCs w:val="28"/>
          <w:rtl/>
          <w:lang w:val="en-US" w:bidi="ar-DZ"/>
        </w:rPr>
        <w:t>مرجعية الكفاءات ما يستند إليه في تحديد الكفاءات الواجب توفرها في شاغل الوظيفة و التي تتلاءم مع المهام و الأنشطة الموكلة إليه و المحددة هي الأخرى في مرجعية الوظائف</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من خلال التعريفين المقدمين نخلص إلى إن مرجعية الكفاءات وثيقة رسمية تكون من مجموعة من البطاقات </w:t>
      </w:r>
      <w:proofErr w:type="spellStart"/>
      <w:r w:rsidRPr="00B03DCB">
        <w:rPr>
          <w:rFonts w:ascii="Simplified Arabic" w:hAnsi="Simplified Arabic" w:cs="Simplified Arabic"/>
          <w:sz w:val="28"/>
          <w:szCs w:val="28"/>
          <w:rtl/>
          <w:lang w:val="en-US" w:bidi="ar-DZ"/>
        </w:rPr>
        <w:t>الكفاءتية</w:t>
      </w:r>
      <w:proofErr w:type="spellEnd"/>
      <w:r w:rsidRPr="00B03DCB">
        <w:rPr>
          <w:rFonts w:ascii="Simplified Arabic" w:hAnsi="Simplified Arabic" w:cs="Simplified Arabic"/>
          <w:sz w:val="28"/>
          <w:szCs w:val="28"/>
          <w:rtl/>
          <w:lang w:val="en-US" w:bidi="ar-DZ"/>
        </w:rPr>
        <w:t xml:space="preserve"> تتضمن ثلاث أنواع من المعلومات :</w:t>
      </w:r>
    </w:p>
    <w:p w:rsidR="00D42F22" w:rsidRPr="00B03DCB" w:rsidRDefault="00D42F22" w:rsidP="00D42F22">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معلومات عن الوظائف العائلة المهنية الفرعية و الأساسية</w:t>
      </w:r>
      <w:r w:rsidRPr="00B03DCB">
        <w:rPr>
          <w:rFonts w:ascii="Simplified Arabic" w:hAnsi="Simplified Arabic" w:cs="Simplified Arabic"/>
          <w:sz w:val="28"/>
          <w:szCs w:val="28"/>
          <w:rtl/>
          <w:lang w:val="en-US" w:bidi="ar-DZ"/>
        </w:rPr>
        <w:t xml:space="preserve"> التي تنتمي إليها الوظيفة منصب عمل –وضعية </w:t>
      </w:r>
      <w:proofErr w:type="gramStart"/>
      <w:r w:rsidRPr="00B03DCB">
        <w:rPr>
          <w:rFonts w:ascii="Simplified Arabic" w:hAnsi="Simplified Arabic" w:cs="Simplified Arabic"/>
          <w:sz w:val="28"/>
          <w:szCs w:val="28"/>
          <w:rtl/>
          <w:lang w:val="en-US" w:bidi="ar-DZ"/>
        </w:rPr>
        <w:t>العمل .</w:t>
      </w:r>
      <w:proofErr w:type="gramEnd"/>
    </w:p>
    <w:p w:rsidR="00D42F22" w:rsidRPr="00B03DCB" w:rsidRDefault="00D42F22" w:rsidP="00D42F22">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 xml:space="preserve">معلومات عن </w:t>
      </w:r>
      <w:proofErr w:type="gramStart"/>
      <w:r w:rsidRPr="00B03DCB">
        <w:rPr>
          <w:rFonts w:ascii="Simplified Arabic" w:hAnsi="Simplified Arabic" w:cs="Simplified Arabic"/>
          <w:b/>
          <w:bCs/>
          <w:sz w:val="28"/>
          <w:szCs w:val="28"/>
          <w:rtl/>
          <w:lang w:val="en-US" w:bidi="ar-DZ"/>
        </w:rPr>
        <w:t>الكفاءات :</w:t>
      </w:r>
      <w:proofErr w:type="gramEnd"/>
      <w:r w:rsidRPr="00B03DCB">
        <w:rPr>
          <w:rFonts w:ascii="Simplified Arabic" w:hAnsi="Simplified Arabic" w:cs="Simplified Arabic"/>
          <w:sz w:val="28"/>
          <w:szCs w:val="28"/>
          <w:rtl/>
          <w:lang w:val="en-US" w:bidi="ar-DZ"/>
        </w:rPr>
        <w:t>و تضم المعارف ،و المعارف العلمية ،و المواقف التي يتطلبها التشغيل إضافة إلى التكوين .</w:t>
      </w:r>
    </w:p>
    <w:p w:rsidR="00D42F22" w:rsidRPr="00B03DCB" w:rsidRDefault="00D42F22" w:rsidP="00D42F22">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معلومات عن العبور</w:t>
      </w:r>
      <w:r w:rsidRPr="00B03DCB">
        <w:rPr>
          <w:rFonts w:ascii="Simplified Arabic" w:hAnsi="Simplified Arabic" w:cs="Simplified Arabic"/>
          <w:sz w:val="28"/>
          <w:szCs w:val="28"/>
          <w:rtl/>
          <w:lang w:val="en-US" w:bidi="ar-DZ"/>
        </w:rPr>
        <w:t xml:space="preserve"> و تخص الوظائف أو مناصب العمل الممكن شغلها و المعتمدة على الكفاءات المكتسبة و التي نميز من خلالها </w:t>
      </w:r>
      <w:r w:rsidRPr="00B03DCB">
        <w:rPr>
          <w:rFonts w:ascii="Simplified Arabic" w:hAnsi="Simplified Arabic" w:cs="Simplified Arabic"/>
          <w:color w:val="000000"/>
          <w:sz w:val="28"/>
          <w:szCs w:val="28"/>
        </w:rPr>
        <w:t xml:space="preserve"> </w:t>
      </w:r>
      <w:sdt>
        <w:sdtPr>
          <w:rPr>
            <w:rFonts w:ascii="Simplified Arabic" w:hAnsi="Simplified Arabic" w:cs="Simplified Arabic"/>
            <w:color w:val="000000"/>
            <w:sz w:val="28"/>
            <w:szCs w:val="28"/>
            <w:rtl/>
          </w:rPr>
          <w:id w:val="95245966"/>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w:instrText>
          </w:r>
          <w:r w:rsidRPr="00B03DCB">
            <w:rPr>
              <w:rFonts w:ascii="Simplified Arabic" w:hAnsi="Simplified Arabic" w:cs="Simplified Arabic"/>
              <w:color w:val="000000"/>
              <w:sz w:val="28"/>
              <w:szCs w:val="28"/>
              <w:rtl/>
              <w:lang w:bidi="ar-DZ"/>
            </w:rPr>
            <w:instrText xml:space="preserve"> دور16 \</w:instrText>
          </w:r>
          <w:r w:rsidRPr="00B03DCB">
            <w:rPr>
              <w:rFonts w:ascii="Simplified Arabic" w:hAnsi="Simplified Arabic" w:cs="Simplified Arabic"/>
              <w:color w:val="000000"/>
              <w:sz w:val="28"/>
              <w:szCs w:val="28"/>
              <w:lang w:bidi="ar-DZ"/>
            </w:rPr>
            <w:instrText>p 175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(موساوي، 2015-2016، صفحة 175)</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sz w:val="28"/>
          <w:szCs w:val="28"/>
          <w:rtl/>
          <w:lang w:val="en-US" w:bidi="ar-DZ"/>
        </w:rPr>
        <w:t>:</w:t>
      </w:r>
    </w:p>
    <w:p w:rsidR="00D42F22" w:rsidRPr="00B03DCB" w:rsidRDefault="00D42F22" w:rsidP="00D42F22">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 xml:space="preserve">العبور السهل </w:t>
      </w:r>
      <w:r w:rsidRPr="00B03DCB">
        <w:rPr>
          <w:rFonts w:ascii="Simplified Arabic" w:hAnsi="Simplified Arabic" w:cs="Simplified Arabic"/>
          <w:b/>
          <w:bCs/>
          <w:sz w:val="28"/>
          <w:szCs w:val="28"/>
          <w:lang w:bidi="ar-DZ"/>
        </w:rPr>
        <w:t xml:space="preserve">passage </w:t>
      </w:r>
      <w:proofErr w:type="gramStart"/>
      <w:r w:rsidRPr="00B03DCB">
        <w:rPr>
          <w:rFonts w:ascii="Simplified Arabic" w:hAnsi="Simplified Arabic" w:cs="Simplified Arabic"/>
          <w:b/>
          <w:bCs/>
          <w:sz w:val="28"/>
          <w:szCs w:val="28"/>
          <w:lang w:bidi="ar-DZ"/>
        </w:rPr>
        <w:t>aisée</w:t>
      </w:r>
      <w:r w:rsidRPr="00B03DCB">
        <w:rPr>
          <w:rFonts w:ascii="Simplified Arabic" w:hAnsi="Simplified Arabic" w:cs="Simplified Arabic"/>
          <w:b/>
          <w:bCs/>
          <w:sz w:val="28"/>
          <w:szCs w:val="28"/>
          <w:rtl/>
          <w:lang w:val="en-US" w:bidi="ar-DZ"/>
        </w:rPr>
        <w:t xml:space="preserve"> :</w:t>
      </w:r>
      <w:proofErr w:type="gramEnd"/>
      <w:r w:rsidRPr="00B03DCB">
        <w:rPr>
          <w:rFonts w:ascii="Simplified Arabic" w:hAnsi="Simplified Arabic" w:cs="Simplified Arabic"/>
          <w:sz w:val="28"/>
          <w:szCs w:val="28"/>
          <w:rtl/>
          <w:lang w:val="en-US" w:bidi="ar-DZ"/>
        </w:rPr>
        <w:t>و هنا تكون تغطية الكفاءات للوظيفة النموذج سهلة العبور للوظيفة النموذج الهدف (محتمل الانتقال إليها ) لتصمنها معارف كفاءات مشتركة .</w:t>
      </w:r>
    </w:p>
    <w:p w:rsidR="00D42F22" w:rsidRPr="00B03DCB" w:rsidRDefault="00D42F22" w:rsidP="00D42F22">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العبور الوشيك (</w:t>
      </w:r>
      <w:proofErr w:type="spellStart"/>
      <w:r w:rsidRPr="00B03DCB">
        <w:rPr>
          <w:rFonts w:ascii="Simplified Arabic" w:hAnsi="Simplified Arabic" w:cs="Simplified Arabic"/>
          <w:b/>
          <w:bCs/>
          <w:sz w:val="28"/>
          <w:szCs w:val="28"/>
          <w:lang w:bidi="ar-DZ"/>
        </w:rPr>
        <w:t>pasage</w:t>
      </w:r>
      <w:proofErr w:type="spellEnd"/>
      <w:r w:rsidRPr="00B03DCB">
        <w:rPr>
          <w:rFonts w:ascii="Simplified Arabic" w:hAnsi="Simplified Arabic" w:cs="Simplified Arabic"/>
          <w:b/>
          <w:bCs/>
          <w:sz w:val="28"/>
          <w:szCs w:val="28"/>
          <w:lang w:bidi="ar-DZ"/>
        </w:rPr>
        <w:t xml:space="preserve"> </w:t>
      </w:r>
      <w:proofErr w:type="spellStart"/>
      <w:r w:rsidRPr="00B03DCB">
        <w:rPr>
          <w:rFonts w:ascii="Simplified Arabic" w:hAnsi="Simplified Arabic" w:cs="Simplified Arabic"/>
          <w:b/>
          <w:bCs/>
          <w:sz w:val="28"/>
          <w:szCs w:val="28"/>
          <w:lang w:bidi="ar-DZ"/>
        </w:rPr>
        <w:t>evertuel</w:t>
      </w:r>
      <w:proofErr w:type="spellEnd"/>
      <w:r w:rsidRPr="00B03DCB">
        <w:rPr>
          <w:rFonts w:ascii="Simplified Arabic" w:hAnsi="Simplified Arabic" w:cs="Simplified Arabic"/>
          <w:b/>
          <w:bCs/>
          <w:sz w:val="28"/>
          <w:szCs w:val="28"/>
          <w:rtl/>
          <w:lang w:val="en-US" w:bidi="ar-DZ"/>
        </w:rPr>
        <w:t>):</w:t>
      </w:r>
      <w:r w:rsidRPr="00B03DCB">
        <w:rPr>
          <w:rFonts w:ascii="Simplified Arabic" w:hAnsi="Simplified Arabic" w:cs="Simplified Arabic"/>
          <w:sz w:val="28"/>
          <w:szCs w:val="28"/>
          <w:rtl/>
          <w:lang w:val="en-US" w:bidi="ar-DZ"/>
        </w:rPr>
        <w:t xml:space="preserve"> و يكون العبور هنا وشيك الحدوث لاعتبار أن الكفاءات ضمنية و سلوكية لا يمكن تحديد تغطية الكفاءات للاحتياج إلا من خلال الملاحظة و التحقيق في </w:t>
      </w:r>
      <w:proofErr w:type="gramStart"/>
      <w:r w:rsidRPr="00B03DCB">
        <w:rPr>
          <w:rFonts w:ascii="Simplified Arabic" w:hAnsi="Simplified Arabic" w:cs="Simplified Arabic"/>
          <w:sz w:val="28"/>
          <w:szCs w:val="28"/>
          <w:rtl/>
          <w:lang w:val="en-US" w:bidi="ar-DZ"/>
        </w:rPr>
        <w:t>الأداء .</w:t>
      </w:r>
      <w:proofErr w:type="gramEnd"/>
    </w:p>
    <w:p w:rsidR="00D42F22" w:rsidRPr="00B03DCB" w:rsidRDefault="00D42F22" w:rsidP="00D42F22">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العبور الممكن (</w:t>
      </w:r>
      <w:r w:rsidRPr="00B03DCB">
        <w:rPr>
          <w:rFonts w:ascii="Simplified Arabic" w:hAnsi="Simplified Arabic" w:cs="Simplified Arabic"/>
          <w:b/>
          <w:bCs/>
          <w:sz w:val="28"/>
          <w:szCs w:val="28"/>
          <w:lang w:val="en-US" w:bidi="ar-DZ"/>
        </w:rPr>
        <w:t>passage accessible</w:t>
      </w:r>
      <w:r w:rsidRPr="00B03DCB">
        <w:rPr>
          <w:rFonts w:ascii="Simplified Arabic" w:hAnsi="Simplified Arabic" w:cs="Simplified Arabic"/>
          <w:sz w:val="28"/>
          <w:szCs w:val="28"/>
          <w:rtl/>
          <w:lang w:val="en-US" w:bidi="ar-DZ"/>
        </w:rPr>
        <w:t xml:space="preserve">): يكون العبور سهلا بالنسبة للكفاءات الأساسية و التي تكون مشتركة في حين أن تغطية الكفاءات المهنية تكون قليلة و محدودة </w:t>
      </w:r>
      <w:proofErr w:type="gramStart"/>
      <w:r w:rsidRPr="00B03DCB">
        <w:rPr>
          <w:rFonts w:ascii="Simplified Arabic" w:hAnsi="Simplified Arabic" w:cs="Simplified Arabic"/>
          <w:sz w:val="28"/>
          <w:szCs w:val="28"/>
          <w:rtl/>
          <w:lang w:val="en-US" w:bidi="ar-DZ"/>
        </w:rPr>
        <w:t>جدا .</w:t>
      </w:r>
      <w:proofErr w:type="gramEnd"/>
      <w:r w:rsidRPr="00B03DCB">
        <w:rPr>
          <w:rFonts w:ascii="Simplified Arabic" w:hAnsi="Simplified Arabic" w:cs="Simplified Arabic"/>
          <w:sz w:val="28"/>
          <w:szCs w:val="28"/>
          <w:rtl/>
          <w:lang w:val="en-US" w:bidi="ar-DZ"/>
        </w:rPr>
        <w:t>(</w:t>
      </w:r>
      <w:r w:rsidRPr="00B03DCB">
        <w:rPr>
          <w:rFonts w:ascii="Simplified Arabic" w:hAnsi="Simplified Arabic" w:cs="Simplified Arabic"/>
          <w:sz w:val="28"/>
          <w:szCs w:val="28"/>
          <w:lang w:bidi="ar-DZ"/>
        </w:rPr>
        <w:t>note d’</w:t>
      </w:r>
      <w:proofErr w:type="spellStart"/>
      <w:r w:rsidRPr="00B03DCB">
        <w:rPr>
          <w:rFonts w:ascii="Simplified Arabic" w:hAnsi="Simplified Arabic" w:cs="Simplified Arabic"/>
          <w:sz w:val="28"/>
          <w:szCs w:val="28"/>
          <w:lang w:bidi="ar-DZ"/>
        </w:rPr>
        <w:t>observataire</w:t>
      </w:r>
      <w:proofErr w:type="spellEnd"/>
      <w:r w:rsidRPr="00B03DCB">
        <w:rPr>
          <w:rFonts w:ascii="Simplified Arabic" w:hAnsi="Simplified Arabic" w:cs="Simplified Arabic"/>
          <w:sz w:val="28"/>
          <w:szCs w:val="28"/>
          <w:lang w:bidi="ar-DZ"/>
        </w:rPr>
        <w:t xml:space="preserve"> des </w:t>
      </w:r>
      <w:proofErr w:type="spellStart"/>
      <w:r w:rsidRPr="00B03DCB">
        <w:rPr>
          <w:rFonts w:ascii="Simplified Arabic" w:hAnsi="Simplified Arabic" w:cs="Simplified Arabic"/>
          <w:sz w:val="28"/>
          <w:szCs w:val="28"/>
          <w:lang w:bidi="ar-DZ"/>
        </w:rPr>
        <w:t>matiers</w:t>
      </w:r>
      <w:proofErr w:type="spellEnd"/>
      <w:r w:rsidRPr="00B03DCB">
        <w:rPr>
          <w:rFonts w:ascii="Simplified Arabic" w:hAnsi="Simplified Arabic" w:cs="Simplified Arabic"/>
          <w:sz w:val="28"/>
          <w:szCs w:val="28"/>
          <w:lang w:bidi="ar-DZ"/>
        </w:rPr>
        <w:t>, 2000,p03</w:t>
      </w:r>
      <w:r w:rsidRPr="00B03DCB">
        <w:rPr>
          <w:rFonts w:ascii="Simplified Arabic" w:hAnsi="Simplified Arabic" w:cs="Simplified Arabic"/>
          <w:sz w:val="28"/>
          <w:szCs w:val="28"/>
          <w:rtl/>
          <w:lang w:val="en-US" w:bidi="ar-DZ"/>
        </w:rPr>
        <w:t>).</w:t>
      </w:r>
    </w:p>
    <w:p w:rsidR="00D42F22" w:rsidRPr="00B03DCB" w:rsidRDefault="00D42F22" w:rsidP="00D42F22">
      <w:pPr>
        <w:bidi/>
        <w:spacing w:before="60" w:after="60" w:line="276" w:lineRule="auto"/>
        <w:jc w:val="both"/>
        <w:rPr>
          <w:rFonts w:ascii="Simplified Arabic" w:hAnsi="Simplified Arabic" w:cs="Simplified Arabic"/>
          <w:sz w:val="28"/>
          <w:szCs w:val="28"/>
          <w:rtl/>
          <w:lang w:val="en-US" w:bidi="ar-DZ"/>
        </w:rPr>
      </w:pPr>
    </w:p>
    <w:sectPr w:rsidR="00D42F22" w:rsidRPr="00B03DCB" w:rsidSect="000B500E">
      <w:pgSz w:w="11906" w:h="16838"/>
      <w:pgMar w:top="1417" w:right="1133"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564"/>
    <w:multiLevelType w:val="multilevel"/>
    <w:tmpl w:val="90908A2A"/>
    <w:lvl w:ilvl="0">
      <w:start w:val="1"/>
      <w:numFmt w:val="decimal"/>
      <w:lvlText w:val="%1-"/>
      <w:lvlJc w:val="left"/>
      <w:pPr>
        <w:ind w:left="720" w:hanging="720"/>
      </w:pPr>
      <w:rPr>
        <w:rFonts w:hint="default"/>
      </w:rPr>
    </w:lvl>
    <w:lvl w:ilvl="1">
      <w:start w:val="2"/>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
    <w:nsid w:val="0A132F31"/>
    <w:multiLevelType w:val="hybridMultilevel"/>
    <w:tmpl w:val="5402203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A380680"/>
    <w:multiLevelType w:val="hybridMultilevel"/>
    <w:tmpl w:val="B2722BBC"/>
    <w:lvl w:ilvl="0" w:tplc="0E5E75B8">
      <w:start w:val="1"/>
      <w:numFmt w:val="bullet"/>
      <w:lvlText w:val=""/>
      <w:lvlJc w:val="left"/>
      <w:pPr>
        <w:ind w:left="720" w:hanging="360"/>
      </w:pPr>
      <w:rPr>
        <w:rFonts w:ascii="Symbol" w:eastAsiaTheme="minorEastAsia"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833656"/>
    <w:multiLevelType w:val="hybridMultilevel"/>
    <w:tmpl w:val="A5263E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A708EE"/>
    <w:multiLevelType w:val="hybridMultilevel"/>
    <w:tmpl w:val="ABA0CB34"/>
    <w:lvl w:ilvl="0" w:tplc="694019F8">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4A50B7"/>
    <w:multiLevelType w:val="hybridMultilevel"/>
    <w:tmpl w:val="9E521AC8"/>
    <w:lvl w:ilvl="0" w:tplc="5CDE331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50721C"/>
    <w:multiLevelType w:val="hybridMultilevel"/>
    <w:tmpl w:val="9E82566C"/>
    <w:lvl w:ilvl="0" w:tplc="30A20D3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765DE2"/>
    <w:multiLevelType w:val="hybridMultilevel"/>
    <w:tmpl w:val="92FE9966"/>
    <w:lvl w:ilvl="0" w:tplc="C7022B24">
      <w:start w:val="2"/>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14514B"/>
    <w:multiLevelType w:val="hybridMultilevel"/>
    <w:tmpl w:val="22DCAC3E"/>
    <w:lvl w:ilvl="0" w:tplc="57F6F58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629188C"/>
    <w:multiLevelType w:val="hybridMultilevel"/>
    <w:tmpl w:val="D1728F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0F0B12"/>
    <w:multiLevelType w:val="hybridMultilevel"/>
    <w:tmpl w:val="D38EAC00"/>
    <w:lvl w:ilvl="0" w:tplc="3E5A88C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031870"/>
    <w:multiLevelType w:val="hybridMultilevel"/>
    <w:tmpl w:val="8EAE2A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3B5FEA"/>
    <w:multiLevelType w:val="hybridMultilevel"/>
    <w:tmpl w:val="97087A88"/>
    <w:lvl w:ilvl="0" w:tplc="541642A6">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1"/>
  </w:num>
  <w:num w:numId="5">
    <w:abstractNumId w:val="5"/>
  </w:num>
  <w:num w:numId="6">
    <w:abstractNumId w:val="10"/>
  </w:num>
  <w:num w:numId="7">
    <w:abstractNumId w:val="2"/>
  </w:num>
  <w:num w:numId="8">
    <w:abstractNumId w:val="4"/>
  </w:num>
  <w:num w:numId="9">
    <w:abstractNumId w:val="12"/>
  </w:num>
  <w:num w:numId="10">
    <w:abstractNumId w:val="6"/>
  </w:num>
  <w:num w:numId="11">
    <w:abstractNumId w:val="3"/>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0B500E"/>
    <w:rsid w:val="000B500E"/>
    <w:rsid w:val="001F3AA0"/>
    <w:rsid w:val="002D3190"/>
    <w:rsid w:val="00322FD5"/>
    <w:rsid w:val="004C446C"/>
    <w:rsid w:val="00C31A75"/>
    <w:rsid w:val="00C6041F"/>
    <w:rsid w:val="00D42F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00E"/>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00E"/>
    <w:pPr>
      <w:ind w:left="720"/>
      <w:contextualSpacing/>
    </w:pPr>
  </w:style>
  <w:style w:type="table" w:styleId="Grilledutableau">
    <w:name w:val="Table Grid"/>
    <w:basedOn w:val="TableauNormal"/>
    <w:uiPriority w:val="59"/>
    <w:rsid w:val="000B500E"/>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B500E"/>
    <w:rPr>
      <w:rFonts w:ascii="Tahoma" w:hAnsi="Tahoma" w:cs="Tahoma"/>
      <w:sz w:val="16"/>
      <w:szCs w:val="16"/>
    </w:rPr>
  </w:style>
  <w:style w:type="character" w:customStyle="1" w:styleId="TextedebullesCar">
    <w:name w:val="Texte de bulles Car"/>
    <w:basedOn w:val="Policepardfaut"/>
    <w:link w:val="Textedebulles"/>
    <w:uiPriority w:val="99"/>
    <w:semiHidden/>
    <w:rsid w:val="000B500E"/>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Espace_réservé1</b:Tag>
    <b:SourceType>Book</b:SourceType>
    <b:Guid>{161A5B04-E493-44C2-83C8-A0E7B74216D4}</b:Guid>
    <b:LCID>5121</b:LCID>
    <b:Author>
      <b:Author>
        <b:NameList>
          <b:Person>
            <b:Last>ثابتي</b:Last>
            <b:First>الحبيب</b:First>
          </b:Person>
          <b:Person>
            <b:Last>آخرون</b:Last>
          </b:Person>
        </b:NameList>
      </b:Author>
    </b:Author>
    <b:Title>المدخل الى الهندسة الوظيفية</b:Title>
    <b:Year>2017</b:Year>
    <b:City>غرداية</b:City>
    <b:Publisher>دار صبحي للطباعة والنشر</b:Publisher>
    <b:RefOrder>36</b:RefOrder>
  </b:Source>
  <b:Source>
    <b:Tag>لعل1</b:Tag>
    <b:SourceType>Book</b:SourceType>
    <b:Guid>{EDB6EDF2-8749-40A8-838B-5D9912137A50}</b:Guid>
    <b:LCID>0</b:LCID>
    <b:Author>
      <b:Author>
        <b:NameList>
          <b:Person>
            <b:Last>لعلى</b:Last>
            <b:First>نورية</b:First>
          </b:Person>
        </b:NameList>
      </b:Author>
    </b:Author>
    <b:Title>مرجعيات الوظائف والكفاءات كاداة للتسيير التقديري للموارد البشرية</b:Title>
    <b:City>معسكر</b:City>
    <b:Publisher>مجلة التنمية وادارة الموارد البشرية</b:Publisher>
    <b:Volume>3</b:Volume>
    <b:NumberVolumes>9</b:NumberVolumes>
    <b:Year>2017</b:Year>
    <b:RefOrder>37</b:RefOrder>
  </b:Source>
  <b:Source>
    <b:Tag>دور16</b:Tag>
    <b:SourceType>Book</b:SourceType>
    <b:Guid>{22102E51-BDE3-47A3-BBD0-FE4C9E882406}</b:Guid>
    <b:LCID>0</b:LCID>
    <b:Title>دور التسيير التقديري للوظائف والكفاءات في المحافظة عبى راس مال الفكري كميزة- شهادة الدكتوراه في علوم التسيير</b:Title>
    <b:Year>2015-2016</b:Year>
    <b:City>تلمسان</b:City>
    <b:Publisher>كلية العلوم الاقتصادية والتسيير جامعة - جامعة ابي بكر بلقايد تلمسان</b:Publisher>
    <b:Author>
      <b:Author>
        <b:NameList>
          <b:Person>
            <b:Last>موساوي</b:Last>
            <b:First>زهية</b:First>
          </b:Person>
        </b:NameList>
      </b:Author>
    </b:Author>
    <b:RefOrder>6</b:RefOrder>
  </b:Source>
  <b:Source>
    <b:Tag>LaL00</b:Tag>
    <b:SourceType>Book</b:SourceType>
    <b:Guid>{5B7288DC-DD3D-4649-A929-7530B17F0B25}</b:Guid>
    <b:LCID>0</b:LCID>
    <b:Author>
      <b:Author>
        <b:NameList>
          <b:Person>
            <b:Last>CEDIP</b:Last>
            <b:First>La</b:First>
            <b:Middle>Lettre du</b:Middle>
          </b:Person>
        </b:NameList>
      </b:Author>
    </b:Author>
    <b:Title>LA GESTION PRÉVISIONNELLE DES EMPLOIS</b:Title>
    <b:Year>2000</b:Year>
    <b:City>paris</b:City>
    <b:Publisher>DPS</b:Publisher>
    <b:RefOrder>38</b:RefOrder>
  </b:Source>
  <b:Source>
    <b:Tag>Dav08</b:Tag>
    <b:SourceType>Book</b:SourceType>
    <b:Guid>{C18958FC-B766-4646-B3AF-0EBFBAE2A452}</b:Guid>
    <b:LCID>1036</b:LCID>
    <b:Author>
      <b:Author>
        <b:NameList>
          <b:Person>
            <b:Last>David</b:Last>
            <b:First>Hindley</b:First>
          </b:Person>
          <b:Person>
            <b:Last>Aparisi</b:Last>
            <b:First>Peggy</b:First>
          </b:Person>
        </b:NameList>
      </b:Author>
    </b:Author>
    <b:Title>GPEC et PSE</b:Title>
    <b:Year>2008</b:Year>
    <b:Publisher>édition Eyrolles organisation</b:Publisher>
    <b:City>paris</b:City>
    <b:RefOrder>39</b:RefOrder>
  </b:Source>
</b:Sources>
</file>

<file path=customXml/itemProps1.xml><?xml version="1.0" encoding="utf-8"?>
<ds:datastoreItem xmlns:ds="http://schemas.openxmlformats.org/officeDocument/2006/customXml" ds:itemID="{FDA34030-9FFD-46BF-ABE6-BADD353A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1816</Words>
  <Characters>9993</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2022-12-04T11:50:00Z</cp:lastPrinted>
  <dcterms:created xsi:type="dcterms:W3CDTF">2022-12-04T11:45:00Z</dcterms:created>
  <dcterms:modified xsi:type="dcterms:W3CDTF">2022-12-04T12:04:00Z</dcterms:modified>
</cp:coreProperties>
</file>