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99" w:rsidRPr="00AD7482" w:rsidRDefault="00B96F18" w:rsidP="003D1241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3D1241">
        <w:rPr>
          <w:rFonts w:ascii="Sakkal Majalla" w:hAnsi="Sakkal Majalla" w:cs="Sakkal Majalla" w:hint="cs"/>
          <w:sz w:val="32"/>
          <w:szCs w:val="32"/>
          <w:rtl/>
        </w:rPr>
        <w:t>العلوم الإقتصادية والتجارية وعلوم التسيير</w:t>
      </w:r>
    </w:p>
    <w:p w:rsidR="00325742" w:rsidRPr="008C1BF9" w:rsidRDefault="00912F20" w:rsidP="008C1BF9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3D1241">
        <w:rPr>
          <w:rFonts w:ascii="Sakkal Majalla" w:hAnsi="Sakkal Majalla" w:cs="Sakkal Majalla" w:hint="cs"/>
          <w:sz w:val="32"/>
          <w:szCs w:val="32"/>
          <w:rtl/>
        </w:rPr>
        <w:t>العلوم التجارية</w:t>
      </w:r>
    </w:p>
    <w:p w:rsidR="00F30457" w:rsidRDefault="00912F2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35"/>
        <w:gridCol w:w="1457"/>
        <w:gridCol w:w="2399"/>
        <w:gridCol w:w="2393"/>
        <w:gridCol w:w="120"/>
        <w:gridCol w:w="2274"/>
      </w:tblGrid>
      <w:tr w:rsidR="00A936A6" w:rsidTr="00EB0B19">
        <w:trPr>
          <w:trHeight w:val="22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:rsidTr="00401E6E">
        <w:trPr>
          <w:trHeight w:val="51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9A7F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1165D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العلوم الإقتصادية والتجارية وعلوم التسيير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العلوم التجارية</w:t>
            </w:r>
          </w:p>
        </w:tc>
      </w:tr>
      <w:tr w:rsidR="00A936A6" w:rsidTr="00401E6E">
        <w:trPr>
          <w:trHeight w:val="42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8D14D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08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8D14D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8D14D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مالية وتجارة دولية</w:t>
            </w:r>
          </w:p>
        </w:tc>
      </w:tr>
      <w:tr w:rsidR="00A936A6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A936A6" w:rsidRPr="00EB0B19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الجامعية:.</w:t>
            </w:r>
            <w:r w:rsidR="003D1241">
              <w:rPr>
                <w:rFonts w:ascii="Sakkal Majalla" w:hAnsi="Sakkal Majalla" w:cs="Sakkal Majalla" w:hint="cs"/>
                <w:sz w:val="28"/>
                <w:szCs w:val="28"/>
                <w:rtl/>
              </w:rPr>
              <w:t>2022/2023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A936A6" w:rsidRPr="00EB0B19" w:rsidRDefault="00325742" w:rsidP="008D14D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8D14D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3D124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 w:rsidR="008D14D1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8D14D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8D14D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3D124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</w:p>
        </w:tc>
      </w:tr>
      <w:tr w:rsidR="00325742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EB0B19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اللغة الأنجليزية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EB0B19" w:rsidRDefault="00325742" w:rsidP="006C5E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r w:rsidR="006C5E5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C5E5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6C5E5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6C5E5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="006C5E5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:rsidTr="00EB0B19">
        <w:trPr>
          <w:trHeight w:val="353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:rsidTr="00401E6E">
        <w:trPr>
          <w:trHeight w:val="529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325742" w:rsidRPr="00002581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="003D1241">
              <w:rPr>
                <w:rFonts w:ascii="Sakkal Majalla" w:hAnsi="Sakkal Majalla" w:cs="Sakkal Majalla" w:hint="cs"/>
                <w:sz w:val="32"/>
                <w:szCs w:val="32"/>
                <w:rtl/>
              </w:rPr>
              <w:t>بن عبيد فريد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3D124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3D1241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3D1241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:rsidTr="00401E6E">
        <w:trPr>
          <w:trHeight w:val="542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002581" w:rsidRDefault="00325742" w:rsidP="00BF7A1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7A1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7A1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BF7A1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BF10E2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E521A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سنوات التدريس في المادة: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E521A5">
              <w:rPr>
                <w:rFonts w:ascii="Sakkal Majalla" w:hAnsi="Sakkal Majalla" w:cs="Sakkal Majalla" w:hint="cs"/>
                <w:sz w:val="28"/>
                <w:szCs w:val="28"/>
                <w:rtl/>
              </w:rPr>
              <w:t>04 سنوات</w:t>
            </w:r>
          </w:p>
        </w:tc>
      </w:tr>
      <w:tr w:rsidR="00325742" w:rsidTr="00330525">
        <w:trPr>
          <w:trHeight w:val="197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تدريس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مراجع على الاقل)</w:t>
            </w:r>
          </w:p>
        </w:tc>
      </w:tr>
      <w:tr w:rsidR="00325742" w:rsidRPr="00AE7D66" w:rsidTr="00F23B76">
        <w:trPr>
          <w:trHeight w:val="345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727182" w:rsidRDefault="00EF7B57" w:rsidP="00EF7B57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727182">
              <w:rPr>
                <w:rFonts w:asciiTheme="majorBidi" w:hAnsiTheme="majorBidi" w:cstheme="majorBidi"/>
                <w:lang w:val="en-US"/>
              </w:rPr>
              <w:t>1- Deutshe Bank Contributors. A Guide to Trade Finance. Germany. 2020.</w:t>
            </w:r>
          </w:p>
          <w:p w:rsidR="00EF7B57" w:rsidRPr="00727182" w:rsidRDefault="00EF7B57" w:rsidP="00EF7B57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727182">
              <w:rPr>
                <w:rFonts w:asciiTheme="majorBidi" w:hAnsiTheme="majorBidi" w:cstheme="majorBidi"/>
                <w:lang w:val="en-US"/>
              </w:rPr>
              <w:t xml:space="preserve">2- </w:t>
            </w:r>
            <w:r w:rsidR="00727182" w:rsidRPr="00727182">
              <w:rPr>
                <w:rFonts w:asciiTheme="majorBidi" w:hAnsiTheme="majorBidi" w:cstheme="majorBidi"/>
                <w:lang w:val="en-US"/>
              </w:rPr>
              <w:t>Bernadette Cenzon. Guidebook on Trade and Supply Chain Finance. Inkwell publishing Co. 2015.</w:t>
            </w:r>
          </w:p>
          <w:p w:rsidR="00AC2079" w:rsidRPr="00727182" w:rsidRDefault="00727182" w:rsidP="00AC2079">
            <w:pPr>
              <w:rPr>
                <w:rFonts w:asciiTheme="majorBidi" w:hAnsiTheme="majorBidi" w:cstheme="majorBidi"/>
                <w:lang w:val="en-US"/>
              </w:rPr>
            </w:pPr>
            <w:r w:rsidRPr="00727182">
              <w:rPr>
                <w:rFonts w:asciiTheme="majorBidi" w:hAnsiTheme="majorBidi" w:cstheme="majorBidi"/>
                <w:lang w:val="en-US"/>
              </w:rPr>
              <w:t>3</w:t>
            </w:r>
            <w:r w:rsidR="00AC2079" w:rsidRPr="00727182">
              <w:rPr>
                <w:rFonts w:asciiTheme="majorBidi" w:hAnsiTheme="majorBidi" w:cstheme="majorBidi"/>
                <w:lang w:val="en-US"/>
              </w:rPr>
              <w:t>- Bill Mascull. Business Vocabulary in use – Advance-. 3</w:t>
            </w:r>
            <w:r w:rsidR="00AC2079" w:rsidRPr="00727182">
              <w:rPr>
                <w:rFonts w:asciiTheme="majorBidi" w:hAnsiTheme="majorBidi" w:cstheme="majorBidi"/>
                <w:vertAlign w:val="superscript"/>
                <w:lang w:val="en-US"/>
              </w:rPr>
              <w:t>rd</w:t>
            </w:r>
            <w:r w:rsidR="00AC2079" w:rsidRPr="00727182">
              <w:rPr>
                <w:rFonts w:asciiTheme="majorBidi" w:hAnsiTheme="majorBidi" w:cstheme="majorBidi"/>
                <w:lang w:val="en-US"/>
              </w:rPr>
              <w:t xml:space="preserve"> edition. Cambridge University Press. United Kingdom. 2017.</w:t>
            </w:r>
          </w:p>
          <w:p w:rsidR="00AC2079" w:rsidRPr="00727182" w:rsidRDefault="00727182" w:rsidP="00AC2079">
            <w:pPr>
              <w:jc w:val="both"/>
              <w:rPr>
                <w:rFonts w:asciiTheme="majorBidi" w:hAnsiTheme="majorBidi" w:cstheme="majorBidi"/>
                <w:rtl/>
                <w:lang w:val="en-US"/>
              </w:rPr>
            </w:pPr>
            <w:r w:rsidRPr="00727182">
              <w:rPr>
                <w:rFonts w:asciiTheme="majorBidi" w:hAnsiTheme="majorBidi" w:cstheme="majorBidi"/>
                <w:color w:val="171717"/>
                <w:lang w:val="en-US"/>
              </w:rPr>
              <w:t>4</w:t>
            </w:r>
            <w:r w:rsidR="00AC2079" w:rsidRPr="00727182">
              <w:rPr>
                <w:rFonts w:asciiTheme="majorBidi" w:hAnsiTheme="majorBidi" w:cstheme="majorBidi"/>
                <w:color w:val="171717"/>
                <w:lang w:val="en-US"/>
              </w:rPr>
              <w:t xml:space="preserve">- </w:t>
            </w:r>
            <w:r w:rsidR="00AC2079" w:rsidRPr="00727182">
              <w:rPr>
                <w:rFonts w:asciiTheme="majorBidi" w:hAnsiTheme="majorBidi" w:cstheme="majorBidi"/>
                <w:color w:val="171717"/>
                <w:shd w:val="clear" w:color="auto" w:fill="FFFFFF"/>
                <w:lang w:val="en-US"/>
              </w:rPr>
              <w:t>Allen, F. Principles of Corporate Finance, London: McGraw Hill. 2013</w:t>
            </w:r>
          </w:p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:rsidTr="00002581">
        <w:trPr>
          <w:trHeight w:val="296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التقييم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المستمر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(ثلاثة (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تقييمات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الأقل)</w:t>
            </w:r>
          </w:p>
        </w:tc>
      </w:tr>
      <w:tr w:rsidR="00325742" w:rsidTr="00401E6E">
        <w:trPr>
          <w:trHeight w:val="362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Pr="00061BDA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طبيعة التقييم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المعامل (٪)</w:t>
            </w:r>
          </w:p>
        </w:tc>
      </w:tr>
      <w:tr w:rsidR="00325742" w:rsidTr="00401E6E">
        <w:trPr>
          <w:trHeight w:val="345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01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742" w:rsidRPr="00EC1CC2" w:rsidRDefault="00652A71" w:rsidP="0032574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C1C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فرض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:rsidTr="00401E6E">
        <w:trPr>
          <w:trHeight w:val="320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02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742" w:rsidRPr="00EC1CC2" w:rsidRDefault="00652A71" w:rsidP="0032574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C1CC2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عمل منزلي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:rsidTr="00401E6E">
        <w:trPr>
          <w:trHeight w:val="394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03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</w:tcPr>
          <w:p w:rsidR="00325742" w:rsidRPr="00EC1CC2" w:rsidRDefault="00652A71" w:rsidP="0032574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C1CC2"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مشاركة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061BDA" w:rsidRDefault="00325742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للتقييم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الامتحانات (وفقا للقرارين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711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992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معاملات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التقييمات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9A7FE4">
              <w:rPr>
                <w:rFonts w:ascii="Sakkal Majalla" w:hAnsi="Sakkal Majalla" w:cs="Sakkal Majalla" w:hint="cs"/>
                <w:b/>
                <w:bCs/>
                <w:rtl/>
              </w:rPr>
              <w:t xml:space="preserve">لا تُغير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حالة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تحديدها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عرض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التكوين)</w:t>
            </w:r>
          </w:p>
        </w:tc>
      </w:tr>
      <w:tr w:rsidR="00325742" w:rsidTr="00401E6E">
        <w:trPr>
          <w:trHeight w:val="385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الامتحان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التقييم المستمر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العمل التطبيقي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9A7FE4" w:rsidRDefault="00325742" w:rsidP="0032574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الورشة</w:t>
            </w:r>
          </w:p>
        </w:tc>
      </w:tr>
      <w:tr w:rsidR="00325742" w:rsidTr="00401E6E">
        <w:trPr>
          <w:trHeight w:val="484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</w:tr>
    </w:tbl>
    <w:p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6779"/>
        <w:gridCol w:w="1276"/>
        <w:gridCol w:w="1559"/>
      </w:tblGrid>
      <w:tr w:rsidR="006A2010" w:rsidRPr="00401E6E" w:rsidTr="00B96F18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توزيع</w:t>
            </w:r>
            <w:r w:rsidR="005654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المحتوى</w:t>
            </w:r>
          </w:p>
        </w:tc>
      </w:tr>
      <w:tr w:rsidR="00401E6E" w:rsidRPr="00401E6E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AA78CF" w:rsidP="009B2A11">
            <w:pPr>
              <w:spacing w:after="0" w:line="240" w:lineRule="auto"/>
              <w:ind w:hanging="1"/>
              <w:rPr>
                <w:rFonts w:ascii="Sakkal Majalla" w:hAnsi="Sakkal Majalla" w:cs="Sakkal Majalla"/>
                <w:lang w:val="en-US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Introduction to Finance and international Trade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2022/09/10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9B2A11" w:rsidP="009B2A1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Financial Markets Instruments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2022/09/17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AA78CF" w:rsidP="00EB1834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lang w:val="en-US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Financial Intermediation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2022/09/24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AA78CF" w:rsidP="00D806E4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lang w:val="en-US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Financial Crises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2022/10/01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AE7D66" w:rsidP="00AE7D66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lang w:val="en-US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Meaning and role of Trade Finance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2022/10/08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D71323" w:rsidP="00D71323">
            <w:pPr>
              <w:spacing w:after="0" w:line="240" w:lineRule="auto"/>
              <w:ind w:hanging="1"/>
              <w:rPr>
                <w:rFonts w:ascii="Sakkal Majalla" w:hAnsi="Sakkal Majalla" w:cs="Sakkal Majalla"/>
                <w:lang w:val="en-US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Methods of Payments in international Trade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2022/10/15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D71323" w:rsidP="00612226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Cash- in- Advance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2022/10/22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D634E9" w:rsidP="006643E8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</w:rPr>
            </w:pPr>
            <w:r w:rsidRPr="008C1BF9">
              <w:rPr>
                <w:rFonts w:asciiTheme="majorBidi" w:hAnsiTheme="majorBidi" w:cstheme="majorBidi"/>
                <w:lang w:val="en-US" w:bidi="ar-DZ"/>
              </w:rPr>
              <w:t>Letters of Credit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2022/10/29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667812" w:rsidP="00673724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Documentary Collections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2022/11/05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D83A54" w:rsidP="001D79D8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Open Account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2022/11/12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D83A54" w:rsidP="0013025C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Export working Capital financing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2022/11/19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D83A54" w:rsidP="00B57C1F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Export Factoring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2022/11/26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32710B" w:rsidP="006D530C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Forfaiting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</w:t>
            </w:r>
            <w:r w:rsidR="0036300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2022/12/03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70932" w:rsidP="00363004">
            <w:pPr>
              <w:bidi/>
              <w:spacing w:after="0" w:line="240" w:lineRule="auto"/>
              <w:ind w:hanging="1"/>
              <w:jc w:val="right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Foreign Exchange risk Management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14: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2022/12/10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330525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401E6E" w:rsidRPr="00330525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الاجازة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الشتوية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 من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15/12/2022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الى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02/01/2023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70932" w:rsidP="00470932">
            <w:pPr>
              <w:spacing w:after="0" w:line="240" w:lineRule="auto"/>
              <w:ind w:hanging="1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Supply Chain Finance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15: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2023/01/02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8C1BF9" w:rsidRDefault="00470932" w:rsidP="00470932">
            <w:pPr>
              <w:spacing w:after="0" w:line="240" w:lineRule="auto"/>
              <w:ind w:hanging="1"/>
              <w:rPr>
                <w:rFonts w:asciiTheme="majorBidi" w:hAnsiTheme="majorBidi" w:cstheme="majorBidi"/>
              </w:rPr>
            </w:pPr>
            <w:r w:rsidRPr="008C1BF9">
              <w:rPr>
                <w:rFonts w:asciiTheme="majorBidi" w:hAnsiTheme="majorBidi" w:cstheme="majorBidi"/>
              </w:rPr>
              <w:t>Financial Crime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16:</w:t>
            </w:r>
          </w:p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2023/01/07</w:t>
            </w:r>
          </w:p>
        </w:tc>
      </w:tr>
      <w:tr w:rsidR="00401E6E" w:rsidRPr="006A2010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01E6E" w:rsidRPr="006A2010" w:rsidTr="00330525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401E6E" w:rsidRPr="00330525" w:rsidRDefault="00401E6E" w:rsidP="0033052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الامتحانات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: من 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15/01/2023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02/02/2023</w:t>
            </w:r>
          </w:p>
        </w:tc>
      </w:tr>
    </w:tbl>
    <w:p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:rsidR="00401E6E" w:rsidRP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رئيس</w:t>
      </w:r>
      <w:r w:rsidR="00B96F18"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القسم</w:t>
      </w:r>
    </w:p>
    <w:p w:rsid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</w:rPr>
      </w:pPr>
    </w:p>
    <w:p w:rsidR="00330525" w:rsidRPr="00330525" w:rsidRDefault="00330525" w:rsidP="00330525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2"/>
          <w:szCs w:val="2"/>
          <w:rtl/>
        </w:rPr>
      </w:pPr>
    </w:p>
    <w:p w:rsidR="009C1401" w:rsidRPr="004E7552" w:rsidRDefault="00401E6E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البيداغوجي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189" w:rsidRDefault="00F52189" w:rsidP="000E0F7E">
      <w:pPr>
        <w:spacing w:after="0" w:line="240" w:lineRule="auto"/>
      </w:pPr>
      <w:r>
        <w:separator/>
      </w:r>
    </w:p>
  </w:endnote>
  <w:endnote w:type="continuationSeparator" w:id="1">
    <w:p w:rsidR="00F52189" w:rsidRDefault="00F52189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="00BF10E2"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="00BF10E2"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8C1BF9">
      <w:rPr>
        <w:rFonts w:ascii="Sakkal Majalla" w:hAnsi="Sakkal Majalla" w:cs="Sakkal Majalla"/>
        <w:noProof/>
        <w:sz w:val="32"/>
        <w:szCs w:val="32"/>
        <w:rtl/>
      </w:rPr>
      <w:t>2</w:t>
    </w:r>
    <w:r w:rsidR="00BF10E2"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fldSimple w:instr="SECTIONPAGES  \* MERGEFORMAT">
      <w:r w:rsidR="008C1BF9" w:rsidRPr="008C1BF9">
        <w:rPr>
          <w:rFonts w:ascii="Sakkal Majalla" w:hAnsi="Sakkal Majalla" w:cs="Sakkal Majalla"/>
          <w:noProof/>
          <w:sz w:val="32"/>
          <w:szCs w:val="32"/>
        </w:rPr>
        <w:t>2</w:t>
      </w:r>
    </w:fldSimple>
  </w:p>
  <w:p w:rsidR="00B96F18" w:rsidRDefault="00B96F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189" w:rsidRDefault="00F52189" w:rsidP="000E0F7E">
      <w:pPr>
        <w:spacing w:after="0" w:line="240" w:lineRule="auto"/>
      </w:pPr>
      <w:r>
        <w:separator/>
      </w:r>
    </w:p>
  </w:footnote>
  <w:footnote w:type="continuationSeparator" w:id="1">
    <w:p w:rsidR="00F52189" w:rsidRDefault="00F52189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57"/>
    <w:rsid w:val="00002581"/>
    <w:rsid w:val="00002608"/>
    <w:rsid w:val="00003CCF"/>
    <w:rsid w:val="00027402"/>
    <w:rsid w:val="00061BDA"/>
    <w:rsid w:val="00076D0E"/>
    <w:rsid w:val="000A09DC"/>
    <w:rsid w:val="000E0F7E"/>
    <w:rsid w:val="000E6DA2"/>
    <w:rsid w:val="001165D3"/>
    <w:rsid w:val="0013025C"/>
    <w:rsid w:val="001D79D8"/>
    <w:rsid w:val="001F2DAE"/>
    <w:rsid w:val="00242405"/>
    <w:rsid w:val="002B220F"/>
    <w:rsid w:val="002B2A23"/>
    <w:rsid w:val="002C23C2"/>
    <w:rsid w:val="002C74EE"/>
    <w:rsid w:val="002D0E5C"/>
    <w:rsid w:val="002E05CF"/>
    <w:rsid w:val="003152B3"/>
    <w:rsid w:val="00325742"/>
    <w:rsid w:val="0032710B"/>
    <w:rsid w:val="00330525"/>
    <w:rsid w:val="00336991"/>
    <w:rsid w:val="00363004"/>
    <w:rsid w:val="003D1241"/>
    <w:rsid w:val="003D79E7"/>
    <w:rsid w:val="00401E6E"/>
    <w:rsid w:val="004078E1"/>
    <w:rsid w:val="004314F6"/>
    <w:rsid w:val="00470932"/>
    <w:rsid w:val="004C55BC"/>
    <w:rsid w:val="004D1BDD"/>
    <w:rsid w:val="004E7552"/>
    <w:rsid w:val="004F3E4D"/>
    <w:rsid w:val="004F5A04"/>
    <w:rsid w:val="005654E4"/>
    <w:rsid w:val="00582932"/>
    <w:rsid w:val="00587087"/>
    <w:rsid w:val="00587C08"/>
    <w:rsid w:val="00596777"/>
    <w:rsid w:val="005D0181"/>
    <w:rsid w:val="0061108C"/>
    <w:rsid w:val="00612226"/>
    <w:rsid w:val="006128D7"/>
    <w:rsid w:val="006365C6"/>
    <w:rsid w:val="00652A71"/>
    <w:rsid w:val="006643E8"/>
    <w:rsid w:val="00667812"/>
    <w:rsid w:val="00673724"/>
    <w:rsid w:val="006A2010"/>
    <w:rsid w:val="006C5E51"/>
    <w:rsid w:val="006D530C"/>
    <w:rsid w:val="006F6BE8"/>
    <w:rsid w:val="00723D3D"/>
    <w:rsid w:val="007252F2"/>
    <w:rsid w:val="00727182"/>
    <w:rsid w:val="00742492"/>
    <w:rsid w:val="007806AA"/>
    <w:rsid w:val="007E7685"/>
    <w:rsid w:val="00807CB7"/>
    <w:rsid w:val="00812068"/>
    <w:rsid w:val="00817A4D"/>
    <w:rsid w:val="00840087"/>
    <w:rsid w:val="00842318"/>
    <w:rsid w:val="008A1B74"/>
    <w:rsid w:val="008C1BF9"/>
    <w:rsid w:val="008D14D1"/>
    <w:rsid w:val="008F03D9"/>
    <w:rsid w:val="008F1ADD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B2A11"/>
    <w:rsid w:val="009C1401"/>
    <w:rsid w:val="00A936A6"/>
    <w:rsid w:val="00AA78CF"/>
    <w:rsid w:val="00AC2079"/>
    <w:rsid w:val="00AD55E1"/>
    <w:rsid w:val="00AD7482"/>
    <w:rsid w:val="00AE7D66"/>
    <w:rsid w:val="00B052C7"/>
    <w:rsid w:val="00B327CE"/>
    <w:rsid w:val="00B57C1F"/>
    <w:rsid w:val="00B96F18"/>
    <w:rsid w:val="00BF10E2"/>
    <w:rsid w:val="00BF7A17"/>
    <w:rsid w:val="00C107C2"/>
    <w:rsid w:val="00C32118"/>
    <w:rsid w:val="00C56B50"/>
    <w:rsid w:val="00CB7C99"/>
    <w:rsid w:val="00CE59FF"/>
    <w:rsid w:val="00D50EAB"/>
    <w:rsid w:val="00D62FBD"/>
    <w:rsid w:val="00D634E9"/>
    <w:rsid w:val="00D71323"/>
    <w:rsid w:val="00D73A46"/>
    <w:rsid w:val="00D806E4"/>
    <w:rsid w:val="00D83A54"/>
    <w:rsid w:val="00D95230"/>
    <w:rsid w:val="00DC6F29"/>
    <w:rsid w:val="00E033B2"/>
    <w:rsid w:val="00E15A7D"/>
    <w:rsid w:val="00E258FD"/>
    <w:rsid w:val="00E26E78"/>
    <w:rsid w:val="00E30310"/>
    <w:rsid w:val="00E521A5"/>
    <w:rsid w:val="00EB0B19"/>
    <w:rsid w:val="00EB1834"/>
    <w:rsid w:val="00EC1CC2"/>
    <w:rsid w:val="00ED14B5"/>
    <w:rsid w:val="00EF7B57"/>
    <w:rsid w:val="00F240D3"/>
    <w:rsid w:val="00F30457"/>
    <w:rsid w:val="00F52189"/>
    <w:rsid w:val="00FA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farid</cp:lastModifiedBy>
  <cp:revision>39</cp:revision>
  <cp:lastPrinted>2022-09-17T21:08:00Z</cp:lastPrinted>
  <dcterms:created xsi:type="dcterms:W3CDTF">2022-09-17T22:17:00Z</dcterms:created>
  <dcterms:modified xsi:type="dcterms:W3CDTF">2022-10-08T19:30:00Z</dcterms:modified>
</cp:coreProperties>
</file>