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9" w:rsidRPr="00AD7482" w:rsidRDefault="00B96F18" w:rsidP="00242693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bookmarkStart w:id="0" w:name="_GoBack"/>
      <w:bookmarkEnd w:id="0"/>
      <w:r w:rsidRPr="00242693"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proofErr w:type="gramStart"/>
      <w:r w:rsidR="00912F20" w:rsidRPr="00242693">
        <w:rPr>
          <w:rFonts w:ascii="Sakkal Majalla" w:hAnsi="Sakkal Majalla" w:cs="Sakkal Majalla" w:hint="cs"/>
          <w:b/>
          <w:bCs/>
          <w:sz w:val="32"/>
          <w:szCs w:val="32"/>
          <w:rtl/>
        </w:rPr>
        <w:t>كلية</w:t>
      </w:r>
      <w:proofErr w:type="gramEnd"/>
      <w:r w:rsidR="00912F20" w:rsidRPr="00242693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proofErr w:type="spellEnd"/>
      <w:r w:rsidR="0033699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42693">
        <w:rPr>
          <w:rFonts w:ascii="Sakkal Majalla" w:hAnsi="Sakkal Majalla" w:cs="Sakkal Majalla" w:hint="cs"/>
          <w:sz w:val="32"/>
          <w:szCs w:val="32"/>
          <w:rtl/>
        </w:rPr>
        <w:t>العلوم الاقتصادية والتجارية وعلوم التسيير</w:t>
      </w:r>
    </w:p>
    <w:p w:rsidR="00912F20" w:rsidRPr="00912F20" w:rsidRDefault="00912F20" w:rsidP="00242693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242693">
        <w:rPr>
          <w:rFonts w:hint="cs"/>
          <w:b/>
          <w:bCs/>
          <w:noProof/>
          <w:rtl/>
          <w:lang w:eastAsia="fr-FR"/>
        </w:rPr>
        <w:t>قسم:</w:t>
      </w:r>
      <w:r w:rsidR="004F3E4D" w:rsidRPr="004F3E4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="00242693">
        <w:rPr>
          <w:rFonts w:ascii="Sakkal Majalla" w:hAnsi="Sakkal Majalla" w:cs="Sakkal Majalla" w:hint="cs"/>
          <w:sz w:val="32"/>
          <w:szCs w:val="32"/>
          <w:rtl/>
        </w:rPr>
        <w:t>علوم</w:t>
      </w:r>
      <w:proofErr w:type="gramEnd"/>
      <w:r w:rsidR="00242693">
        <w:rPr>
          <w:rFonts w:ascii="Sakkal Majalla" w:hAnsi="Sakkal Majalla" w:cs="Sakkal Majalla" w:hint="cs"/>
          <w:sz w:val="32"/>
          <w:szCs w:val="32"/>
          <w:rtl/>
        </w:rPr>
        <w:t xml:space="preserve"> التسيير</w:t>
      </w:r>
    </w:p>
    <w:p w:rsidR="00325742" w:rsidRDefault="00325742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مخطط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35"/>
        <w:gridCol w:w="1457"/>
        <w:gridCol w:w="2399"/>
        <w:gridCol w:w="2393"/>
        <w:gridCol w:w="120"/>
        <w:gridCol w:w="2442"/>
      </w:tblGrid>
      <w:tr w:rsidR="00A936A6" w:rsidTr="002E06E6">
        <w:trPr>
          <w:trHeight w:val="22"/>
        </w:trPr>
        <w:tc>
          <w:tcPr>
            <w:tcW w:w="9746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</w:p>
        </w:tc>
      </w:tr>
      <w:tr w:rsidR="00A936A6" w:rsidTr="002E06E6">
        <w:trPr>
          <w:trHeight w:val="51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</w:t>
            </w: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1165D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spellEnd"/>
            <w:proofErr w:type="gramEnd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C6F29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4955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24269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</w:t>
            </w:r>
            <w:proofErr w:type="gramEnd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proofErr w:type="spellEnd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42693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علوم التسيير</w:t>
            </w:r>
          </w:p>
        </w:tc>
      </w:tr>
      <w:tr w:rsidR="00A936A6" w:rsidTr="002E06E6">
        <w:trPr>
          <w:trHeight w:val="42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6B3F1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</w:t>
            </w:r>
            <w:proofErr w:type="gramEnd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17C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955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6B3F1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proofErr w:type="spellEnd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6B3F1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المقاولاتية</w:t>
            </w:r>
          </w:p>
        </w:tc>
      </w:tr>
      <w:tr w:rsidR="00A936A6" w:rsidTr="002E06E6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24269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الجامعية:</w:t>
            </w:r>
            <w:proofErr w:type="spellEnd"/>
            <w:r w:rsidR="002426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2022/2023</w:t>
            </w:r>
          </w:p>
        </w:tc>
        <w:tc>
          <w:tcPr>
            <w:tcW w:w="4955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proofErr w:type="spellEnd"/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</w: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F687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proofErr w:type="gramStart"/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</w:tr>
      <w:tr w:rsidR="00325742" w:rsidTr="002E06E6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</w:t>
            </w:r>
            <w:proofErr w:type="spell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</w:t>
            </w:r>
            <w:proofErr w:type="spellEnd"/>
            <w:r w:rsidR="004F687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6B3F1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الاستراتيجية التنافسية</w:t>
            </w:r>
          </w:p>
        </w:tc>
        <w:tc>
          <w:tcPr>
            <w:tcW w:w="4955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6B3F1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proofErr w:type="spellEnd"/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F687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B3F1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</w:t>
            </w:r>
            <w:proofErr w:type="gramStart"/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توجيهي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proofErr w:type="gramEnd"/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2E06E6">
        <w:trPr>
          <w:trHeight w:val="353"/>
        </w:trPr>
        <w:tc>
          <w:tcPr>
            <w:tcW w:w="9746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</w:p>
        </w:tc>
      </w:tr>
      <w:tr w:rsidR="00325742" w:rsidTr="002E06E6">
        <w:trPr>
          <w:trHeight w:val="529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الاسم </w:t>
            </w:r>
            <w:proofErr w:type="spell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واللقب:</w:t>
            </w:r>
            <w:proofErr w:type="spellEnd"/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4F6877">
              <w:rPr>
                <w:rFonts w:ascii="Sakkal Majalla" w:hAnsi="Sakkal Majalla" w:cs="Sakkal Majalla" w:hint="cs"/>
                <w:sz w:val="32"/>
                <w:szCs w:val="32"/>
                <w:rtl/>
              </w:rPr>
              <w:t>سلاف</w:t>
            </w:r>
            <w:proofErr w:type="spellEnd"/>
            <w:r w:rsidR="004F687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رحال</w:t>
            </w:r>
          </w:p>
        </w:tc>
        <w:tc>
          <w:tcPr>
            <w:tcW w:w="4955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</w:t>
            </w:r>
            <w:proofErr w:type="gramEnd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F687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2E06E6">
        <w:trPr>
          <w:trHeight w:val="542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F687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4F687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90391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</w:t>
            </w:r>
            <w:proofErr w:type="spellEnd"/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4955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4F68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سنوات التدريس في </w:t>
            </w:r>
            <w:proofErr w:type="spell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</w:t>
            </w:r>
            <w:proofErr w:type="spellEnd"/>
            <w:r w:rsidR="004F687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06 </w:t>
            </w:r>
            <w:proofErr w:type="gramStart"/>
            <w:r w:rsidR="004F6877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سنوات</w:t>
            </w:r>
            <w:proofErr w:type="gramEnd"/>
          </w:p>
        </w:tc>
      </w:tr>
      <w:tr w:rsidR="00325742" w:rsidTr="002E06E6">
        <w:trPr>
          <w:trHeight w:val="197"/>
        </w:trPr>
        <w:tc>
          <w:tcPr>
            <w:tcW w:w="9746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</w:t>
            </w:r>
            <w:proofErr w:type="spellStart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325742" w:rsidRPr="00024B1C" w:rsidTr="002E06E6">
        <w:trPr>
          <w:trHeight w:val="345"/>
        </w:trPr>
        <w:tc>
          <w:tcPr>
            <w:tcW w:w="9746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6B3F1C" w:rsidRPr="00075E55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75E5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Alain DESREUMAUX, Xavier LECOCQ et Vanessa WARNIER</w:t>
            </w:r>
            <w:r w:rsidRPr="00075E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, </w:t>
            </w:r>
            <w:r w:rsidRPr="00075E5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Stratégie : synthèse de cours &amp; exercices corrigés</w:t>
            </w:r>
            <w:r w:rsidRPr="00075E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, </w:t>
            </w:r>
            <w:r w:rsidRPr="00075E5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Pearson Education, France, 2006.</w:t>
            </w:r>
          </w:p>
          <w:p w:rsidR="006B3F1C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BC78E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Strategor</w:t>
            </w:r>
            <w:proofErr w:type="spellEnd"/>
            <w:r w:rsidRPr="00BC78E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 politique générale de l’entreprise,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4 </w:t>
            </w:r>
            <w:r w:rsidRPr="00BC78E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édition,</w:t>
            </w:r>
            <w:r w:rsidRPr="00BC78E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BC78E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Dunod</w:t>
            </w:r>
            <w:proofErr w:type="spellEnd"/>
            <w:r w:rsidRPr="00BC78E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 Paris, 2005.</w:t>
            </w:r>
          </w:p>
          <w:p w:rsidR="006B3F1C" w:rsidRPr="00F767A5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Bertrand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Giboin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, La boite à outils de la Stratégie, 2é édition,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Dunod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, Paris, 2015.</w:t>
            </w:r>
          </w:p>
          <w:p w:rsidR="006B3F1C" w:rsidRPr="00F5513F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Porter, M.E. (1980).</w:t>
            </w:r>
            <w:r w:rsidRPr="00F551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Competitive Strategy: Techniques for Analyzing Industries and Competitors</w:t>
            </w: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F5513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 xml:space="preserve"> </w:t>
            </w: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New York: The Free Press.</w:t>
            </w:r>
          </w:p>
          <w:p w:rsidR="006B3F1C" w:rsidRPr="00F5513F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5513F">
              <w:rPr>
                <w:rFonts w:asciiTheme="majorBidi" w:hAnsiTheme="majorBidi" w:cstheme="majorBidi"/>
                <w:color w:val="000000"/>
                <w:sz w:val="24"/>
                <w:szCs w:val="24"/>
                <w:lang w:bidi="ar-DZ"/>
              </w:rPr>
              <w:t>Porter, M.E. (1982). « </w:t>
            </w:r>
            <w:r w:rsidRPr="00F551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DZ"/>
              </w:rPr>
              <w:t>Choix stratégiques et concurrence : Techniques d’analyse des secteurs  et de la concurrence dans l’industrie »</w:t>
            </w:r>
            <w:r w:rsidRPr="00F5513F">
              <w:rPr>
                <w:rFonts w:asciiTheme="majorBidi" w:hAnsiTheme="majorBidi" w:cstheme="majorBidi"/>
                <w:color w:val="000000"/>
                <w:sz w:val="24"/>
                <w:szCs w:val="24"/>
                <w:lang w:bidi="ar-DZ"/>
              </w:rPr>
              <w:t xml:space="preserve">, Traduction de Philippe de LAVERGNE, </w:t>
            </w:r>
            <w:proofErr w:type="spellStart"/>
            <w:r w:rsidRPr="00F5513F">
              <w:rPr>
                <w:rFonts w:asciiTheme="majorBidi" w:hAnsiTheme="majorBidi" w:cstheme="majorBidi"/>
                <w:color w:val="000000"/>
                <w:sz w:val="24"/>
                <w:szCs w:val="24"/>
                <w:lang w:bidi="ar-DZ"/>
              </w:rPr>
              <w:t>Economica</w:t>
            </w:r>
            <w:proofErr w:type="spellEnd"/>
            <w:r w:rsidRPr="00F5513F">
              <w:rPr>
                <w:rFonts w:asciiTheme="majorBidi" w:hAnsiTheme="majorBidi" w:cstheme="majorBidi"/>
                <w:color w:val="000000"/>
                <w:sz w:val="24"/>
                <w:szCs w:val="24"/>
                <w:lang w:bidi="ar-DZ"/>
              </w:rPr>
              <w:t>, Paris.</w:t>
            </w:r>
          </w:p>
          <w:p w:rsidR="00325742" w:rsidRPr="006B3F1C" w:rsidRDefault="006B3F1C" w:rsidP="006B3F1C">
            <w:pPr>
              <w:pStyle w:val="Paragraphedeliste"/>
              <w:numPr>
                <w:ilvl w:val="0"/>
                <w:numId w:val="34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Porter, M.E. (1985).</w:t>
            </w:r>
            <w:r w:rsidRPr="00F551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Competitive Advantage: Creating and Sustaining Superior Performance</w:t>
            </w: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F5513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 xml:space="preserve"> </w:t>
            </w:r>
            <w:r w:rsidRPr="00F551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New York: Collier Macmillan.</w:t>
            </w: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2E06E6">
        <w:trPr>
          <w:trHeight w:val="296"/>
        </w:trPr>
        <w:tc>
          <w:tcPr>
            <w:tcW w:w="9746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المستمر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gramStart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ثلاثة</w:t>
            </w:r>
            <w:proofErr w:type="gramEnd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proofErr w:type="spellStart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</w:t>
            </w:r>
            <w:proofErr w:type="spellStart"/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325742" w:rsidTr="002E06E6">
        <w:trPr>
          <w:trHeight w:val="362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proofErr w:type="gramEnd"/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</w:t>
            </w:r>
            <w:proofErr w:type="gramEnd"/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(٪)</w:t>
            </w:r>
            <w:proofErr w:type="spellEnd"/>
          </w:p>
        </w:tc>
      </w:tr>
      <w:tr w:rsidR="00325742" w:rsidTr="002E06E6">
        <w:trPr>
          <w:trHeight w:val="345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6B3F1C" w:rsidRDefault="00AA4466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ال</w:t>
            </w:r>
            <w:r w:rsidR="00D109D5"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عمل الشخصي (دراسات حالة</w:t>
            </w:r>
            <w:proofErr w:type="spellStart"/>
            <w:r w:rsidR="00D109D5"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)</w:t>
            </w:r>
            <w:proofErr w:type="spellEnd"/>
            <w:r w:rsidR="00D109D5"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 xml:space="preserve"> (8 نقاط</w:t>
            </w:r>
            <w:proofErr w:type="spellStart"/>
            <w:r w:rsidR="00D109D5"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)</w:t>
            </w:r>
            <w:proofErr w:type="spellEnd"/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6B3F1C" w:rsidRDefault="00D109D5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40</w:t>
            </w:r>
            <w:r w:rsidRPr="006B3F1C"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  <w:t>%</w:t>
            </w:r>
          </w:p>
        </w:tc>
      </w:tr>
      <w:tr w:rsidR="00325742" w:rsidTr="002E06E6">
        <w:trPr>
          <w:trHeight w:val="320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6B3F1C" w:rsidRDefault="00D109D5" w:rsidP="00D109D5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الفروض  (5 نقاط</w:t>
            </w:r>
            <w:r w:rsidRPr="006B3F1C"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  <w:t>×</w:t>
            </w: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2</w:t>
            </w:r>
            <w:proofErr w:type="spellStart"/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)</w:t>
            </w:r>
            <w:proofErr w:type="spellEnd"/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6B3F1C" w:rsidRDefault="00D109D5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50</w:t>
            </w:r>
            <w:r w:rsidRPr="006B3F1C"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  <w:t>%</w:t>
            </w:r>
          </w:p>
        </w:tc>
      </w:tr>
      <w:tr w:rsidR="00325742" w:rsidTr="002E06E6">
        <w:trPr>
          <w:trHeight w:val="394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:rsidR="00325742" w:rsidRPr="006B3F1C" w:rsidRDefault="00D109D5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المشاركة والمواظبة (02 نقطة</w:t>
            </w:r>
            <w:proofErr w:type="spellStart"/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)</w:t>
            </w:r>
            <w:proofErr w:type="spellEnd"/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 xml:space="preserve"> 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6B3F1C" w:rsidRDefault="00D109D5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B3F1C">
              <w:rPr>
                <w:rFonts w:ascii="Sakkal Majalla" w:hAnsi="Sakkal Majalla" w:cs="Sakkal Majalla" w:hint="cs"/>
                <w:sz w:val="32"/>
                <w:szCs w:val="32"/>
                <w:highlight w:val="yellow"/>
                <w:rtl/>
              </w:rPr>
              <w:t>10</w:t>
            </w:r>
            <w:r w:rsidRPr="006B3F1C"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  <w:t>%</w:t>
            </w:r>
          </w:p>
        </w:tc>
      </w:tr>
      <w:tr w:rsidR="00325742" w:rsidTr="002E06E6">
        <w:trPr>
          <w:trHeight w:val="271"/>
        </w:trPr>
        <w:tc>
          <w:tcPr>
            <w:tcW w:w="9746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للقرارين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proofErr w:type="spellStart"/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325742" w:rsidTr="002E06E6">
        <w:trPr>
          <w:trHeight w:val="271"/>
        </w:trPr>
        <w:tc>
          <w:tcPr>
            <w:tcW w:w="9746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2E06E6">
        <w:trPr>
          <w:trHeight w:val="271"/>
        </w:trPr>
        <w:tc>
          <w:tcPr>
            <w:tcW w:w="9746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proofErr w:type="gramEnd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</w:t>
            </w:r>
            <w:proofErr w:type="spellStart"/>
            <w:r w:rsidRPr="009A7FE4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proofErr w:type="spellEnd"/>
          </w:p>
        </w:tc>
      </w:tr>
      <w:tr w:rsidR="00325742" w:rsidTr="002E06E6">
        <w:trPr>
          <w:trHeight w:val="385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</w:t>
            </w:r>
            <w:proofErr w:type="gramEnd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</w:t>
            </w:r>
            <w:proofErr w:type="gramEnd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</w:t>
            </w:r>
            <w:proofErr w:type="gramEnd"/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العمل التطبيقي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:rsidTr="002E06E6">
        <w:trPr>
          <w:trHeight w:val="484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proofErr w:type="spellStart"/>
            <w:r>
              <w:rPr>
                <w:rFonts w:eastAsia="Calibri" w:cs="Times New Roman" w:hint="cs"/>
                <w:sz w:val="26"/>
                <w:rtl/>
              </w:rPr>
              <w:t>٪</w:t>
            </w:r>
            <w:proofErr w:type="spellEnd"/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proofErr w:type="spellStart"/>
            <w:r>
              <w:rPr>
                <w:rFonts w:eastAsia="Calibri" w:cs="Times New Roman" w:hint="cs"/>
                <w:sz w:val="26"/>
                <w:rtl/>
              </w:rPr>
              <w:t>٪</w:t>
            </w:r>
            <w:proofErr w:type="spellEnd"/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proofErr w:type="spellStart"/>
            <w:r>
              <w:rPr>
                <w:rFonts w:eastAsia="Calibri" w:cs="Times New Roman" w:hint="cs"/>
                <w:sz w:val="26"/>
                <w:rtl/>
              </w:rPr>
              <w:t>٪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proofErr w:type="spellStart"/>
            <w:r>
              <w:rPr>
                <w:rFonts w:eastAsia="Calibri" w:cs="Times New Roman" w:hint="cs"/>
                <w:sz w:val="26"/>
                <w:rtl/>
              </w:rPr>
              <w:t>٪</w:t>
            </w:r>
            <w:proofErr w:type="spellEnd"/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894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6779"/>
        <w:gridCol w:w="138"/>
        <w:gridCol w:w="1138"/>
        <w:gridCol w:w="1839"/>
      </w:tblGrid>
      <w:tr w:rsidR="006A2010" w:rsidRPr="00401E6E" w:rsidTr="00E6667D">
        <w:tc>
          <w:tcPr>
            <w:tcW w:w="9894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توزيع</w:t>
            </w:r>
            <w:proofErr w:type="gramEnd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 w:rsidR="00401E6E" w:rsidRPr="00401E6E" w:rsidTr="00E6667D">
        <w:tc>
          <w:tcPr>
            <w:tcW w:w="6917" w:type="dxa"/>
            <w:gridSpan w:val="2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  <w:proofErr w:type="gramEnd"/>
          </w:p>
        </w:tc>
      </w:tr>
      <w:tr w:rsidR="000B0D18" w:rsidRPr="006A2010" w:rsidTr="00E6667D">
        <w:trPr>
          <w:trHeight w:val="1079"/>
        </w:trPr>
        <w:tc>
          <w:tcPr>
            <w:tcW w:w="6917" w:type="dxa"/>
            <w:gridSpan w:val="2"/>
            <w:tcBorders>
              <w:top w:val="single" w:sz="24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F1C" w:rsidRPr="006B3F1C" w:rsidRDefault="006B3F1C" w:rsidP="006B3F1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تطور مفهوم إستراتيجية المؤسسة</w:t>
            </w:r>
            <w:r w:rsidRPr="006B3F1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B3F1C" w:rsidRPr="006B3F1C" w:rsidRDefault="006B3F1C" w:rsidP="006B3F1C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spellStart"/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تعاريف</w:t>
            </w:r>
            <w:proofErr w:type="spellEnd"/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إستراتيجية المؤسسة حسب المؤلفين وحسب تطور الفكر الإستراتيجي (مقاربة </w:t>
            </w:r>
            <w:proofErr w:type="spellStart"/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التموقع</w:t>
            </w:r>
            <w:proofErr w:type="spellEnd"/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ومقاربة التحرك الإستراتيجي</w:t>
            </w:r>
            <w:proofErr w:type="spellStart"/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0B0D18" w:rsidRPr="006B3F1C" w:rsidRDefault="006B3F1C" w:rsidP="006B3F1C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مفهوم الإستراتيجية وفق مدارس الفكر الإستراتيجي والتركيز على المدرسة المقاولاتية</w:t>
            </w:r>
          </w:p>
        </w:tc>
        <w:tc>
          <w:tcPr>
            <w:tcW w:w="1138" w:type="dxa"/>
            <w:tcBorders>
              <w:top w:val="single" w:sz="24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0B0D18" w:rsidRPr="006A2010" w:rsidTr="00E6667D">
        <w:tc>
          <w:tcPr>
            <w:tcW w:w="6917" w:type="dxa"/>
            <w:gridSpan w:val="2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D18" w:rsidRPr="006B3F1C" w:rsidRDefault="006B3F1C" w:rsidP="000B0D1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تطور مفهوم إستراتيجية المؤسسة</w:t>
            </w:r>
          </w:p>
          <w:p w:rsidR="000B0D18" w:rsidRPr="006B3F1C" w:rsidRDefault="006B3F1C" w:rsidP="000B0D18">
            <w:pPr>
              <w:pStyle w:val="Paragraphedeliste"/>
              <w:numPr>
                <w:ilvl w:val="0"/>
                <w:numId w:val="26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3F1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خصائص إستراتيجية المؤسسة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0B0D18" w:rsidRPr="006A2010" w:rsidTr="00E6667D">
        <w:trPr>
          <w:trHeight w:val="1177"/>
        </w:trPr>
        <w:tc>
          <w:tcPr>
            <w:tcW w:w="6917" w:type="dxa"/>
            <w:gridSpan w:val="2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805" w:rsidRPr="00D04805" w:rsidRDefault="00D04805" w:rsidP="00D0480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الميزة التنافسية وطرق التشخيص (النظريات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الأساسية،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التحليل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الاستراتيجي،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الميزة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التنافسية،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طرق التشخيص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D04805" w:rsidRPr="00D04805" w:rsidRDefault="00D04805" w:rsidP="00D04805">
            <w:pPr>
              <w:pStyle w:val="Paragraphedeliste"/>
              <w:numPr>
                <w:ilvl w:val="0"/>
                <w:numId w:val="35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مقدمة</w:t>
            </w:r>
            <w:proofErr w:type="gramEnd"/>
            <w:r w:rsidRPr="00D0480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0B0D18" w:rsidRPr="00D04805" w:rsidRDefault="00D04805" w:rsidP="00D04805">
            <w:pPr>
              <w:pStyle w:val="Paragraphedeliste"/>
              <w:numPr>
                <w:ilvl w:val="0"/>
                <w:numId w:val="35"/>
              </w:numPr>
              <w:bidi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النظريات</w:t>
            </w:r>
            <w:proofErr w:type="gram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الأساسية: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الوكالة،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تكاليف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الصفقات،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نظرية الموارد</w:t>
            </w:r>
            <w:r w:rsidRPr="00D0480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0B0D18" w:rsidRPr="006A2010" w:rsidTr="00E6667D">
        <w:trPr>
          <w:trHeight w:val="1254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5AB" w:rsidRPr="00D04805" w:rsidRDefault="006975AB" w:rsidP="006975AB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الميزة التنافسية وطرق التشخيص (النظريات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الأساسية،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التحليل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الاستراتيجي،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الميزة 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التنافسية،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طرق التشخيص</w:t>
            </w:r>
            <w:proofErr w:type="spellStart"/>
            <w:r w:rsidRPr="00D04805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proofErr w:type="spellEnd"/>
            <w:r w:rsidRPr="00D04805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6975AB" w:rsidRPr="006975AB" w:rsidRDefault="006975AB" w:rsidP="006975AB">
            <w:pPr>
              <w:pStyle w:val="Paragraphedeliste"/>
              <w:numPr>
                <w:ilvl w:val="0"/>
                <w:numId w:val="35"/>
              </w:num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6975AB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لماذا الانتقال من التحليل الكلاسيكي التحليل التنافسي</w:t>
            </w:r>
          </w:p>
          <w:p w:rsidR="000B0D18" w:rsidRPr="006975AB" w:rsidRDefault="006975AB" w:rsidP="006975AB">
            <w:pPr>
              <w:pStyle w:val="Paragraphedeliste"/>
              <w:numPr>
                <w:ilvl w:val="0"/>
                <w:numId w:val="35"/>
              </w:numPr>
              <w:bidi/>
              <w:spacing w:after="0"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975AB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الميزة</w:t>
            </w:r>
            <w:proofErr w:type="gramEnd"/>
            <w:r w:rsidRPr="006975AB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التنافسية</w:t>
            </w:r>
            <w:r w:rsidRPr="003D3625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0B0D18" w:rsidRPr="006A2010" w:rsidTr="00E6667D">
        <w:trPr>
          <w:trHeight w:val="1537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AF5" w:rsidRPr="009F3AF5" w:rsidRDefault="006975AB" w:rsidP="009F3AF5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9F3AF5">
              <w:rPr>
                <w:rFonts w:ascii="Sakkal Majalla" w:hAnsi="Sakkal Majalla" w:cs="Sakkal Majalla"/>
                <w:sz w:val="24"/>
                <w:szCs w:val="24"/>
                <w:rtl/>
              </w:rPr>
              <w:t>الميزة التنافسية وطرق التشخيص</w:t>
            </w:r>
            <w:r w:rsidR="009F3AF5" w:rsidRPr="009F3A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Start"/>
            <w:r w:rsidR="009F3AF5" w:rsidRPr="009F3AF5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9F3AF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="009F3AF5" w:rsidRPr="009F3AF5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  <w:proofErr w:type="spellEnd"/>
            <w:proofErr w:type="gramEnd"/>
            <w:r w:rsidR="009F3AF5" w:rsidRPr="009F3A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F3AF5" w:rsidRPr="009F3AF5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طرق التشخيص الخارجي للمحيط</w:t>
            </w:r>
          </w:p>
          <w:p w:rsidR="006975AB" w:rsidRPr="006975AB" w:rsidRDefault="006975AB" w:rsidP="009F3AF5">
            <w:pPr>
              <w:pStyle w:val="Paragraphedeliste"/>
              <w:numPr>
                <w:ilvl w:val="0"/>
                <w:numId w:val="39"/>
              </w:num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6975AB">
              <w:rPr>
                <w:rFonts w:ascii="Sakkal Majalla" w:hAnsi="Sakkal Majalla" w:cs="Sakkal Majalla"/>
                <w:sz w:val="24"/>
                <w:szCs w:val="24"/>
                <w:lang w:val="en-US" w:bidi="ar-DZ"/>
              </w:rPr>
              <w:t>PESTEL</w:t>
            </w:r>
            <w:proofErr w:type="spellStart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</w:p>
          <w:p w:rsidR="006975AB" w:rsidRPr="006975AB" w:rsidRDefault="006975AB" w:rsidP="009F3AF5">
            <w:pPr>
              <w:pStyle w:val="Paragraphedeliste"/>
              <w:numPr>
                <w:ilvl w:val="0"/>
                <w:numId w:val="39"/>
              </w:num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gramStart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الاتجاهات</w:t>
            </w:r>
            <w:proofErr w:type="gramEnd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الهيكلية، </w:t>
            </w:r>
          </w:p>
          <w:p w:rsidR="00E8457F" w:rsidRDefault="006975AB" w:rsidP="009F3AF5">
            <w:pPr>
              <w:pStyle w:val="Paragraphedeliste"/>
              <w:numPr>
                <w:ilvl w:val="0"/>
                <w:numId w:val="39"/>
              </w:num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</w:rPr>
            </w:pPr>
            <w:proofErr w:type="spellStart"/>
            <w:proofErr w:type="gramStart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السيناريو</w:t>
            </w:r>
            <w:proofErr w:type="gramEnd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975AB" w:rsidRPr="006975AB" w:rsidRDefault="006975AB" w:rsidP="009F3AF5">
            <w:pPr>
              <w:pStyle w:val="Paragraphedeliste"/>
              <w:numPr>
                <w:ilvl w:val="0"/>
                <w:numId w:val="39"/>
              </w:num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proofErr w:type="gramStart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تحليل</w:t>
            </w:r>
            <w:proofErr w:type="gramEnd"/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الصناعة، </w:t>
            </w:r>
          </w:p>
          <w:p w:rsidR="000B0D18" w:rsidRPr="006975AB" w:rsidRDefault="006975AB" w:rsidP="009F3AF5">
            <w:pPr>
              <w:pStyle w:val="Paragraphedeliste"/>
              <w:numPr>
                <w:ilvl w:val="0"/>
                <w:numId w:val="39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975AB">
              <w:rPr>
                <w:rFonts w:ascii="Sakkal Majalla" w:hAnsi="Sakkal Majalla" w:cs="Sakkal Majalla"/>
                <w:sz w:val="24"/>
                <w:szCs w:val="24"/>
                <w:rtl/>
              </w:rPr>
              <w:t>المجموعات الإستراتيجية</w:t>
            </w:r>
            <w:r w:rsidRPr="006975A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0B0D18" w:rsidRPr="006A2010" w:rsidTr="00E6667D">
        <w:trPr>
          <w:trHeight w:val="1064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176" w:rsidRPr="00F45176" w:rsidRDefault="00F45176" w:rsidP="00F45176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الميزة التنافسية </w:t>
            </w:r>
            <w:proofErr w:type="gram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>وطرق</w:t>
            </w:r>
            <w:proofErr w:type="gramEnd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4517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التشخيص </w:t>
            </w:r>
            <w:proofErr w:type="spell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>2:</w:t>
            </w:r>
            <w:proofErr w:type="spellEnd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طرق تشخيص المحيط الداخلي</w:t>
            </w:r>
            <w:r w:rsidRPr="00F4517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  <w:p w:rsidR="00F45176" w:rsidRPr="00F45176" w:rsidRDefault="00F45176" w:rsidP="00F45176">
            <w:pPr>
              <w:pStyle w:val="Paragraphedeliste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مقدمة</w:t>
            </w:r>
            <w:proofErr w:type="gramEnd"/>
            <w:r w:rsidRPr="00F4517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F45176" w:rsidRPr="00F45176" w:rsidRDefault="00F45176" w:rsidP="00F45176">
            <w:pPr>
              <w:pStyle w:val="Paragraphedeliste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التحليل</w:t>
            </w:r>
            <w:proofErr w:type="gramEnd"/>
            <w:r w:rsidRPr="00F4517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الداخلي</w:t>
            </w:r>
            <w:r w:rsidRPr="00F4517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0B0D18" w:rsidRPr="00F45176" w:rsidRDefault="00F45176" w:rsidP="00F45176">
            <w:pPr>
              <w:pStyle w:val="Paragraphedeliste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F4517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F4517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SWOT</w:t>
            </w:r>
            <w:r w:rsidRPr="00F451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0B0D18" w:rsidRPr="006A2010" w:rsidTr="00E6667D">
        <w:trPr>
          <w:trHeight w:val="1064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0FA" w:rsidRDefault="00FE00FA" w:rsidP="00FE00FA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الميزة التنافسية </w:t>
            </w:r>
            <w:proofErr w:type="gram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>وطرق</w:t>
            </w:r>
            <w:proofErr w:type="gramEnd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45176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التشخيص </w:t>
            </w:r>
            <w:proofErr w:type="spellStart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>2:</w:t>
            </w:r>
            <w:proofErr w:type="spellEnd"/>
            <w:r w:rsidRPr="00F451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طرق تشخيص المحيط الداخلي</w:t>
            </w:r>
          </w:p>
          <w:p w:rsidR="00FE00FA" w:rsidRPr="00FE00FA" w:rsidRDefault="00FE00FA" w:rsidP="00FE00FA">
            <w:pPr>
              <w:pStyle w:val="Paragraphedeliste"/>
              <w:numPr>
                <w:ilvl w:val="0"/>
                <w:numId w:val="42"/>
              </w:numPr>
              <w:bidi/>
              <w:spacing w:after="0" w:line="240" w:lineRule="auto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سلسلة القيمة </w:t>
            </w:r>
            <w:r w:rsidRPr="00FE00FA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Chaine de Valeur</w:t>
            </w:r>
          </w:p>
          <w:p w:rsidR="000B0D18" w:rsidRPr="00FE00FA" w:rsidRDefault="00FE00FA" w:rsidP="00FE00FA">
            <w:pPr>
              <w:pStyle w:val="Paragraphedeliste"/>
              <w:numPr>
                <w:ilvl w:val="0"/>
                <w:numId w:val="42"/>
              </w:num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تشخيص</w:t>
            </w:r>
            <w:proofErr w:type="gramEnd"/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الموارد والمهارات </w:t>
            </w:r>
            <w:r w:rsidRPr="00FE00FA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RBV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E6667D" w:rsidRPr="006A2010" w:rsidTr="00B60ADD">
        <w:trPr>
          <w:trHeight w:val="1726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0FA" w:rsidRPr="00FE00FA" w:rsidRDefault="00FE00FA" w:rsidP="00FE00F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lastRenderedPageBreak/>
              <w:t>الإستراتيجية التنافسية (السيطرة عن طريق التكاليف</w:t>
            </w:r>
            <w:proofErr w:type="spellStart"/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FE00FA" w:rsidRPr="00FE00FA" w:rsidRDefault="00FE00FA" w:rsidP="00FE00FA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>مقدمة</w:t>
            </w:r>
            <w:proofErr w:type="gramEnd"/>
            <w:r w:rsidRPr="00FE00FA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FE00FA" w:rsidRPr="00FE00FA" w:rsidRDefault="00FE00FA" w:rsidP="00FE00FA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>مفهوم استراتيجية السيطرة عن طريق التكاليف</w:t>
            </w:r>
            <w:r w:rsidRPr="00FE00FA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FE00FA" w:rsidRPr="00FE00FA" w:rsidRDefault="00FE00FA" w:rsidP="00FE00FA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E00F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استراتيجية السيطرة عن طريق </w:t>
            </w:r>
            <w:proofErr w:type="spellStart"/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>التكاليف:</w:t>
            </w:r>
            <w:proofErr w:type="spellEnd"/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مفهوم خاطئ </w:t>
            </w:r>
          </w:p>
          <w:p w:rsidR="00E6667D" w:rsidRPr="00FE00FA" w:rsidRDefault="00FE00FA" w:rsidP="00FE00FA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نقاط القوة التي تتمتع </w:t>
            </w:r>
            <w:proofErr w:type="spellStart"/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>بها</w:t>
            </w:r>
            <w:proofErr w:type="spellEnd"/>
            <w:r w:rsidRPr="00FE00F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المؤسسة القائمة على السيطرة بالتكاليف</w:t>
            </w:r>
            <w:r w:rsidRPr="00FE00FA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01 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E6667D" w:rsidRPr="006A2010" w:rsidTr="00B242AD">
        <w:trPr>
          <w:trHeight w:val="1341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75EC" w:rsidRPr="001B75EC" w:rsidRDefault="001B75EC" w:rsidP="001B75EC">
            <w:pPr>
              <w:bidi/>
              <w:jc w:val="both"/>
              <w:rPr>
                <w:rFonts w:ascii="Sakkal Majalla" w:hAnsi="Sakkal Majalla" w:cs="Sakkal Majalla" w:hint="cs"/>
                <w:sz w:val="24"/>
                <w:szCs w:val="24"/>
                <w:lang w:bidi="ar-DZ"/>
              </w:rPr>
            </w:pPr>
            <w:r w:rsidRPr="001B75E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الإستراتيجية التنافسية (السيطرة عن طريق التكاليف</w:t>
            </w:r>
            <w:proofErr w:type="spellStart"/>
            <w:r w:rsidRPr="001B75E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  <w:proofErr w:type="spellEnd"/>
          </w:p>
          <w:p w:rsidR="001B75EC" w:rsidRPr="001B75EC" w:rsidRDefault="001B75EC" w:rsidP="001B75EC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B75E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مزايا السيطرة عن طريق التكاليف</w:t>
            </w:r>
            <w:r w:rsidRPr="001B75EC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1B75EC" w:rsidRPr="001B75EC" w:rsidRDefault="001B75EC" w:rsidP="001B75EC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B75E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أثر التجربة </w:t>
            </w:r>
            <w:r w:rsidRPr="001B75E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وإستراتيجية</w:t>
            </w:r>
            <w:r w:rsidRPr="001B75E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التسعير</w:t>
            </w:r>
          </w:p>
          <w:p w:rsidR="00E6667D" w:rsidRPr="004C5105" w:rsidRDefault="001B75EC" w:rsidP="001B75EC">
            <w:pPr>
              <w:pStyle w:val="Paragraphedeliste"/>
              <w:numPr>
                <w:ilvl w:val="0"/>
                <w:numId w:val="20"/>
              </w:numPr>
              <w:bidi/>
              <w:ind w:left="357" w:hanging="35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B75EC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مخاطر السيطرة عن طريق التكاليف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E6667D" w:rsidRPr="006A2010" w:rsidTr="00E6667D">
        <w:tc>
          <w:tcPr>
            <w:tcW w:w="6917" w:type="dxa"/>
            <w:gridSpan w:val="2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3C2" w:rsidRPr="009563C2" w:rsidRDefault="009563C2" w:rsidP="009563C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9563C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إستراتيجية</w:t>
            </w:r>
            <w:proofErr w:type="gramEnd"/>
            <w:r w:rsidRPr="009563C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التمييز</w:t>
            </w:r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9563C2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>مقدمة</w:t>
            </w:r>
            <w:proofErr w:type="gramEnd"/>
            <w:r w:rsidRPr="009563C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9563C2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563C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مفهوم إستراتيجية التمييز؛</w:t>
            </w:r>
          </w:p>
          <w:p w:rsidR="009563C2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563C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المزايا التي تحققها إستراتيجية التمييز</w:t>
            </w:r>
          </w:p>
          <w:p w:rsidR="00E6667D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>المواقف التي تحقق للمؤسسة التميز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10:</w:t>
            </w:r>
          </w:p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E6667D" w:rsidRPr="006A2010" w:rsidTr="009563C2">
        <w:trPr>
          <w:trHeight w:val="1864"/>
        </w:trPr>
        <w:tc>
          <w:tcPr>
            <w:tcW w:w="6917" w:type="dxa"/>
            <w:gridSpan w:val="2"/>
            <w:tcBorders>
              <w:top w:val="single" w:sz="4" w:space="0" w:color="000000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3C2" w:rsidRPr="009563C2" w:rsidRDefault="009563C2" w:rsidP="009563C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</w:t>
            </w:r>
            <w:r w:rsidRPr="009563C2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ستراتيجية التمييز</w:t>
            </w:r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9563C2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>الأنشطة التي تحقق استراتيجيات تمييز ناجحة</w:t>
            </w:r>
            <w:r w:rsidRPr="009563C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9563C2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>أنواع استراتيجيات التميز</w:t>
            </w:r>
            <w:r w:rsidRPr="009563C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E6667D" w:rsidRPr="009563C2" w:rsidRDefault="009563C2" w:rsidP="009563C2">
            <w:pPr>
              <w:pStyle w:val="Paragraphedeliste"/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>الاحتياطات</w:t>
            </w:r>
            <w:proofErr w:type="spellEnd"/>
            <w:r w:rsidRPr="009563C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الواجب اتخاذها عند اتباع استراتيجية التميز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0B0D18" w:rsidRPr="006A2010" w:rsidTr="00042C99">
        <w:trPr>
          <w:trHeight w:val="2262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99" w:rsidRPr="00042C99" w:rsidRDefault="00042C99" w:rsidP="00042C99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 w:hint="cs"/>
                <w:sz w:val="24"/>
                <w:szCs w:val="24"/>
                <w:lang w:bidi="ar-DZ"/>
              </w:rPr>
            </w:pPr>
            <w:proofErr w:type="gramStart"/>
            <w:r w:rsidRPr="00042C9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إستراتيجية</w:t>
            </w:r>
            <w:proofErr w:type="gramEnd"/>
            <w:r w:rsidRPr="00042C9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التركيز</w:t>
            </w:r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</w:p>
          <w:p w:rsidR="00042C99" w:rsidRPr="00042C99" w:rsidRDefault="00042C99" w:rsidP="00042C99">
            <w:pPr>
              <w:pStyle w:val="Paragraphedeliste"/>
              <w:numPr>
                <w:ilvl w:val="0"/>
                <w:numId w:val="30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مفهوم إستراتيجية التركيز؛</w:t>
            </w:r>
          </w:p>
          <w:p w:rsidR="00042C99" w:rsidRPr="00042C99" w:rsidRDefault="00042C99" w:rsidP="00042C99">
            <w:pPr>
              <w:pStyle w:val="Paragraphedeliste"/>
              <w:numPr>
                <w:ilvl w:val="0"/>
                <w:numId w:val="30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كيفية</w:t>
            </w:r>
            <w:proofErr w:type="gramEnd"/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تحقيق إستراتيجية التركيز؛</w:t>
            </w:r>
          </w:p>
          <w:p w:rsidR="00042C99" w:rsidRPr="00042C99" w:rsidRDefault="00042C99" w:rsidP="00042C99">
            <w:pPr>
              <w:pStyle w:val="Paragraphedeliste"/>
              <w:numPr>
                <w:ilvl w:val="0"/>
                <w:numId w:val="30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الحالات التي فيها الميزة الناتجة عن استخدام استراتيجية التركيز؛</w:t>
            </w:r>
          </w:p>
          <w:p w:rsidR="000B0D18" w:rsidRPr="00042C99" w:rsidRDefault="00042C99" w:rsidP="00042C99">
            <w:pPr>
              <w:pStyle w:val="Paragraphedeliste"/>
              <w:numPr>
                <w:ilvl w:val="0"/>
                <w:numId w:val="30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محددات</w:t>
            </w:r>
            <w:proofErr w:type="gramEnd"/>
            <w:r w:rsidRPr="00042C9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جاذبية قطاع السوق المستهدف من قبل المؤسسة لتبني إستراتيجية التركيز.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0B0D18" w:rsidRPr="006A2010" w:rsidRDefault="000B0D1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  <w:p w:rsidR="000B0D18" w:rsidRPr="006A2010" w:rsidRDefault="000B0D18" w:rsidP="000B0D18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 w:rsidR="000B0D18" w:rsidRPr="006A2010" w:rsidRDefault="00E6667D" w:rsidP="00E6667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E6667D" w:rsidRPr="006A2010" w:rsidTr="00624EBE">
        <w:trPr>
          <w:trHeight w:val="715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2E77" w:rsidRPr="00B8232D" w:rsidRDefault="00B8232D" w:rsidP="000E2E7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حدود استخدام نموذج الاستراتيجيات التنافسية العامة لـــ </w:t>
            </w:r>
            <w:r w:rsidRPr="00B8232D">
              <w:rPr>
                <w:rFonts w:ascii="Sakkal Majalla" w:hAnsi="Sakkal Majalla" w:cs="Sakkal Majalla"/>
                <w:i/>
                <w:iCs/>
                <w:sz w:val="24"/>
                <w:szCs w:val="24"/>
                <w:shd w:val="clear" w:color="auto" w:fill="FFFFFF"/>
              </w:rPr>
              <w:t>Michael Porte</w:t>
            </w:r>
            <w:r w:rsidRPr="00B8232D">
              <w:rPr>
                <w:rFonts w:ascii="Sakkal Majalla" w:hAnsi="Sakkal Majalla" w:cs="Sakkal Majalla"/>
                <w:i/>
                <w:iCs/>
                <w:sz w:val="24"/>
                <w:szCs w:val="24"/>
                <w:lang w:bidi="ar-DZ"/>
              </w:rPr>
              <w:t>r</w:t>
            </w:r>
          </w:p>
          <w:p w:rsidR="00B8232D" w:rsidRPr="00B8232D" w:rsidRDefault="00B8232D" w:rsidP="00B8232D">
            <w:pPr>
              <w:pStyle w:val="Paragraphedeliste"/>
              <w:numPr>
                <w:ilvl w:val="0"/>
                <w:numId w:val="33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الافتراضات</w:t>
            </w:r>
            <w:proofErr w:type="gramEnd"/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الرئيسية التي قام عليها النموذج؛ </w:t>
            </w:r>
          </w:p>
          <w:p w:rsidR="00B8232D" w:rsidRPr="00B8232D" w:rsidRDefault="00B8232D" w:rsidP="00B8232D">
            <w:pPr>
              <w:pStyle w:val="Paragraphedeliste"/>
              <w:numPr>
                <w:ilvl w:val="0"/>
                <w:numId w:val="33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مفهوم الغرق في الوسط بالنسبة للنموذج؛</w:t>
            </w:r>
          </w:p>
          <w:p w:rsidR="00B8232D" w:rsidRPr="00B8232D" w:rsidRDefault="00B8232D" w:rsidP="00B8232D">
            <w:pPr>
              <w:pStyle w:val="Paragraphedeliste"/>
              <w:numPr>
                <w:ilvl w:val="0"/>
                <w:numId w:val="33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الانتقادات الموجهة للنموذج ورفض الافتراضات التي قام عليها؛</w:t>
            </w:r>
          </w:p>
          <w:p w:rsidR="00E6667D" w:rsidRPr="00B8232D" w:rsidRDefault="00B8232D" w:rsidP="00B8232D">
            <w:pPr>
              <w:pStyle w:val="Paragraphedeliste"/>
              <w:numPr>
                <w:ilvl w:val="0"/>
                <w:numId w:val="3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B8232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ظهور نماذج الاستراتيجيات الهجينة والمختلطة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13:</w:t>
            </w:r>
          </w:p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E6667D" w:rsidRPr="006A2010" w:rsidTr="002048C5">
        <w:trPr>
          <w:trHeight w:val="715"/>
        </w:trPr>
        <w:tc>
          <w:tcPr>
            <w:tcW w:w="6917" w:type="dxa"/>
            <w:gridSpan w:val="2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2E77" w:rsidRPr="009B7506" w:rsidRDefault="009B7506" w:rsidP="00F92825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نموذج الساعة الإستراتيجية </w:t>
            </w:r>
            <w:proofErr w:type="gramStart"/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المقدم</w:t>
            </w:r>
            <w:proofErr w:type="gramEnd"/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من طرف </w:t>
            </w:r>
            <w:r w:rsidRPr="009B7506">
              <w:rPr>
                <w:rFonts w:ascii="Sakkal Majalla" w:hAnsi="Sakkal Majalla" w:cs="Sakkal Majalla"/>
                <w:i/>
                <w:iCs/>
                <w:color w:val="787878"/>
                <w:sz w:val="24"/>
                <w:szCs w:val="24"/>
                <w:shd w:val="clear" w:color="auto" w:fill="FFFFFF"/>
              </w:rPr>
              <w:t> </w:t>
            </w:r>
            <w:r w:rsidRPr="009B7506">
              <w:rPr>
                <w:rFonts w:ascii="Sakkal Majalla" w:hAnsi="Sakkal Majalla" w:cs="Sakkal Majalla"/>
                <w:i/>
                <w:iCs/>
                <w:sz w:val="24"/>
                <w:szCs w:val="24"/>
                <w:shd w:val="clear" w:color="auto" w:fill="FFFFFF"/>
              </w:rPr>
              <w:t>David Faulkner et Cliff Bowman</w:t>
            </w:r>
          </w:p>
          <w:p w:rsidR="009B7506" w:rsidRPr="009B7506" w:rsidRDefault="009B7506" w:rsidP="009B7506">
            <w:pPr>
              <w:pStyle w:val="Paragraphedeliste"/>
              <w:numPr>
                <w:ilvl w:val="0"/>
                <w:numId w:val="45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B750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مفهوم نموذج الساعة الإستراتيجية </w:t>
            </w:r>
          </w:p>
          <w:p w:rsidR="009B7506" w:rsidRPr="009B7506" w:rsidRDefault="009B7506" w:rsidP="009B7506">
            <w:pPr>
              <w:pStyle w:val="Paragraphedeliste"/>
              <w:numPr>
                <w:ilvl w:val="0"/>
                <w:numId w:val="45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الهدف من النموذج ومحتواه؛</w:t>
            </w:r>
          </w:p>
          <w:p w:rsidR="009B7506" w:rsidRDefault="009B7506" w:rsidP="009B7506">
            <w:pPr>
              <w:pStyle w:val="Paragraphedeliste"/>
              <w:numPr>
                <w:ilvl w:val="0"/>
                <w:numId w:val="45"/>
              </w:numPr>
              <w:bidi/>
              <w:jc w:val="both"/>
              <w:rPr>
                <w:rFonts w:ascii="Sakkal Majalla" w:hAnsi="Sakkal Majalla" w:cs="Sakkal Majalla" w:hint="cs"/>
                <w:sz w:val="24"/>
                <w:szCs w:val="24"/>
                <w:lang w:bidi="ar-DZ"/>
              </w:rPr>
            </w:pPr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منهجية النموذج والنصائح المقدمة؛</w:t>
            </w:r>
          </w:p>
          <w:p w:rsidR="00E6667D" w:rsidRPr="009B7506" w:rsidRDefault="009B7506" w:rsidP="009B7506">
            <w:pPr>
              <w:pStyle w:val="Paragraphedeliste"/>
              <w:numPr>
                <w:ilvl w:val="0"/>
                <w:numId w:val="45"/>
              </w:num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lastRenderedPageBreak/>
              <w:t xml:space="preserve">مزايا النموذج </w:t>
            </w:r>
            <w:proofErr w:type="gramStart"/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وحدود</w:t>
            </w:r>
            <w:proofErr w:type="gramEnd"/>
            <w:r w:rsidRPr="009B750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استخدامه.</w:t>
            </w:r>
          </w:p>
        </w:tc>
        <w:tc>
          <w:tcPr>
            <w:tcW w:w="1138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9B7506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9B7506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الحصة</w:t>
            </w:r>
            <w:proofErr w:type="gramEnd"/>
            <w:r w:rsidRPr="009B7506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:rsidR="00E6667D" w:rsidRPr="006A2010" w:rsidRDefault="00E6667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401E6E" w:rsidRPr="006A2010" w:rsidTr="00E6667D">
        <w:tc>
          <w:tcPr>
            <w:tcW w:w="9894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الشتوية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من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02/01/2023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178E" w:rsidRPr="006A2010" w:rsidTr="008D639E">
        <w:trPr>
          <w:trHeight w:val="730"/>
        </w:trPr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178E" w:rsidRPr="00191086" w:rsidRDefault="00191086" w:rsidP="0019108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استراتيجية المحيط الأزرق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gramStart"/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مقدمة</w:t>
            </w:r>
            <w:proofErr w:type="gramEnd"/>
            <w:r w:rsidRPr="0019108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المحيطات الحمراء/المحيطات الزرقاء</w:t>
            </w:r>
            <w:r w:rsidRPr="0019108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مفهوم </w:t>
            </w: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استراتيجية المحيط الأزرق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مبادئ استراتيجية المحيط الأزرق</w:t>
            </w:r>
            <w:r w:rsidRPr="00F767A5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4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2F178E" w:rsidRPr="006A2010" w:rsidTr="008D08B0">
        <w:trPr>
          <w:trHeight w:val="715"/>
        </w:trPr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1086" w:rsidRPr="00191086" w:rsidRDefault="00191086" w:rsidP="0019108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استراتيجية المحيط الأزرق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كيف تستكشف القيمة الجديدة</w:t>
            </w:r>
            <w:r w:rsidRPr="0019108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أدوات السوق الأزرق</w:t>
            </w:r>
            <w:r w:rsidRPr="0019108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  <w:p w:rsidR="00191086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تصور مساحة السوق الجديدة</w:t>
            </w:r>
          </w:p>
          <w:p w:rsidR="002F178E" w:rsidRPr="00191086" w:rsidRDefault="00191086" w:rsidP="00191086">
            <w:pPr>
              <w:pStyle w:val="Paragraphedeliste"/>
              <w:numPr>
                <w:ilvl w:val="0"/>
                <w:numId w:val="46"/>
              </w:numPr>
              <w:tabs>
                <w:tab w:val="left" w:pos="3201"/>
              </w:tabs>
              <w:bidi/>
              <w:ind w:left="1077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191086">
              <w:rPr>
                <w:rFonts w:ascii="Sakkal Majalla" w:hAnsi="Sakkal Majalla" w:cs="Sakkal Majalla"/>
                <w:sz w:val="24"/>
                <w:szCs w:val="24"/>
                <w:rtl/>
              </w:rPr>
              <w:t>استمرارية استراتيجية المحيط الأزرق وتجديدها</w:t>
            </w:r>
            <w:r w:rsidRPr="00191086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83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:rsidR="002F178E" w:rsidRPr="006A2010" w:rsidRDefault="002F178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401E6E" w:rsidRPr="006A2010" w:rsidTr="00E6667D">
        <w:tc>
          <w:tcPr>
            <w:tcW w:w="9894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33052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660D32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proofErr w:type="spell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</w:p>
    <w:p w:rsidR="00401E6E" w:rsidRPr="00401E6E" w:rsidRDefault="00660D32" w:rsidP="00660D32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660D32" w:rsidRDefault="00660D32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9C1401" w:rsidRPr="004E7552" w:rsidRDefault="00401E6E" w:rsidP="00660D32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proofErr w:type="spell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proofErr w:type="spell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BA" w:rsidRDefault="00E379BA" w:rsidP="000E0F7E">
      <w:pPr>
        <w:spacing w:after="0" w:line="240" w:lineRule="auto"/>
      </w:pPr>
      <w:r>
        <w:separator/>
      </w:r>
    </w:p>
  </w:endnote>
  <w:endnote w:type="continuationSeparator" w:id="0">
    <w:p w:rsidR="00E379BA" w:rsidRDefault="00E379BA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903912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="00903912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191086">
      <w:rPr>
        <w:rFonts w:ascii="Sakkal Majalla" w:hAnsi="Sakkal Majalla" w:cs="Sakkal Majalla"/>
        <w:noProof/>
        <w:sz w:val="32"/>
        <w:szCs w:val="32"/>
        <w:rtl/>
      </w:rPr>
      <w:t>4</w:t>
    </w:r>
    <w:r w:rsidR="00903912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 SECTIONPAGES  \* MERGEFORMAT ">
      <w:r w:rsidR="00191086" w:rsidRPr="00191086">
        <w:rPr>
          <w:rFonts w:ascii="Sakkal Majalla" w:hAnsi="Sakkal Majalla" w:cs="Sakkal Majalla"/>
          <w:noProof/>
          <w:sz w:val="32"/>
          <w:szCs w:val="32"/>
        </w:rPr>
        <w:t>4</w:t>
      </w:r>
    </w:fldSimple>
  </w:p>
  <w:p w:rsidR="00B96F18" w:rsidRDefault="00B96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BA" w:rsidRDefault="00E379BA" w:rsidP="000E0F7E">
      <w:pPr>
        <w:spacing w:after="0" w:line="240" w:lineRule="auto"/>
      </w:pPr>
      <w:r>
        <w:separator/>
      </w:r>
    </w:p>
  </w:footnote>
  <w:footnote w:type="continuationSeparator" w:id="0">
    <w:p w:rsidR="00E379BA" w:rsidRDefault="00E379BA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F83"/>
    <w:multiLevelType w:val="hybridMultilevel"/>
    <w:tmpl w:val="79B4559A"/>
    <w:lvl w:ilvl="0" w:tplc="19A2A2A4">
      <w:start w:val="1"/>
      <w:numFmt w:val="decimal"/>
      <w:lvlText w:val="%1-"/>
      <w:lvlJc w:val="left"/>
      <w:pPr>
        <w:ind w:left="1353" w:hanging="360"/>
      </w:pPr>
      <w:rPr>
        <w:rFonts w:ascii="Simplified Arabic" w:eastAsiaTheme="minorEastAsia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6731"/>
    <w:multiLevelType w:val="hybridMultilevel"/>
    <w:tmpl w:val="01FED1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E2A3F"/>
    <w:multiLevelType w:val="hybridMultilevel"/>
    <w:tmpl w:val="1F64BCCE"/>
    <w:lvl w:ilvl="0" w:tplc="AE1C02A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5664"/>
    <w:multiLevelType w:val="multilevel"/>
    <w:tmpl w:val="1E62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10CF4"/>
    <w:multiLevelType w:val="hybridMultilevel"/>
    <w:tmpl w:val="9D6A55EE"/>
    <w:lvl w:ilvl="0" w:tplc="12A82D4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1967"/>
    <w:multiLevelType w:val="hybridMultilevel"/>
    <w:tmpl w:val="662ABC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41552"/>
    <w:multiLevelType w:val="hybridMultilevel"/>
    <w:tmpl w:val="308E20C2"/>
    <w:lvl w:ilvl="0" w:tplc="1B9693F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BFE"/>
    <w:multiLevelType w:val="hybridMultilevel"/>
    <w:tmpl w:val="FAAAD25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2E01B33"/>
    <w:multiLevelType w:val="hybridMultilevel"/>
    <w:tmpl w:val="6DEEA5E0"/>
    <w:lvl w:ilvl="0" w:tplc="1B9693F2">
      <w:start w:val="1"/>
      <w:numFmt w:val="decimal"/>
      <w:lvlText w:val="%1-"/>
      <w:lvlJc w:val="left"/>
      <w:pPr>
        <w:ind w:left="719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2590439F"/>
    <w:multiLevelType w:val="hybridMultilevel"/>
    <w:tmpl w:val="E0CA60D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4CAD"/>
    <w:multiLevelType w:val="hybridMultilevel"/>
    <w:tmpl w:val="8AC2B4BA"/>
    <w:lvl w:ilvl="0" w:tplc="E454FA22">
      <w:start w:val="1"/>
      <w:numFmt w:val="decimal"/>
      <w:lvlText w:val="%1-"/>
      <w:lvlJc w:val="left"/>
      <w:pPr>
        <w:ind w:left="359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2DEF5F3D"/>
    <w:multiLevelType w:val="hybridMultilevel"/>
    <w:tmpl w:val="C9DEF748"/>
    <w:lvl w:ilvl="0" w:tplc="1B9693F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48"/>
    <w:multiLevelType w:val="hybridMultilevel"/>
    <w:tmpl w:val="614045B2"/>
    <w:lvl w:ilvl="0" w:tplc="4C62CB42">
      <w:start w:val="1"/>
      <w:numFmt w:val="decimal"/>
      <w:lvlText w:val="%1-"/>
      <w:lvlJc w:val="left"/>
      <w:pPr>
        <w:ind w:left="719" w:hanging="720"/>
      </w:pPr>
      <w:rPr>
        <w:rFonts w:ascii="Sakkal Majalla" w:eastAsiaTheme="minorEastAsi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2F714FBE"/>
    <w:multiLevelType w:val="hybridMultilevel"/>
    <w:tmpl w:val="C144FAC4"/>
    <w:lvl w:ilvl="0" w:tplc="5166377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D184D"/>
    <w:multiLevelType w:val="hybridMultilevel"/>
    <w:tmpl w:val="A2C01A72"/>
    <w:lvl w:ilvl="0" w:tplc="DA127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97C2D"/>
    <w:multiLevelType w:val="hybridMultilevel"/>
    <w:tmpl w:val="E918F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347BA"/>
    <w:multiLevelType w:val="hybridMultilevel"/>
    <w:tmpl w:val="44668820"/>
    <w:lvl w:ilvl="0" w:tplc="D22C6B90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57B9C"/>
    <w:multiLevelType w:val="hybridMultilevel"/>
    <w:tmpl w:val="14C2DB64"/>
    <w:lvl w:ilvl="0" w:tplc="18060C2E">
      <w:start w:val="1"/>
      <w:numFmt w:val="decimal"/>
      <w:lvlText w:val="%1-"/>
      <w:lvlJc w:val="left"/>
      <w:pPr>
        <w:ind w:left="719" w:hanging="720"/>
      </w:pPr>
      <w:rPr>
        <w:rFonts w:ascii="Sakkal Majalla" w:eastAsiaTheme="minorEastAsia" w:hAnsi="Sakkal Majalla" w:cs="Sakkal Majalla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3E575CBD"/>
    <w:multiLevelType w:val="hybridMultilevel"/>
    <w:tmpl w:val="26EEC75C"/>
    <w:lvl w:ilvl="0" w:tplc="9DE00C9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56DBB"/>
    <w:multiLevelType w:val="hybridMultilevel"/>
    <w:tmpl w:val="B404AF74"/>
    <w:lvl w:ilvl="0" w:tplc="1700D31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0620A"/>
    <w:multiLevelType w:val="hybridMultilevel"/>
    <w:tmpl w:val="AD565B4A"/>
    <w:lvl w:ilvl="0" w:tplc="1B9693F2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F478F"/>
    <w:multiLevelType w:val="hybridMultilevel"/>
    <w:tmpl w:val="2DBAB3CA"/>
    <w:lvl w:ilvl="0" w:tplc="F3EAE8A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859DA"/>
    <w:multiLevelType w:val="hybridMultilevel"/>
    <w:tmpl w:val="CDBE78FA"/>
    <w:lvl w:ilvl="0" w:tplc="9DCAE74C">
      <w:start w:val="1"/>
      <w:numFmt w:val="decimal"/>
      <w:lvlText w:val="%1-"/>
      <w:lvlJc w:val="left"/>
      <w:pPr>
        <w:ind w:left="1080" w:hanging="720"/>
      </w:pPr>
      <w:rPr>
        <w:rFonts w:ascii="Sakkal Majalla" w:eastAsiaTheme="minorEastAsi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F192B"/>
    <w:multiLevelType w:val="hybridMultilevel"/>
    <w:tmpl w:val="E166C14E"/>
    <w:lvl w:ilvl="0" w:tplc="60EA905E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056B"/>
    <w:multiLevelType w:val="hybridMultilevel"/>
    <w:tmpl w:val="4AFAC9D0"/>
    <w:lvl w:ilvl="0" w:tplc="FE664E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B12CE"/>
    <w:multiLevelType w:val="hybridMultilevel"/>
    <w:tmpl w:val="0E60D6FC"/>
    <w:lvl w:ilvl="0" w:tplc="2D86F194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D474B"/>
    <w:multiLevelType w:val="hybridMultilevel"/>
    <w:tmpl w:val="0596B3BC"/>
    <w:lvl w:ilvl="0" w:tplc="E0D4C3B2">
      <w:start w:val="1"/>
      <w:numFmt w:val="decimal"/>
      <w:lvlText w:val="%1-"/>
      <w:lvlJc w:val="left"/>
      <w:pPr>
        <w:ind w:left="719" w:hanging="720"/>
      </w:pPr>
      <w:rPr>
        <w:rFonts w:ascii="Sakkal Majalla" w:eastAsiaTheme="minorEastAsia" w:hAnsi="Sakkal Majalla" w:cs="Sakkal Majalla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5224063E"/>
    <w:multiLevelType w:val="hybridMultilevel"/>
    <w:tmpl w:val="19BC8D54"/>
    <w:lvl w:ilvl="0" w:tplc="65F030EC">
      <w:start w:val="1"/>
      <w:numFmt w:val="decimal"/>
      <w:lvlText w:val="%1-"/>
      <w:lvlJc w:val="left"/>
      <w:pPr>
        <w:ind w:left="1428" w:hanging="720"/>
      </w:pPr>
      <w:rPr>
        <w:rFonts w:ascii="Sakkal Majalla" w:eastAsiaTheme="minorEastAsia" w:hAnsi="Sakkal Majalla" w:cs="Sakkal Majalla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DD535D"/>
    <w:multiLevelType w:val="hybridMultilevel"/>
    <w:tmpl w:val="99A03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A0234"/>
    <w:multiLevelType w:val="hybridMultilevel"/>
    <w:tmpl w:val="77D801AA"/>
    <w:lvl w:ilvl="0" w:tplc="2500DFB2">
      <w:start w:val="1"/>
      <w:numFmt w:val="upperRoman"/>
      <w:lvlText w:val="%1-"/>
      <w:lvlJc w:val="left"/>
      <w:pPr>
        <w:ind w:left="1080" w:hanging="720"/>
      </w:pPr>
      <w:rPr>
        <w:rFonts w:asciiTheme="majorBidi" w:hAnsi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D1539"/>
    <w:multiLevelType w:val="hybridMultilevel"/>
    <w:tmpl w:val="9D6A55EE"/>
    <w:lvl w:ilvl="0" w:tplc="12A82D4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D5A9F"/>
    <w:multiLevelType w:val="hybridMultilevel"/>
    <w:tmpl w:val="A9745F2C"/>
    <w:lvl w:ilvl="0" w:tplc="8E9C77F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8134C"/>
    <w:multiLevelType w:val="hybridMultilevel"/>
    <w:tmpl w:val="B404AF74"/>
    <w:lvl w:ilvl="0" w:tplc="1700D31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BB0A84"/>
    <w:multiLevelType w:val="hybridMultilevel"/>
    <w:tmpl w:val="36280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35FF5"/>
    <w:multiLevelType w:val="hybridMultilevel"/>
    <w:tmpl w:val="1E26FE14"/>
    <w:lvl w:ilvl="0" w:tplc="5166377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3434FD"/>
    <w:multiLevelType w:val="hybridMultilevel"/>
    <w:tmpl w:val="225EBEC8"/>
    <w:lvl w:ilvl="0" w:tplc="B274997E">
      <w:start w:val="26"/>
      <w:numFmt w:val="decimal"/>
      <w:lvlText w:val="%1-"/>
      <w:lvlJc w:val="left"/>
      <w:pPr>
        <w:ind w:left="359" w:hanging="360"/>
      </w:pPr>
      <w:rPr>
        <w:rFonts w:ascii="Sakkal Majalla" w:eastAsiaTheme="minorEastAsia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03424"/>
    <w:multiLevelType w:val="hybridMultilevel"/>
    <w:tmpl w:val="8AC2B4BA"/>
    <w:lvl w:ilvl="0" w:tplc="E454FA22">
      <w:start w:val="1"/>
      <w:numFmt w:val="decimal"/>
      <w:lvlText w:val="%1-"/>
      <w:lvlJc w:val="left"/>
      <w:pPr>
        <w:ind w:left="359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39"/>
  </w:num>
  <w:num w:numId="5">
    <w:abstractNumId w:val="43"/>
  </w:num>
  <w:num w:numId="6">
    <w:abstractNumId w:val="5"/>
  </w:num>
  <w:num w:numId="7">
    <w:abstractNumId w:val="25"/>
  </w:num>
  <w:num w:numId="8">
    <w:abstractNumId w:val="23"/>
  </w:num>
  <w:num w:numId="9">
    <w:abstractNumId w:val="40"/>
  </w:num>
  <w:num w:numId="10">
    <w:abstractNumId w:val="11"/>
  </w:num>
  <w:num w:numId="11">
    <w:abstractNumId w:val="4"/>
  </w:num>
  <w:num w:numId="12">
    <w:abstractNumId w:val="14"/>
  </w:num>
  <w:num w:numId="13">
    <w:abstractNumId w:val="32"/>
  </w:num>
  <w:num w:numId="14">
    <w:abstractNumId w:val="15"/>
  </w:num>
  <w:num w:numId="15">
    <w:abstractNumId w:val="38"/>
  </w:num>
  <w:num w:numId="16">
    <w:abstractNumId w:val="13"/>
  </w:num>
  <w:num w:numId="17">
    <w:abstractNumId w:val="30"/>
  </w:num>
  <w:num w:numId="18">
    <w:abstractNumId w:val="6"/>
  </w:num>
  <w:num w:numId="19">
    <w:abstractNumId w:val="36"/>
  </w:num>
  <w:num w:numId="20">
    <w:abstractNumId w:val="45"/>
  </w:num>
  <w:num w:numId="21">
    <w:abstractNumId w:val="10"/>
  </w:num>
  <w:num w:numId="22">
    <w:abstractNumId w:val="9"/>
  </w:num>
  <w:num w:numId="23">
    <w:abstractNumId w:val="37"/>
  </w:num>
  <w:num w:numId="24">
    <w:abstractNumId w:val="33"/>
  </w:num>
  <w:num w:numId="25">
    <w:abstractNumId w:val="19"/>
  </w:num>
  <w:num w:numId="26">
    <w:abstractNumId w:val="29"/>
  </w:num>
  <w:num w:numId="27">
    <w:abstractNumId w:val="20"/>
  </w:num>
  <w:num w:numId="28">
    <w:abstractNumId w:val="24"/>
  </w:num>
  <w:num w:numId="29">
    <w:abstractNumId w:val="41"/>
  </w:num>
  <w:num w:numId="30">
    <w:abstractNumId w:val="2"/>
  </w:num>
  <w:num w:numId="31">
    <w:abstractNumId w:val="7"/>
  </w:num>
  <w:num w:numId="32">
    <w:abstractNumId w:val="1"/>
  </w:num>
  <w:num w:numId="33">
    <w:abstractNumId w:val="27"/>
  </w:num>
  <w:num w:numId="34">
    <w:abstractNumId w:val="0"/>
  </w:num>
  <w:num w:numId="35">
    <w:abstractNumId w:val="21"/>
  </w:num>
  <w:num w:numId="36">
    <w:abstractNumId w:val="44"/>
  </w:num>
  <w:num w:numId="37">
    <w:abstractNumId w:val="34"/>
  </w:num>
  <w:num w:numId="38">
    <w:abstractNumId w:val="8"/>
  </w:num>
  <w:num w:numId="39">
    <w:abstractNumId w:val="31"/>
  </w:num>
  <w:num w:numId="40">
    <w:abstractNumId w:val="26"/>
  </w:num>
  <w:num w:numId="41">
    <w:abstractNumId w:val="22"/>
  </w:num>
  <w:num w:numId="42">
    <w:abstractNumId w:val="42"/>
  </w:num>
  <w:num w:numId="43">
    <w:abstractNumId w:val="35"/>
  </w:num>
  <w:num w:numId="44">
    <w:abstractNumId w:val="12"/>
  </w:num>
  <w:num w:numId="45">
    <w:abstractNumId w:val="1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457"/>
    <w:rsid w:val="00002581"/>
    <w:rsid w:val="00002608"/>
    <w:rsid w:val="00003CCF"/>
    <w:rsid w:val="00024B1C"/>
    <w:rsid w:val="00027402"/>
    <w:rsid w:val="00042C99"/>
    <w:rsid w:val="00061BDA"/>
    <w:rsid w:val="00076D0E"/>
    <w:rsid w:val="000A09DC"/>
    <w:rsid w:val="000B0D18"/>
    <w:rsid w:val="000E0F7E"/>
    <w:rsid w:val="000E2E77"/>
    <w:rsid w:val="000E6DA2"/>
    <w:rsid w:val="001165D3"/>
    <w:rsid w:val="00191086"/>
    <w:rsid w:val="001B75EC"/>
    <w:rsid w:val="001F2DAE"/>
    <w:rsid w:val="00242405"/>
    <w:rsid w:val="00242693"/>
    <w:rsid w:val="0027022B"/>
    <w:rsid w:val="002B220F"/>
    <w:rsid w:val="002B2A23"/>
    <w:rsid w:val="002E05CF"/>
    <w:rsid w:val="002E06E6"/>
    <w:rsid w:val="002F178E"/>
    <w:rsid w:val="002F4877"/>
    <w:rsid w:val="003152B3"/>
    <w:rsid w:val="00325240"/>
    <w:rsid w:val="00325742"/>
    <w:rsid w:val="00330525"/>
    <w:rsid w:val="00336991"/>
    <w:rsid w:val="003734EB"/>
    <w:rsid w:val="003D79E7"/>
    <w:rsid w:val="00401E6E"/>
    <w:rsid w:val="004078E1"/>
    <w:rsid w:val="004314F6"/>
    <w:rsid w:val="0044666B"/>
    <w:rsid w:val="004563D3"/>
    <w:rsid w:val="004C5105"/>
    <w:rsid w:val="004C55BC"/>
    <w:rsid w:val="004D1BDD"/>
    <w:rsid w:val="004E7552"/>
    <w:rsid w:val="004F3E4D"/>
    <w:rsid w:val="004F5A04"/>
    <w:rsid w:val="004F6877"/>
    <w:rsid w:val="00582932"/>
    <w:rsid w:val="005D0181"/>
    <w:rsid w:val="005F1014"/>
    <w:rsid w:val="0061108C"/>
    <w:rsid w:val="006128D7"/>
    <w:rsid w:val="00615923"/>
    <w:rsid w:val="006365C6"/>
    <w:rsid w:val="00660D32"/>
    <w:rsid w:val="006975AB"/>
    <w:rsid w:val="006A2010"/>
    <w:rsid w:val="006B3F1C"/>
    <w:rsid w:val="006F5598"/>
    <w:rsid w:val="006F6BE8"/>
    <w:rsid w:val="00723D3D"/>
    <w:rsid w:val="00742492"/>
    <w:rsid w:val="00807CB7"/>
    <w:rsid w:val="00817A4D"/>
    <w:rsid w:val="00840087"/>
    <w:rsid w:val="00842318"/>
    <w:rsid w:val="008E1716"/>
    <w:rsid w:val="008F03D9"/>
    <w:rsid w:val="008F1ADD"/>
    <w:rsid w:val="00903912"/>
    <w:rsid w:val="009060A0"/>
    <w:rsid w:val="00910B0C"/>
    <w:rsid w:val="00912F20"/>
    <w:rsid w:val="00917C85"/>
    <w:rsid w:val="00934D32"/>
    <w:rsid w:val="00940AD8"/>
    <w:rsid w:val="00950D98"/>
    <w:rsid w:val="009563C2"/>
    <w:rsid w:val="00990E9C"/>
    <w:rsid w:val="00995790"/>
    <w:rsid w:val="009A2FA5"/>
    <w:rsid w:val="009A6070"/>
    <w:rsid w:val="009A7FE4"/>
    <w:rsid w:val="009B60E1"/>
    <w:rsid w:val="009B7506"/>
    <w:rsid w:val="009C1401"/>
    <w:rsid w:val="009F3AF5"/>
    <w:rsid w:val="00A830B1"/>
    <w:rsid w:val="00A936A6"/>
    <w:rsid w:val="00AA4466"/>
    <w:rsid w:val="00AD55E1"/>
    <w:rsid w:val="00AD601F"/>
    <w:rsid w:val="00AD7482"/>
    <w:rsid w:val="00B052C7"/>
    <w:rsid w:val="00B327CE"/>
    <w:rsid w:val="00B8232D"/>
    <w:rsid w:val="00B96F18"/>
    <w:rsid w:val="00C107C2"/>
    <w:rsid w:val="00C32118"/>
    <w:rsid w:val="00C4760E"/>
    <w:rsid w:val="00C56B50"/>
    <w:rsid w:val="00CB7C99"/>
    <w:rsid w:val="00CE59FF"/>
    <w:rsid w:val="00D0138B"/>
    <w:rsid w:val="00D04805"/>
    <w:rsid w:val="00D109D5"/>
    <w:rsid w:val="00D50EAB"/>
    <w:rsid w:val="00D62FBD"/>
    <w:rsid w:val="00D73A46"/>
    <w:rsid w:val="00DC6F29"/>
    <w:rsid w:val="00DD163D"/>
    <w:rsid w:val="00E033B2"/>
    <w:rsid w:val="00E102FF"/>
    <w:rsid w:val="00E15A7D"/>
    <w:rsid w:val="00E258FD"/>
    <w:rsid w:val="00E26E78"/>
    <w:rsid w:val="00E30310"/>
    <w:rsid w:val="00E379BA"/>
    <w:rsid w:val="00E6667D"/>
    <w:rsid w:val="00E8457F"/>
    <w:rsid w:val="00EB0B19"/>
    <w:rsid w:val="00EC4E4A"/>
    <w:rsid w:val="00ED14B5"/>
    <w:rsid w:val="00EF0B3C"/>
    <w:rsid w:val="00F117AF"/>
    <w:rsid w:val="00F240D3"/>
    <w:rsid w:val="00F30457"/>
    <w:rsid w:val="00F3620A"/>
    <w:rsid w:val="00F45176"/>
    <w:rsid w:val="00F92825"/>
    <w:rsid w:val="00FA3692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paragraph" w:styleId="Titre1">
    <w:name w:val="heading 1"/>
    <w:basedOn w:val="Normal"/>
    <w:link w:val="Titre1Car"/>
    <w:uiPriority w:val="9"/>
    <w:qFormat/>
    <w:rsid w:val="000E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  <w:style w:type="character" w:customStyle="1" w:styleId="auteur">
    <w:name w:val="auteur"/>
    <w:basedOn w:val="Policepardfaut"/>
    <w:rsid w:val="00A830B1"/>
  </w:style>
  <w:style w:type="character" w:styleId="Lienhypertexte">
    <w:name w:val="Hyperlink"/>
    <w:basedOn w:val="Policepardfaut"/>
    <w:uiPriority w:val="99"/>
    <w:semiHidden/>
    <w:unhideWhenUsed/>
    <w:rsid w:val="00A830B1"/>
    <w:rPr>
      <w:color w:val="0000FF"/>
      <w:u w:val="single"/>
    </w:rPr>
  </w:style>
  <w:style w:type="character" w:customStyle="1" w:styleId="attribut">
    <w:name w:val="attribut"/>
    <w:basedOn w:val="Policepardfaut"/>
    <w:rsid w:val="00A830B1"/>
  </w:style>
  <w:style w:type="character" w:customStyle="1" w:styleId="Titre1Car">
    <w:name w:val="Titre 1 Car"/>
    <w:basedOn w:val="Policepardfaut"/>
    <w:link w:val="Titre1"/>
    <w:uiPriority w:val="9"/>
    <w:rsid w:val="000E2E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Amira Informatique</cp:lastModifiedBy>
  <cp:revision>16</cp:revision>
  <cp:lastPrinted>2022-09-17T21:08:00Z</cp:lastPrinted>
  <dcterms:created xsi:type="dcterms:W3CDTF">2022-10-01T17:33:00Z</dcterms:created>
  <dcterms:modified xsi:type="dcterms:W3CDTF">2022-10-01T18:30:00Z</dcterms:modified>
</cp:coreProperties>
</file>