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F79" w:rsidRPr="00CD3E09" w:rsidRDefault="002B3F79" w:rsidP="00682106">
      <w:pPr>
        <w:spacing w:line="360" w:lineRule="auto"/>
        <w:jc w:val="center"/>
        <w:rPr>
          <w:rFonts w:asciiTheme="majorBidi" w:hAnsiTheme="majorBidi" w:cstheme="majorBidi"/>
          <w:b/>
          <w:bCs/>
          <w:sz w:val="32"/>
          <w:szCs w:val="32"/>
          <w:u w:val="single"/>
          <w:lang w:bidi="ar-DZ"/>
        </w:rPr>
      </w:pPr>
      <w:r w:rsidRPr="00CD3E09">
        <w:rPr>
          <w:rFonts w:asciiTheme="majorBidi" w:hAnsiTheme="majorBidi" w:cstheme="majorBidi"/>
          <w:b/>
          <w:bCs/>
          <w:sz w:val="32"/>
          <w:szCs w:val="32"/>
          <w:u w:val="single"/>
          <w:lang w:bidi="ar-DZ"/>
        </w:rPr>
        <w:t>Les voies de recours</w:t>
      </w:r>
      <w:r w:rsidR="00CD3E09">
        <w:rPr>
          <w:rFonts w:asciiTheme="majorBidi" w:hAnsiTheme="majorBidi" w:cstheme="majorBidi"/>
          <w:b/>
          <w:bCs/>
          <w:sz w:val="32"/>
          <w:szCs w:val="32"/>
          <w:u w:val="single"/>
          <w:lang w:bidi="ar-DZ"/>
        </w:rPr>
        <w:t xml:space="preserve"> </w:t>
      </w:r>
      <w:r w:rsidR="0081612C" w:rsidRPr="00CD3E09">
        <w:rPr>
          <w:rFonts w:asciiTheme="majorBidi" w:hAnsiTheme="majorBidi" w:cs="Times New Roman"/>
          <w:b/>
          <w:bCs/>
          <w:sz w:val="32"/>
          <w:szCs w:val="32"/>
          <w:u w:val="single"/>
          <w:rtl/>
          <w:lang w:bidi="ar-DZ"/>
        </w:rPr>
        <w:t xml:space="preserve"> طرق الطعن</w:t>
      </w:r>
    </w:p>
    <w:p w:rsidR="0081612C" w:rsidRDefault="0081612C" w:rsidP="00CB235A">
      <w:pPr>
        <w:spacing w:line="360" w:lineRule="auto"/>
        <w:jc w:val="both"/>
        <w:rPr>
          <w:rFonts w:asciiTheme="majorBidi" w:hAnsiTheme="majorBidi" w:cstheme="majorBidi"/>
          <w:sz w:val="28"/>
          <w:szCs w:val="28"/>
          <w:rtl/>
          <w:lang w:bidi="ar-DZ"/>
        </w:rPr>
      </w:pPr>
    </w:p>
    <w:p w:rsidR="002B3F79" w:rsidRDefault="002B3F79" w:rsidP="00CB235A">
      <w:pPr>
        <w:spacing w:line="360" w:lineRule="auto"/>
        <w:jc w:val="both"/>
        <w:rPr>
          <w:rFonts w:asciiTheme="majorBidi" w:hAnsiTheme="majorBidi" w:cstheme="majorBidi"/>
          <w:sz w:val="28"/>
          <w:szCs w:val="28"/>
          <w:lang w:bidi="ar-DZ"/>
        </w:rPr>
      </w:pPr>
      <w:r w:rsidRPr="002B3F79">
        <w:rPr>
          <w:rFonts w:asciiTheme="majorBidi" w:hAnsiTheme="majorBidi" w:cstheme="majorBidi"/>
          <w:sz w:val="28"/>
          <w:szCs w:val="28"/>
          <w:lang w:bidi="ar-DZ"/>
        </w:rPr>
        <w:t xml:space="preserve"> </w:t>
      </w:r>
      <w:proofErr w:type="gramStart"/>
      <w:r w:rsidRPr="002B3F79">
        <w:rPr>
          <w:rFonts w:asciiTheme="majorBidi" w:hAnsiTheme="majorBidi" w:cstheme="majorBidi"/>
          <w:b/>
          <w:bCs/>
          <w:sz w:val="28"/>
          <w:szCs w:val="28"/>
          <w:lang w:bidi="ar-DZ"/>
        </w:rPr>
        <w:t>1)Les</w:t>
      </w:r>
      <w:proofErr w:type="gramEnd"/>
      <w:r w:rsidRPr="002B3F79">
        <w:rPr>
          <w:rFonts w:asciiTheme="majorBidi" w:hAnsiTheme="majorBidi" w:cstheme="majorBidi"/>
          <w:b/>
          <w:bCs/>
          <w:sz w:val="28"/>
          <w:szCs w:val="28"/>
          <w:lang w:bidi="ar-DZ"/>
        </w:rPr>
        <w:t xml:space="preserve"> voies de recours ordinaires</w:t>
      </w:r>
      <w:r w:rsidRPr="002B3F79">
        <w:rPr>
          <w:rFonts w:asciiTheme="majorBidi" w:hAnsiTheme="majorBidi" w:cstheme="majorBidi"/>
          <w:sz w:val="28"/>
          <w:szCs w:val="28"/>
          <w:lang w:bidi="ar-DZ"/>
        </w:rPr>
        <w:t xml:space="preserve">  </w:t>
      </w:r>
      <w:r w:rsidRPr="002B3F79">
        <w:rPr>
          <w:rFonts w:asciiTheme="majorBidi" w:hAnsiTheme="majorBidi" w:cs="Times New Roman"/>
          <w:sz w:val="28"/>
          <w:szCs w:val="28"/>
          <w:rtl/>
          <w:lang w:bidi="ar-DZ"/>
        </w:rPr>
        <w:t>طرق الطعن العادية.</w:t>
      </w:r>
    </w:p>
    <w:p w:rsidR="002B3F79" w:rsidRDefault="0081612C" w:rsidP="00CB235A">
      <w:pPr>
        <w:spacing w:line="360" w:lineRule="auto"/>
        <w:jc w:val="both"/>
        <w:rPr>
          <w:rFonts w:asciiTheme="majorBidi" w:hAnsiTheme="majorBidi" w:cstheme="majorBidi"/>
          <w:sz w:val="28"/>
          <w:szCs w:val="28"/>
          <w:lang w:bidi="ar-DZ"/>
        </w:rPr>
      </w:pPr>
      <w:r>
        <w:rPr>
          <w:rFonts w:asciiTheme="majorBidi" w:hAnsiTheme="majorBidi" w:cstheme="majorBidi"/>
          <w:sz w:val="28"/>
          <w:szCs w:val="28"/>
          <w:lang w:bidi="ar-DZ"/>
        </w:rPr>
        <w:t xml:space="preserve">A_ </w:t>
      </w:r>
      <w:r w:rsidR="002B3F79" w:rsidRPr="002B3F79">
        <w:rPr>
          <w:rFonts w:asciiTheme="majorBidi" w:hAnsiTheme="majorBidi" w:cstheme="majorBidi"/>
          <w:sz w:val="28"/>
          <w:szCs w:val="28"/>
          <w:lang w:bidi="ar-DZ"/>
        </w:rPr>
        <w:t xml:space="preserve">L’appel  </w:t>
      </w:r>
      <w:r w:rsidR="002B3F79" w:rsidRPr="002B3F79">
        <w:rPr>
          <w:rFonts w:asciiTheme="majorBidi" w:hAnsiTheme="majorBidi" w:cs="Times New Roman"/>
          <w:sz w:val="28"/>
          <w:szCs w:val="28"/>
          <w:rtl/>
          <w:lang w:bidi="ar-DZ"/>
        </w:rPr>
        <w:t>الاستئناف</w:t>
      </w:r>
      <w:r w:rsidR="002B3F79" w:rsidRPr="002B3F79">
        <w:rPr>
          <w:rFonts w:asciiTheme="majorBidi" w:hAnsiTheme="majorBidi" w:cstheme="majorBidi"/>
          <w:sz w:val="28"/>
          <w:szCs w:val="28"/>
          <w:lang w:bidi="ar-DZ"/>
        </w:rPr>
        <w:t xml:space="preserve">. </w:t>
      </w:r>
      <w:bookmarkStart w:id="0" w:name="_GoBack"/>
      <w:bookmarkEnd w:id="0"/>
    </w:p>
    <w:p w:rsidR="002B3F79" w:rsidRDefault="0081612C" w:rsidP="00CB235A">
      <w:pPr>
        <w:spacing w:line="360" w:lineRule="auto"/>
        <w:jc w:val="both"/>
        <w:rPr>
          <w:rFonts w:asciiTheme="majorBidi" w:hAnsiTheme="majorBidi" w:cstheme="majorBidi"/>
          <w:sz w:val="28"/>
          <w:szCs w:val="28"/>
          <w:lang w:bidi="ar-DZ"/>
        </w:rPr>
      </w:pPr>
      <w:proofErr w:type="spellStart"/>
      <w:r>
        <w:rPr>
          <w:rFonts w:asciiTheme="majorBidi" w:hAnsiTheme="majorBidi" w:cstheme="majorBidi"/>
          <w:sz w:val="28"/>
          <w:szCs w:val="28"/>
          <w:lang w:bidi="ar-DZ"/>
        </w:rPr>
        <w:t>B_</w:t>
      </w:r>
      <w:r w:rsidR="002B3F79" w:rsidRPr="002B3F79">
        <w:rPr>
          <w:rFonts w:asciiTheme="majorBidi" w:hAnsiTheme="majorBidi" w:cstheme="majorBidi"/>
          <w:sz w:val="28"/>
          <w:szCs w:val="28"/>
          <w:lang w:bidi="ar-DZ"/>
        </w:rPr>
        <w:t>L’opposition</w:t>
      </w:r>
      <w:proofErr w:type="spellEnd"/>
      <w:r w:rsidR="002B3F79" w:rsidRPr="002B3F79">
        <w:rPr>
          <w:rFonts w:asciiTheme="majorBidi" w:hAnsiTheme="majorBidi" w:cstheme="majorBidi"/>
          <w:sz w:val="28"/>
          <w:szCs w:val="28"/>
          <w:lang w:bidi="ar-DZ"/>
        </w:rPr>
        <w:t xml:space="preserve">  </w:t>
      </w:r>
      <w:r w:rsidR="002B3F79" w:rsidRPr="002B3F79">
        <w:rPr>
          <w:rFonts w:asciiTheme="majorBidi" w:hAnsiTheme="majorBidi" w:cs="Times New Roman"/>
          <w:sz w:val="28"/>
          <w:szCs w:val="28"/>
          <w:rtl/>
          <w:lang w:bidi="ar-DZ"/>
        </w:rPr>
        <w:t xml:space="preserve">المعارضة </w:t>
      </w:r>
    </w:p>
    <w:p w:rsidR="0081612C" w:rsidRDefault="002B3F79" w:rsidP="00CB235A">
      <w:pPr>
        <w:spacing w:line="360" w:lineRule="auto"/>
        <w:jc w:val="both"/>
        <w:rPr>
          <w:rFonts w:asciiTheme="majorBidi" w:hAnsiTheme="majorBidi" w:cstheme="majorBidi"/>
          <w:b/>
          <w:bCs/>
          <w:sz w:val="28"/>
          <w:szCs w:val="28"/>
          <w:u w:val="single"/>
          <w:lang w:bidi="ar-DZ"/>
        </w:rPr>
      </w:pPr>
      <w:r w:rsidRPr="0081612C">
        <w:rPr>
          <w:rFonts w:asciiTheme="majorBidi" w:hAnsiTheme="majorBidi" w:cstheme="majorBidi"/>
          <w:b/>
          <w:bCs/>
          <w:sz w:val="28"/>
          <w:szCs w:val="28"/>
          <w:u w:val="single"/>
          <w:lang w:bidi="ar-DZ"/>
        </w:rPr>
        <w:t xml:space="preserve"> </w:t>
      </w:r>
      <w:proofErr w:type="spellStart"/>
      <w:r w:rsidRPr="0081612C">
        <w:rPr>
          <w:rFonts w:asciiTheme="majorBidi" w:hAnsiTheme="majorBidi" w:cstheme="majorBidi"/>
          <w:b/>
          <w:bCs/>
          <w:sz w:val="28"/>
          <w:szCs w:val="28"/>
          <w:u w:val="single"/>
          <w:lang w:bidi="ar-DZ"/>
        </w:rPr>
        <w:t>A-L’appel</w:t>
      </w:r>
      <w:proofErr w:type="spellEnd"/>
      <w:r w:rsidRPr="0081612C">
        <w:rPr>
          <w:rFonts w:asciiTheme="majorBidi" w:hAnsiTheme="majorBidi" w:cstheme="majorBidi"/>
          <w:b/>
          <w:bCs/>
          <w:sz w:val="28"/>
          <w:szCs w:val="28"/>
          <w:u w:val="single"/>
          <w:lang w:bidi="ar-DZ"/>
        </w:rPr>
        <w:t xml:space="preserve"> :</w:t>
      </w:r>
    </w:p>
    <w:p w:rsidR="002B3F79" w:rsidRDefault="002B3F79" w:rsidP="00CB235A">
      <w:pPr>
        <w:spacing w:line="360" w:lineRule="auto"/>
        <w:jc w:val="both"/>
        <w:rPr>
          <w:rFonts w:asciiTheme="majorBidi" w:hAnsiTheme="majorBidi" w:cstheme="majorBidi"/>
          <w:sz w:val="28"/>
          <w:szCs w:val="28"/>
          <w:lang w:bidi="ar-DZ"/>
        </w:rPr>
      </w:pPr>
      <w:r w:rsidRPr="002B3F79">
        <w:rPr>
          <w:rFonts w:asciiTheme="majorBidi" w:hAnsiTheme="majorBidi" w:cstheme="majorBidi"/>
          <w:sz w:val="28"/>
          <w:szCs w:val="28"/>
          <w:lang w:bidi="ar-DZ"/>
        </w:rPr>
        <w:t xml:space="preserve"> </w:t>
      </w:r>
      <w:proofErr w:type="gramStart"/>
      <w:r w:rsidRPr="002B3F79">
        <w:rPr>
          <w:rFonts w:asciiTheme="majorBidi" w:hAnsiTheme="majorBidi" w:cstheme="majorBidi"/>
          <w:sz w:val="28"/>
          <w:szCs w:val="28"/>
          <w:lang w:bidi="ar-DZ"/>
        </w:rPr>
        <w:t>voie</w:t>
      </w:r>
      <w:proofErr w:type="gramEnd"/>
      <w:r w:rsidRPr="002B3F79">
        <w:rPr>
          <w:rFonts w:asciiTheme="majorBidi" w:hAnsiTheme="majorBidi" w:cstheme="majorBidi"/>
          <w:sz w:val="28"/>
          <w:szCs w:val="28"/>
          <w:lang w:bidi="ar-DZ"/>
        </w:rPr>
        <w:t xml:space="preserve"> de recours ordinaire contre les jugements des juridictions du premier degré tendant à les faire  réformer ou annuler par la cour </w:t>
      </w:r>
      <w:r w:rsidR="0081612C">
        <w:rPr>
          <w:rStyle w:val="Appelnotedebasdep"/>
          <w:rFonts w:asciiTheme="majorBidi" w:hAnsiTheme="majorBidi" w:cstheme="majorBidi"/>
          <w:sz w:val="28"/>
          <w:szCs w:val="28"/>
          <w:lang w:bidi="ar-DZ"/>
        </w:rPr>
        <w:footnoteReference w:id="1"/>
      </w:r>
    </w:p>
    <w:p w:rsidR="002B3F79" w:rsidRDefault="0081612C" w:rsidP="00CB235A">
      <w:pPr>
        <w:bidi/>
        <w:spacing w:line="360" w:lineRule="auto"/>
        <w:jc w:val="both"/>
        <w:rPr>
          <w:rFonts w:asciiTheme="majorBidi" w:hAnsiTheme="majorBidi" w:cstheme="majorBidi"/>
          <w:sz w:val="28"/>
          <w:szCs w:val="28"/>
          <w:lang w:bidi="ar-DZ"/>
        </w:rPr>
      </w:pPr>
      <w:proofErr w:type="gramStart"/>
      <w:r>
        <w:rPr>
          <w:rFonts w:asciiTheme="majorBidi" w:hAnsiTheme="majorBidi" w:cstheme="majorBidi" w:hint="cs"/>
          <w:sz w:val="28"/>
          <w:szCs w:val="28"/>
          <w:rtl/>
          <w:lang w:bidi="ar-DZ"/>
        </w:rPr>
        <w:t>الا</w:t>
      </w:r>
      <w:r w:rsidR="002B3F79" w:rsidRPr="002B3F79">
        <w:rPr>
          <w:rFonts w:asciiTheme="majorBidi" w:hAnsiTheme="majorBidi" w:cs="Times New Roman"/>
          <w:sz w:val="28"/>
          <w:szCs w:val="28"/>
          <w:rtl/>
          <w:lang w:bidi="ar-DZ"/>
        </w:rPr>
        <w:t>ستئناف :</w:t>
      </w:r>
      <w:proofErr w:type="gramEnd"/>
      <w:r w:rsidR="002B3F79" w:rsidRPr="002B3F79">
        <w:rPr>
          <w:rFonts w:asciiTheme="majorBidi" w:hAnsiTheme="majorBidi" w:cs="Times New Roman"/>
          <w:sz w:val="28"/>
          <w:szCs w:val="28"/>
          <w:rtl/>
          <w:lang w:bidi="ar-DZ"/>
        </w:rPr>
        <w:t xml:space="preserve"> طريق طعن عادي ضد أحكام  محاكم الدرجة الأ</w:t>
      </w:r>
      <w:r>
        <w:rPr>
          <w:rFonts w:asciiTheme="majorBidi" w:hAnsiTheme="majorBidi" w:cs="Times New Roman" w:hint="cs"/>
          <w:sz w:val="28"/>
          <w:szCs w:val="28"/>
          <w:rtl/>
          <w:lang w:bidi="ar-DZ"/>
        </w:rPr>
        <w:t>ولى</w:t>
      </w:r>
      <w:r w:rsidRPr="002B3F79">
        <w:rPr>
          <w:rFonts w:asciiTheme="majorBidi" w:hAnsiTheme="majorBidi" w:cs="Times New Roman"/>
          <w:sz w:val="28"/>
          <w:szCs w:val="28"/>
          <w:rtl/>
          <w:lang w:bidi="ar-DZ"/>
        </w:rPr>
        <w:t xml:space="preserve"> بهدف إلغائها من قبل</w:t>
      </w:r>
      <w:r w:rsidR="002B3F79" w:rsidRPr="002B3F79">
        <w:rPr>
          <w:rFonts w:asciiTheme="majorBidi" w:hAnsiTheme="majorBidi" w:cs="Times New Roman"/>
          <w:sz w:val="28"/>
          <w:szCs w:val="28"/>
          <w:rtl/>
          <w:lang w:bidi="ar-DZ"/>
        </w:rPr>
        <w:t xml:space="preserve"> المجلس أو تعديلها</w:t>
      </w:r>
      <w:r w:rsidR="002B3F79" w:rsidRPr="002B3F79">
        <w:rPr>
          <w:rFonts w:asciiTheme="majorBidi" w:hAnsiTheme="majorBidi" w:cstheme="majorBidi"/>
          <w:sz w:val="28"/>
          <w:szCs w:val="28"/>
          <w:lang w:bidi="ar-DZ"/>
        </w:rPr>
        <w:t xml:space="preserve"> .</w:t>
      </w:r>
    </w:p>
    <w:p w:rsidR="0081612C" w:rsidRDefault="002B3F79" w:rsidP="00CB235A">
      <w:pPr>
        <w:spacing w:line="360" w:lineRule="auto"/>
        <w:jc w:val="both"/>
        <w:rPr>
          <w:rFonts w:asciiTheme="majorBidi" w:hAnsiTheme="majorBidi" w:cstheme="majorBidi"/>
          <w:sz w:val="28"/>
          <w:szCs w:val="28"/>
          <w:rtl/>
          <w:lang w:bidi="ar-DZ"/>
        </w:rPr>
      </w:pPr>
      <w:r w:rsidRPr="002B3F79">
        <w:rPr>
          <w:rFonts w:asciiTheme="majorBidi" w:hAnsiTheme="majorBidi" w:cstheme="majorBidi"/>
          <w:sz w:val="28"/>
          <w:szCs w:val="28"/>
          <w:lang w:bidi="ar-DZ"/>
        </w:rPr>
        <w:t xml:space="preserve"> </w:t>
      </w:r>
      <w:proofErr w:type="gramStart"/>
      <w:r w:rsidRPr="002B3F79">
        <w:rPr>
          <w:rFonts w:asciiTheme="majorBidi" w:hAnsiTheme="majorBidi" w:cstheme="majorBidi"/>
          <w:sz w:val="28"/>
          <w:szCs w:val="28"/>
          <w:lang w:bidi="ar-DZ"/>
        </w:rPr>
        <w:t>l’appel</w:t>
      </w:r>
      <w:proofErr w:type="gramEnd"/>
      <w:r w:rsidRPr="002B3F79">
        <w:rPr>
          <w:rFonts w:asciiTheme="majorBidi" w:hAnsiTheme="majorBidi" w:cstheme="majorBidi"/>
          <w:sz w:val="28"/>
          <w:szCs w:val="28"/>
          <w:lang w:bidi="ar-DZ"/>
        </w:rPr>
        <w:t xml:space="preserve"> peut être principal ou incident :</w:t>
      </w:r>
    </w:p>
    <w:p w:rsidR="002B3F79" w:rsidRPr="002B3F79" w:rsidRDefault="002B3F79" w:rsidP="00CB235A">
      <w:pPr>
        <w:spacing w:line="360" w:lineRule="auto"/>
        <w:jc w:val="both"/>
        <w:rPr>
          <w:rFonts w:asciiTheme="majorBidi" w:hAnsiTheme="majorBidi" w:cstheme="majorBidi"/>
          <w:sz w:val="28"/>
          <w:szCs w:val="28"/>
          <w:lang w:bidi="ar-DZ"/>
        </w:rPr>
      </w:pPr>
      <w:r w:rsidRPr="002B3F79">
        <w:rPr>
          <w:rFonts w:asciiTheme="majorBidi" w:hAnsiTheme="majorBidi" w:cstheme="majorBidi"/>
          <w:sz w:val="28"/>
          <w:szCs w:val="28"/>
          <w:lang w:bidi="ar-DZ"/>
        </w:rPr>
        <w:t xml:space="preserve"> 1- l’appel principal : celui qui a été interjeté par la partie qui a saisi la première la cour statuant en appel. </w:t>
      </w:r>
    </w:p>
    <w:p w:rsidR="002B3F79" w:rsidRPr="002B3F79" w:rsidRDefault="002B3F79" w:rsidP="00CB235A">
      <w:pPr>
        <w:bidi/>
        <w:spacing w:line="360" w:lineRule="auto"/>
        <w:jc w:val="both"/>
        <w:rPr>
          <w:rFonts w:asciiTheme="majorBidi" w:hAnsiTheme="majorBidi" w:cstheme="majorBidi"/>
          <w:sz w:val="28"/>
          <w:szCs w:val="28"/>
          <w:lang w:bidi="ar-DZ"/>
        </w:rPr>
      </w:pPr>
      <w:r w:rsidRPr="002B3F79">
        <w:rPr>
          <w:rFonts w:asciiTheme="majorBidi" w:hAnsiTheme="majorBidi" w:cs="Times New Roman"/>
          <w:sz w:val="28"/>
          <w:szCs w:val="28"/>
          <w:rtl/>
          <w:lang w:bidi="ar-DZ"/>
        </w:rPr>
        <w:t xml:space="preserve">يمكن أن يكون الاستئناف أصليا أو </w:t>
      </w:r>
      <w:proofErr w:type="gramStart"/>
      <w:r w:rsidRPr="002B3F79">
        <w:rPr>
          <w:rFonts w:asciiTheme="majorBidi" w:hAnsiTheme="majorBidi" w:cs="Times New Roman"/>
          <w:sz w:val="28"/>
          <w:szCs w:val="28"/>
          <w:rtl/>
          <w:lang w:bidi="ar-DZ"/>
        </w:rPr>
        <w:t>فرعيا :</w:t>
      </w:r>
      <w:proofErr w:type="gramEnd"/>
      <w:r w:rsidRPr="002B3F79">
        <w:rPr>
          <w:rFonts w:asciiTheme="majorBidi" w:hAnsiTheme="majorBidi" w:cs="Times New Roman"/>
          <w:sz w:val="28"/>
          <w:szCs w:val="28"/>
          <w:rtl/>
          <w:lang w:bidi="ar-DZ"/>
        </w:rPr>
        <w:t xml:space="preserve"> الاستئناف الأصلي هو الذي يرفع من قبل الطرف الذي رافع الأول أمام المجلس القضائي الناظر في الاستئناف</w:t>
      </w:r>
      <w:r w:rsidRPr="002B3F79">
        <w:rPr>
          <w:rFonts w:asciiTheme="majorBidi" w:hAnsiTheme="majorBidi" w:cstheme="majorBidi"/>
          <w:sz w:val="28"/>
          <w:szCs w:val="28"/>
          <w:lang w:bidi="ar-DZ"/>
        </w:rPr>
        <w:t xml:space="preserve"> . </w:t>
      </w:r>
    </w:p>
    <w:p w:rsidR="0081612C" w:rsidRDefault="002B3F79" w:rsidP="00CB235A">
      <w:pPr>
        <w:spacing w:line="360" w:lineRule="auto"/>
        <w:jc w:val="both"/>
        <w:rPr>
          <w:rFonts w:asciiTheme="majorBidi" w:hAnsiTheme="majorBidi" w:cstheme="majorBidi"/>
          <w:sz w:val="28"/>
          <w:szCs w:val="28"/>
          <w:rtl/>
          <w:lang w:bidi="ar-DZ"/>
        </w:rPr>
      </w:pPr>
      <w:r w:rsidRPr="002B3F79">
        <w:rPr>
          <w:rFonts w:asciiTheme="majorBidi" w:hAnsiTheme="majorBidi" w:cstheme="majorBidi"/>
          <w:sz w:val="28"/>
          <w:szCs w:val="28"/>
          <w:lang w:bidi="ar-DZ"/>
        </w:rPr>
        <w:t xml:space="preserve"> 2-l’appel incident : celui qui est formé ensuite par un intimé sur l’appel principal en tout état de </w:t>
      </w:r>
      <w:proofErr w:type="gramStart"/>
      <w:r w:rsidRPr="002B3F79">
        <w:rPr>
          <w:rFonts w:asciiTheme="majorBidi" w:hAnsiTheme="majorBidi" w:cstheme="majorBidi"/>
          <w:sz w:val="28"/>
          <w:szCs w:val="28"/>
          <w:lang w:bidi="ar-DZ"/>
        </w:rPr>
        <w:t>cause .</w:t>
      </w:r>
      <w:proofErr w:type="gramEnd"/>
    </w:p>
    <w:p w:rsidR="0081612C" w:rsidRDefault="002B3F79" w:rsidP="00CB235A">
      <w:pPr>
        <w:bidi/>
        <w:spacing w:line="360" w:lineRule="auto"/>
        <w:jc w:val="both"/>
        <w:rPr>
          <w:rFonts w:asciiTheme="majorBidi" w:hAnsiTheme="majorBidi" w:cstheme="majorBidi"/>
          <w:sz w:val="28"/>
          <w:szCs w:val="28"/>
          <w:rtl/>
          <w:lang w:bidi="ar-DZ"/>
        </w:rPr>
      </w:pPr>
      <w:r w:rsidRPr="002B3F79">
        <w:rPr>
          <w:rFonts w:asciiTheme="majorBidi" w:hAnsiTheme="majorBidi" w:cs="Times New Roman"/>
          <w:sz w:val="28"/>
          <w:szCs w:val="28"/>
          <w:rtl/>
          <w:lang w:bidi="ar-DZ"/>
        </w:rPr>
        <w:t>الاستئناف الفرعي هو الذي يرفع من قبل المستأنف عليه ، على اثر الاستئناف الأصلي  و ذلك في أية حالة كانت عليها الدعوى</w:t>
      </w:r>
      <w:r w:rsidRPr="002B3F79">
        <w:rPr>
          <w:rFonts w:asciiTheme="majorBidi" w:hAnsiTheme="majorBidi" w:cstheme="majorBidi"/>
          <w:sz w:val="28"/>
          <w:szCs w:val="28"/>
          <w:lang w:bidi="ar-DZ"/>
        </w:rPr>
        <w:t xml:space="preserve"> .</w:t>
      </w:r>
    </w:p>
    <w:p w:rsidR="0081612C" w:rsidRDefault="002B3F79" w:rsidP="00CB235A">
      <w:pPr>
        <w:spacing w:line="360" w:lineRule="auto"/>
        <w:jc w:val="both"/>
        <w:rPr>
          <w:rFonts w:asciiTheme="majorBidi" w:hAnsiTheme="majorBidi" w:cstheme="majorBidi"/>
          <w:sz w:val="28"/>
          <w:szCs w:val="28"/>
          <w:rtl/>
          <w:lang w:bidi="ar-DZ"/>
        </w:rPr>
      </w:pPr>
      <w:r w:rsidRPr="002B3F79">
        <w:rPr>
          <w:rFonts w:asciiTheme="majorBidi" w:hAnsiTheme="majorBidi" w:cstheme="majorBidi"/>
          <w:sz w:val="28"/>
          <w:szCs w:val="28"/>
          <w:lang w:bidi="ar-DZ"/>
        </w:rPr>
        <w:t xml:space="preserve">     Article 332 du c .</w:t>
      </w:r>
      <w:proofErr w:type="spellStart"/>
      <w:r w:rsidRPr="002B3F79">
        <w:rPr>
          <w:rFonts w:asciiTheme="majorBidi" w:hAnsiTheme="majorBidi" w:cstheme="majorBidi"/>
          <w:sz w:val="28"/>
          <w:szCs w:val="28"/>
          <w:lang w:bidi="ar-DZ"/>
        </w:rPr>
        <w:t>p.c.a</w:t>
      </w:r>
      <w:proofErr w:type="spellEnd"/>
      <w:r w:rsidRPr="002B3F79">
        <w:rPr>
          <w:rFonts w:asciiTheme="majorBidi" w:hAnsiTheme="majorBidi" w:cstheme="majorBidi"/>
          <w:sz w:val="28"/>
          <w:szCs w:val="28"/>
          <w:lang w:bidi="ar-DZ"/>
        </w:rPr>
        <w:t xml:space="preserve"> : « l’appel vise à faire réformer ou annuler un jugement</w:t>
      </w:r>
      <w:proofErr w:type="gramStart"/>
      <w:r w:rsidRPr="002B3F79">
        <w:rPr>
          <w:rFonts w:asciiTheme="majorBidi" w:hAnsiTheme="majorBidi" w:cstheme="majorBidi"/>
          <w:sz w:val="28"/>
          <w:szCs w:val="28"/>
          <w:lang w:bidi="ar-DZ"/>
        </w:rPr>
        <w:t>» .</w:t>
      </w:r>
      <w:proofErr w:type="gramEnd"/>
      <w:r w:rsidRPr="002B3F79">
        <w:rPr>
          <w:rFonts w:asciiTheme="majorBidi" w:hAnsiTheme="majorBidi" w:cstheme="majorBidi"/>
          <w:sz w:val="28"/>
          <w:szCs w:val="28"/>
          <w:lang w:bidi="ar-DZ"/>
        </w:rPr>
        <w:t xml:space="preserve"> </w:t>
      </w:r>
      <w:proofErr w:type="gramStart"/>
      <w:r w:rsidRPr="002B3F79">
        <w:rPr>
          <w:rFonts w:asciiTheme="majorBidi" w:hAnsiTheme="majorBidi" w:cstheme="majorBidi"/>
          <w:sz w:val="28"/>
          <w:szCs w:val="28"/>
          <w:lang w:bidi="ar-DZ"/>
        </w:rPr>
        <w:t>d’un</w:t>
      </w:r>
      <w:proofErr w:type="gramEnd"/>
      <w:r w:rsidRPr="002B3F79">
        <w:rPr>
          <w:rFonts w:asciiTheme="majorBidi" w:hAnsiTheme="majorBidi" w:cstheme="majorBidi"/>
          <w:sz w:val="28"/>
          <w:szCs w:val="28"/>
          <w:lang w:bidi="ar-DZ"/>
        </w:rPr>
        <w:t xml:space="preserve"> tribunal</w:t>
      </w:r>
    </w:p>
    <w:p w:rsidR="0081612C" w:rsidRDefault="002B3F79" w:rsidP="00CB235A">
      <w:pPr>
        <w:bidi/>
        <w:spacing w:line="360" w:lineRule="auto"/>
        <w:jc w:val="both"/>
        <w:rPr>
          <w:rFonts w:asciiTheme="majorBidi" w:hAnsiTheme="majorBidi" w:cs="Times New Roman"/>
          <w:sz w:val="28"/>
          <w:szCs w:val="28"/>
          <w:rtl/>
          <w:lang w:bidi="ar-DZ"/>
        </w:rPr>
      </w:pPr>
      <w:r w:rsidRPr="002B3F79">
        <w:rPr>
          <w:rFonts w:asciiTheme="majorBidi" w:hAnsiTheme="majorBidi" w:cstheme="majorBidi"/>
          <w:sz w:val="28"/>
          <w:szCs w:val="28"/>
          <w:lang w:bidi="ar-DZ"/>
        </w:rPr>
        <w:t xml:space="preserve"> </w:t>
      </w:r>
      <w:r w:rsidRPr="002B3F79">
        <w:rPr>
          <w:rFonts w:asciiTheme="majorBidi" w:hAnsiTheme="majorBidi" w:cs="Times New Roman"/>
          <w:sz w:val="28"/>
          <w:szCs w:val="28"/>
          <w:rtl/>
          <w:lang w:bidi="ar-DZ"/>
        </w:rPr>
        <w:t xml:space="preserve">يهدف الاستئناف إلى مراجعة أو </w:t>
      </w:r>
      <w:proofErr w:type="gramStart"/>
      <w:r w:rsidRPr="002B3F79">
        <w:rPr>
          <w:rFonts w:asciiTheme="majorBidi" w:hAnsiTheme="majorBidi" w:cs="Times New Roman"/>
          <w:sz w:val="28"/>
          <w:szCs w:val="28"/>
          <w:rtl/>
          <w:lang w:bidi="ar-DZ"/>
        </w:rPr>
        <w:t>إلغاء</w:t>
      </w:r>
      <w:proofErr w:type="gramEnd"/>
      <w:r w:rsidRPr="002B3F79">
        <w:rPr>
          <w:rFonts w:asciiTheme="majorBidi" w:hAnsiTheme="majorBidi" w:cs="Times New Roman"/>
          <w:sz w:val="28"/>
          <w:szCs w:val="28"/>
          <w:rtl/>
          <w:lang w:bidi="ar-DZ"/>
        </w:rPr>
        <w:t xml:space="preserve"> الحكم الصادر عن المحكمة</w:t>
      </w:r>
    </w:p>
    <w:p w:rsidR="0081612C" w:rsidRDefault="002B3F79" w:rsidP="00CB235A">
      <w:pPr>
        <w:spacing w:line="360" w:lineRule="auto"/>
        <w:jc w:val="both"/>
        <w:rPr>
          <w:rFonts w:asciiTheme="majorBidi" w:hAnsiTheme="majorBidi" w:cstheme="majorBidi"/>
          <w:sz w:val="28"/>
          <w:szCs w:val="28"/>
          <w:rtl/>
          <w:lang w:bidi="ar-DZ"/>
        </w:rPr>
      </w:pPr>
      <w:r w:rsidRPr="002B3F79">
        <w:rPr>
          <w:rFonts w:asciiTheme="majorBidi" w:hAnsiTheme="majorBidi" w:cstheme="majorBidi"/>
          <w:sz w:val="28"/>
          <w:szCs w:val="28"/>
          <w:lang w:bidi="ar-DZ"/>
        </w:rPr>
        <w:t xml:space="preserve"> .  B</w:t>
      </w:r>
      <w:r w:rsidR="0081612C">
        <w:rPr>
          <w:rFonts w:asciiTheme="majorBidi" w:hAnsiTheme="majorBidi" w:cstheme="majorBidi" w:hint="cs"/>
          <w:sz w:val="28"/>
          <w:szCs w:val="28"/>
          <w:rtl/>
          <w:lang w:bidi="ar-DZ"/>
        </w:rPr>
        <w:t xml:space="preserve"> </w:t>
      </w:r>
      <w:r w:rsidRPr="002B3F79">
        <w:rPr>
          <w:rFonts w:asciiTheme="majorBidi" w:hAnsiTheme="majorBidi" w:cstheme="majorBidi"/>
          <w:sz w:val="28"/>
          <w:szCs w:val="28"/>
          <w:lang w:bidi="ar-DZ"/>
        </w:rPr>
        <w:t xml:space="preserve">-L’opposition </w:t>
      </w:r>
    </w:p>
    <w:p w:rsidR="002B3F79" w:rsidRPr="002B3F79" w:rsidRDefault="002B3F79" w:rsidP="00CB235A">
      <w:pPr>
        <w:spacing w:line="360" w:lineRule="auto"/>
        <w:jc w:val="both"/>
        <w:rPr>
          <w:rFonts w:asciiTheme="majorBidi" w:hAnsiTheme="majorBidi" w:cstheme="majorBidi"/>
          <w:sz w:val="28"/>
          <w:szCs w:val="28"/>
          <w:lang w:bidi="ar-DZ"/>
        </w:rPr>
      </w:pPr>
      <w:r w:rsidRPr="002B3F79">
        <w:rPr>
          <w:rFonts w:asciiTheme="majorBidi" w:hAnsiTheme="majorBidi" w:cstheme="majorBidi"/>
          <w:sz w:val="28"/>
          <w:szCs w:val="28"/>
          <w:lang w:bidi="ar-DZ"/>
        </w:rPr>
        <w:lastRenderedPageBreak/>
        <w:t xml:space="preserve">Voie de recours ouverte au défaillant dans  un procès, pour faire rétracter un jugement par défaut devant la même juridiction dans les points tranchés par le tribunal afin qu’il soit statué à nouveau en fait et en </w:t>
      </w:r>
      <w:proofErr w:type="gramStart"/>
      <w:r w:rsidRPr="002B3F79">
        <w:rPr>
          <w:rFonts w:asciiTheme="majorBidi" w:hAnsiTheme="majorBidi" w:cstheme="majorBidi"/>
          <w:sz w:val="28"/>
          <w:szCs w:val="28"/>
          <w:lang w:bidi="ar-DZ"/>
        </w:rPr>
        <w:t>droit .</w:t>
      </w:r>
      <w:proofErr w:type="gramEnd"/>
      <w:r w:rsidRPr="002B3F79">
        <w:rPr>
          <w:rFonts w:asciiTheme="majorBidi" w:hAnsiTheme="majorBidi" w:cstheme="majorBidi"/>
          <w:sz w:val="28"/>
          <w:szCs w:val="28"/>
          <w:lang w:bidi="ar-DZ"/>
        </w:rPr>
        <w:t xml:space="preserve"> </w:t>
      </w:r>
    </w:p>
    <w:p w:rsidR="002B3F79" w:rsidRDefault="002B3F79" w:rsidP="00CB235A">
      <w:pPr>
        <w:bidi/>
        <w:spacing w:line="360" w:lineRule="auto"/>
        <w:jc w:val="both"/>
        <w:rPr>
          <w:rFonts w:asciiTheme="majorBidi" w:hAnsiTheme="majorBidi" w:cstheme="majorBidi"/>
          <w:sz w:val="28"/>
          <w:szCs w:val="28"/>
          <w:rtl/>
          <w:lang w:bidi="ar-DZ"/>
        </w:rPr>
      </w:pPr>
      <w:proofErr w:type="gramStart"/>
      <w:r w:rsidRPr="002B3F79">
        <w:rPr>
          <w:rFonts w:asciiTheme="majorBidi" w:hAnsiTheme="majorBidi" w:cs="Times New Roman"/>
          <w:sz w:val="28"/>
          <w:szCs w:val="28"/>
          <w:rtl/>
          <w:lang w:bidi="ar-DZ"/>
        </w:rPr>
        <w:t>المعارضة :</w:t>
      </w:r>
      <w:proofErr w:type="gramEnd"/>
      <w:r w:rsidRPr="002B3F79">
        <w:rPr>
          <w:rFonts w:asciiTheme="majorBidi" w:hAnsiTheme="majorBidi" w:cs="Times New Roman"/>
          <w:sz w:val="28"/>
          <w:szCs w:val="28"/>
          <w:rtl/>
          <w:lang w:bidi="ar-DZ"/>
        </w:rPr>
        <w:t xml:space="preserve"> طريق طعن يفتح أمام الطرف المتخلف عن الحضور أثناء سير الدعوى من أجل إعادة النظر في حكم صدر غيابيا من طرف نفس الجهة القضائية و ذلك في النقاط التي فصلت فيها حتى تبت فيها من جديد من حيث الوقائع  و القانون</w:t>
      </w:r>
      <w:r w:rsidRPr="002B3F79">
        <w:rPr>
          <w:rFonts w:asciiTheme="majorBidi" w:hAnsiTheme="majorBidi" w:cstheme="majorBidi"/>
          <w:sz w:val="28"/>
          <w:szCs w:val="28"/>
          <w:lang w:bidi="ar-DZ"/>
        </w:rPr>
        <w:t xml:space="preserve"> .</w:t>
      </w:r>
    </w:p>
    <w:p w:rsidR="0081612C" w:rsidRDefault="0081612C" w:rsidP="00CB235A">
      <w:pPr>
        <w:spacing w:line="360" w:lineRule="auto"/>
        <w:jc w:val="both"/>
        <w:rPr>
          <w:rFonts w:asciiTheme="majorBidi" w:hAnsiTheme="majorBidi" w:cstheme="majorBidi"/>
          <w:sz w:val="28"/>
          <w:szCs w:val="28"/>
          <w:rtl/>
          <w:lang w:bidi="ar-DZ"/>
        </w:rPr>
      </w:pPr>
      <w:r w:rsidRPr="00211A0D">
        <w:rPr>
          <w:rFonts w:asciiTheme="majorBidi" w:hAnsiTheme="majorBidi" w:cstheme="majorBidi"/>
          <w:sz w:val="28"/>
          <w:szCs w:val="28"/>
          <w:lang w:bidi="ar-DZ"/>
        </w:rPr>
        <w:t xml:space="preserve">le principe du </w:t>
      </w:r>
      <w:proofErr w:type="gramStart"/>
      <w:r w:rsidRPr="00211A0D">
        <w:rPr>
          <w:rFonts w:asciiTheme="majorBidi" w:hAnsiTheme="majorBidi" w:cstheme="majorBidi"/>
          <w:sz w:val="28"/>
          <w:szCs w:val="28"/>
          <w:lang w:bidi="ar-DZ"/>
        </w:rPr>
        <w:t>contradictoire .</w:t>
      </w:r>
      <w:proofErr w:type="gramEnd"/>
      <w:r w:rsidRPr="00211A0D">
        <w:rPr>
          <w:rFonts w:asciiTheme="majorBidi" w:hAnsiTheme="majorBidi" w:cstheme="majorBidi"/>
          <w:sz w:val="28"/>
          <w:szCs w:val="28"/>
          <w:lang w:bidi="ar-DZ"/>
        </w:rPr>
        <w:t xml:space="preserve">  </w:t>
      </w:r>
      <w:r w:rsidRPr="00211A0D">
        <w:rPr>
          <w:rFonts w:asciiTheme="majorBidi" w:hAnsiTheme="majorBidi" w:cstheme="majorBidi"/>
          <w:sz w:val="28"/>
          <w:szCs w:val="28"/>
          <w:rtl/>
          <w:lang w:bidi="ar-DZ"/>
        </w:rPr>
        <w:t>مبدأ الوجاهية</w:t>
      </w:r>
      <w:r w:rsidRPr="00211A0D">
        <w:rPr>
          <w:rFonts w:asciiTheme="majorBidi" w:hAnsiTheme="majorBidi" w:cstheme="majorBidi"/>
          <w:sz w:val="28"/>
          <w:szCs w:val="28"/>
          <w:lang w:bidi="ar-DZ"/>
        </w:rPr>
        <w:t xml:space="preserve"> .</w:t>
      </w:r>
    </w:p>
    <w:p w:rsidR="0081612C" w:rsidRDefault="0081612C" w:rsidP="00CB235A">
      <w:pPr>
        <w:spacing w:line="360" w:lineRule="auto"/>
        <w:jc w:val="both"/>
        <w:rPr>
          <w:rFonts w:asciiTheme="majorBidi" w:hAnsiTheme="majorBidi" w:cstheme="majorBidi"/>
          <w:sz w:val="28"/>
          <w:szCs w:val="28"/>
          <w:rtl/>
          <w:lang w:bidi="ar-DZ"/>
        </w:rPr>
      </w:pPr>
      <w:r w:rsidRPr="00211A0D">
        <w:rPr>
          <w:rFonts w:asciiTheme="majorBidi" w:hAnsiTheme="majorBidi" w:cstheme="majorBidi"/>
          <w:sz w:val="28"/>
          <w:szCs w:val="28"/>
          <w:lang w:bidi="ar-DZ"/>
        </w:rPr>
        <w:t xml:space="preserve"> </w:t>
      </w:r>
      <w:proofErr w:type="gramStart"/>
      <w:r w:rsidRPr="00211A0D">
        <w:rPr>
          <w:rFonts w:asciiTheme="majorBidi" w:hAnsiTheme="majorBidi" w:cstheme="majorBidi"/>
          <w:sz w:val="28"/>
          <w:szCs w:val="28"/>
          <w:lang w:bidi="ar-DZ"/>
        </w:rPr>
        <w:t>les</w:t>
      </w:r>
      <w:proofErr w:type="gramEnd"/>
      <w:r w:rsidRPr="00211A0D">
        <w:rPr>
          <w:rFonts w:asciiTheme="majorBidi" w:hAnsiTheme="majorBidi" w:cstheme="majorBidi"/>
          <w:sz w:val="28"/>
          <w:szCs w:val="28"/>
          <w:lang w:bidi="ar-DZ"/>
        </w:rPr>
        <w:t xml:space="preserve"> actions  </w:t>
      </w:r>
      <w:r w:rsidRPr="00211A0D">
        <w:rPr>
          <w:rFonts w:asciiTheme="majorBidi" w:hAnsiTheme="majorBidi" w:cstheme="majorBidi"/>
          <w:sz w:val="28"/>
          <w:szCs w:val="28"/>
          <w:rtl/>
          <w:lang w:bidi="ar-DZ"/>
        </w:rPr>
        <w:t>الدعاوى</w:t>
      </w:r>
      <w:r w:rsidRPr="00211A0D">
        <w:rPr>
          <w:rFonts w:asciiTheme="majorBidi" w:hAnsiTheme="majorBidi" w:cstheme="majorBidi"/>
          <w:sz w:val="28"/>
          <w:szCs w:val="28"/>
          <w:lang w:bidi="ar-DZ"/>
        </w:rPr>
        <w:t xml:space="preserve"> </w:t>
      </w:r>
    </w:p>
    <w:p w:rsidR="0081612C" w:rsidRDefault="0081612C" w:rsidP="00CB235A">
      <w:pPr>
        <w:spacing w:line="360" w:lineRule="auto"/>
        <w:jc w:val="both"/>
        <w:rPr>
          <w:rFonts w:asciiTheme="majorBidi" w:hAnsiTheme="majorBidi" w:cstheme="majorBidi"/>
          <w:sz w:val="28"/>
          <w:szCs w:val="28"/>
          <w:rtl/>
          <w:lang w:bidi="ar-DZ"/>
        </w:rPr>
      </w:pPr>
      <w:proofErr w:type="gramStart"/>
      <w:r w:rsidRPr="00211A0D">
        <w:rPr>
          <w:rFonts w:asciiTheme="majorBidi" w:hAnsiTheme="majorBidi" w:cstheme="majorBidi"/>
          <w:sz w:val="28"/>
          <w:szCs w:val="28"/>
          <w:lang w:bidi="ar-DZ"/>
        </w:rPr>
        <w:t>qualité</w:t>
      </w:r>
      <w:proofErr w:type="gramEnd"/>
      <w:r w:rsidRPr="00211A0D">
        <w:rPr>
          <w:rFonts w:asciiTheme="majorBidi" w:hAnsiTheme="majorBidi" w:cstheme="majorBidi"/>
          <w:sz w:val="28"/>
          <w:szCs w:val="28"/>
          <w:lang w:bidi="ar-DZ"/>
        </w:rPr>
        <w:t xml:space="preserve">  </w:t>
      </w:r>
      <w:r w:rsidRPr="00211A0D">
        <w:rPr>
          <w:rFonts w:asciiTheme="majorBidi" w:hAnsiTheme="majorBidi" w:cstheme="majorBidi"/>
          <w:sz w:val="28"/>
          <w:szCs w:val="28"/>
          <w:rtl/>
          <w:lang w:bidi="ar-DZ"/>
        </w:rPr>
        <w:t>الصفة</w:t>
      </w:r>
      <w:r w:rsidRPr="00211A0D">
        <w:rPr>
          <w:rFonts w:asciiTheme="majorBidi" w:hAnsiTheme="majorBidi" w:cstheme="majorBidi"/>
          <w:sz w:val="28"/>
          <w:szCs w:val="28"/>
          <w:lang w:bidi="ar-DZ"/>
        </w:rPr>
        <w:t xml:space="preserve">  </w:t>
      </w:r>
    </w:p>
    <w:p w:rsidR="0081612C" w:rsidRPr="00211A0D" w:rsidRDefault="0081612C" w:rsidP="00CB235A">
      <w:pPr>
        <w:spacing w:line="360" w:lineRule="auto"/>
        <w:jc w:val="both"/>
        <w:rPr>
          <w:rFonts w:asciiTheme="majorBidi" w:hAnsiTheme="majorBidi" w:cstheme="majorBidi"/>
          <w:sz w:val="28"/>
          <w:szCs w:val="28"/>
          <w:lang w:bidi="ar-DZ"/>
        </w:rPr>
      </w:pPr>
      <w:r w:rsidRPr="00211A0D">
        <w:rPr>
          <w:rFonts w:asciiTheme="majorBidi" w:hAnsiTheme="majorBidi" w:cstheme="majorBidi"/>
          <w:sz w:val="28"/>
          <w:szCs w:val="28"/>
          <w:lang w:bidi="ar-DZ"/>
        </w:rPr>
        <w:t xml:space="preserve"> Intérêt    </w:t>
      </w:r>
      <w:r w:rsidRPr="00211A0D">
        <w:rPr>
          <w:rFonts w:asciiTheme="majorBidi" w:hAnsiTheme="majorBidi" w:cstheme="majorBidi"/>
          <w:sz w:val="28"/>
          <w:szCs w:val="28"/>
          <w:rtl/>
          <w:lang w:bidi="ar-DZ"/>
        </w:rPr>
        <w:t>مصلحة</w:t>
      </w:r>
    </w:p>
    <w:p w:rsidR="0081612C" w:rsidRDefault="0081612C" w:rsidP="00CB235A">
      <w:pPr>
        <w:spacing w:line="360" w:lineRule="auto"/>
        <w:jc w:val="both"/>
        <w:rPr>
          <w:rFonts w:asciiTheme="majorBidi" w:hAnsiTheme="majorBidi" w:cstheme="majorBidi"/>
          <w:sz w:val="28"/>
          <w:szCs w:val="28"/>
          <w:rtl/>
          <w:lang w:bidi="ar-DZ"/>
        </w:rPr>
      </w:pPr>
      <w:r w:rsidRPr="00211A0D">
        <w:rPr>
          <w:rFonts w:asciiTheme="majorBidi" w:hAnsiTheme="majorBidi" w:cstheme="majorBidi"/>
          <w:sz w:val="28"/>
          <w:szCs w:val="28"/>
          <w:lang w:bidi="ar-DZ"/>
        </w:rPr>
        <w:t xml:space="preserve">Demandeur    </w:t>
      </w:r>
      <w:r w:rsidRPr="00211A0D">
        <w:rPr>
          <w:rFonts w:asciiTheme="majorBidi" w:hAnsiTheme="majorBidi" w:cstheme="majorBidi"/>
          <w:sz w:val="28"/>
          <w:szCs w:val="28"/>
          <w:rtl/>
          <w:lang w:bidi="ar-DZ"/>
        </w:rPr>
        <w:t>المدعي</w:t>
      </w:r>
    </w:p>
    <w:p w:rsidR="0081612C" w:rsidRDefault="0081612C" w:rsidP="00CB235A">
      <w:pPr>
        <w:spacing w:line="360" w:lineRule="auto"/>
        <w:jc w:val="both"/>
        <w:rPr>
          <w:rFonts w:asciiTheme="majorBidi" w:hAnsiTheme="majorBidi" w:cstheme="majorBidi"/>
          <w:sz w:val="28"/>
          <w:szCs w:val="28"/>
          <w:rtl/>
          <w:lang w:bidi="ar-DZ"/>
        </w:rPr>
      </w:pPr>
      <w:r w:rsidRPr="00211A0D">
        <w:rPr>
          <w:rFonts w:asciiTheme="majorBidi" w:hAnsiTheme="majorBidi" w:cstheme="majorBidi"/>
          <w:sz w:val="28"/>
          <w:szCs w:val="28"/>
          <w:lang w:bidi="ar-DZ"/>
        </w:rPr>
        <w:t xml:space="preserve">  </w:t>
      </w:r>
      <w:proofErr w:type="gramStart"/>
      <w:r w:rsidRPr="00211A0D">
        <w:rPr>
          <w:rFonts w:asciiTheme="majorBidi" w:hAnsiTheme="majorBidi" w:cstheme="majorBidi"/>
          <w:sz w:val="28"/>
          <w:szCs w:val="28"/>
          <w:lang w:bidi="ar-DZ"/>
        </w:rPr>
        <w:t>Défendeur .</w:t>
      </w:r>
      <w:proofErr w:type="gramEnd"/>
      <w:r w:rsidRPr="00211A0D">
        <w:rPr>
          <w:rFonts w:asciiTheme="majorBidi" w:hAnsiTheme="majorBidi" w:cstheme="majorBidi"/>
          <w:sz w:val="28"/>
          <w:szCs w:val="28"/>
          <w:lang w:bidi="ar-DZ"/>
        </w:rPr>
        <w:t xml:space="preserve"> </w:t>
      </w:r>
      <w:r w:rsidRPr="00211A0D">
        <w:rPr>
          <w:rFonts w:asciiTheme="majorBidi" w:hAnsiTheme="majorBidi" w:cstheme="majorBidi"/>
          <w:sz w:val="28"/>
          <w:szCs w:val="28"/>
          <w:rtl/>
          <w:lang w:bidi="ar-DZ"/>
        </w:rPr>
        <w:t>المدعى عليه</w:t>
      </w:r>
      <w:r w:rsidRPr="00211A0D">
        <w:rPr>
          <w:rFonts w:asciiTheme="majorBidi" w:hAnsiTheme="majorBidi" w:cstheme="majorBidi"/>
          <w:sz w:val="28"/>
          <w:szCs w:val="28"/>
          <w:lang w:bidi="ar-DZ"/>
        </w:rPr>
        <w:t xml:space="preserve"> </w:t>
      </w:r>
    </w:p>
    <w:p w:rsidR="0081612C" w:rsidRDefault="0081612C" w:rsidP="00CB235A">
      <w:pPr>
        <w:spacing w:line="360" w:lineRule="auto"/>
        <w:jc w:val="both"/>
        <w:rPr>
          <w:rFonts w:asciiTheme="majorBidi" w:hAnsiTheme="majorBidi" w:cstheme="majorBidi"/>
          <w:sz w:val="28"/>
          <w:szCs w:val="28"/>
          <w:lang w:bidi="ar-DZ"/>
        </w:rPr>
      </w:pPr>
      <w:r w:rsidRPr="00211A0D">
        <w:rPr>
          <w:rFonts w:asciiTheme="majorBidi" w:hAnsiTheme="majorBidi" w:cstheme="majorBidi"/>
          <w:sz w:val="28"/>
          <w:szCs w:val="28"/>
          <w:lang w:bidi="ar-DZ"/>
        </w:rPr>
        <w:t xml:space="preserve">Autorisation   </w:t>
      </w:r>
      <w:r w:rsidRPr="00211A0D">
        <w:rPr>
          <w:rFonts w:asciiTheme="majorBidi" w:hAnsiTheme="majorBidi" w:cstheme="majorBidi"/>
          <w:sz w:val="28"/>
          <w:szCs w:val="28"/>
          <w:rtl/>
          <w:lang w:bidi="ar-DZ"/>
        </w:rPr>
        <w:t>الإذن</w:t>
      </w:r>
      <w:r w:rsidRPr="00211A0D">
        <w:rPr>
          <w:rFonts w:asciiTheme="majorBidi" w:hAnsiTheme="majorBidi" w:cstheme="majorBidi"/>
          <w:sz w:val="28"/>
          <w:szCs w:val="28"/>
          <w:lang w:bidi="ar-DZ"/>
        </w:rPr>
        <w:t xml:space="preserve"> </w:t>
      </w:r>
    </w:p>
    <w:p w:rsidR="00626F6C" w:rsidRDefault="00257189" w:rsidP="00CB235A">
      <w:pPr>
        <w:spacing w:line="360" w:lineRule="auto"/>
        <w:jc w:val="both"/>
        <w:rPr>
          <w:rFonts w:asciiTheme="majorBidi" w:hAnsiTheme="majorBidi" w:cstheme="majorBidi"/>
          <w:sz w:val="28"/>
          <w:szCs w:val="28"/>
          <w:lang w:bidi="ar-DZ"/>
        </w:rPr>
      </w:pPr>
      <w:r w:rsidRPr="00257189">
        <w:rPr>
          <w:rFonts w:asciiTheme="majorBidi" w:hAnsiTheme="majorBidi" w:cs="Times New Roman"/>
          <w:sz w:val="28"/>
          <w:szCs w:val="28"/>
          <w:rtl/>
          <w:lang w:bidi="ar-DZ"/>
        </w:rPr>
        <w:t>عقد البيع</w:t>
      </w:r>
      <w:r w:rsidRPr="00257189">
        <w:rPr>
          <w:rFonts w:asciiTheme="majorBidi" w:hAnsiTheme="majorBidi" w:cstheme="majorBidi"/>
          <w:sz w:val="28"/>
          <w:szCs w:val="28"/>
          <w:lang w:bidi="ar-DZ"/>
        </w:rPr>
        <w:t xml:space="preserve"> _ contrat de vente  </w:t>
      </w:r>
    </w:p>
    <w:p w:rsidR="00626F6C" w:rsidRDefault="00257189" w:rsidP="00CB235A">
      <w:pPr>
        <w:spacing w:line="360" w:lineRule="auto"/>
        <w:jc w:val="both"/>
        <w:rPr>
          <w:rFonts w:asciiTheme="majorBidi" w:hAnsiTheme="majorBidi" w:cstheme="majorBidi"/>
          <w:sz w:val="28"/>
          <w:szCs w:val="28"/>
          <w:lang w:bidi="ar-DZ"/>
        </w:rPr>
      </w:pPr>
      <w:r w:rsidRPr="00257189">
        <w:rPr>
          <w:rFonts w:asciiTheme="majorBidi" w:hAnsiTheme="majorBidi" w:cstheme="majorBidi"/>
          <w:sz w:val="28"/>
          <w:szCs w:val="28"/>
          <w:lang w:bidi="ar-DZ"/>
        </w:rPr>
        <w:t xml:space="preserve"> </w:t>
      </w:r>
      <w:r w:rsidRPr="00257189">
        <w:rPr>
          <w:rFonts w:asciiTheme="majorBidi" w:hAnsiTheme="majorBidi" w:cs="Times New Roman"/>
          <w:sz w:val="28"/>
          <w:szCs w:val="28"/>
          <w:rtl/>
          <w:lang w:bidi="ar-DZ"/>
        </w:rPr>
        <w:t>عقد المقايضة</w:t>
      </w:r>
      <w:r w:rsidRPr="00257189">
        <w:rPr>
          <w:rFonts w:asciiTheme="majorBidi" w:hAnsiTheme="majorBidi" w:cstheme="majorBidi"/>
          <w:sz w:val="28"/>
          <w:szCs w:val="28"/>
          <w:lang w:bidi="ar-DZ"/>
        </w:rPr>
        <w:t xml:space="preserve"> _ contrat d’échange  </w:t>
      </w:r>
    </w:p>
    <w:p w:rsidR="00626F6C" w:rsidRDefault="00257189" w:rsidP="00CB235A">
      <w:pPr>
        <w:spacing w:line="360" w:lineRule="auto"/>
        <w:jc w:val="both"/>
        <w:rPr>
          <w:rFonts w:asciiTheme="majorBidi" w:hAnsiTheme="majorBidi" w:cstheme="majorBidi"/>
          <w:sz w:val="28"/>
          <w:szCs w:val="28"/>
          <w:lang w:bidi="ar-DZ"/>
        </w:rPr>
      </w:pPr>
      <w:r w:rsidRPr="00257189">
        <w:rPr>
          <w:rFonts w:asciiTheme="majorBidi" w:hAnsiTheme="majorBidi" w:cs="Times New Roman"/>
          <w:sz w:val="28"/>
          <w:szCs w:val="28"/>
          <w:rtl/>
          <w:lang w:bidi="ar-DZ"/>
        </w:rPr>
        <w:t>عقد الشركة</w:t>
      </w:r>
      <w:r w:rsidRPr="00257189">
        <w:rPr>
          <w:rFonts w:asciiTheme="majorBidi" w:hAnsiTheme="majorBidi" w:cstheme="majorBidi"/>
          <w:sz w:val="28"/>
          <w:szCs w:val="28"/>
          <w:lang w:bidi="ar-DZ"/>
        </w:rPr>
        <w:t xml:space="preserve"> _ contrat de société  </w:t>
      </w:r>
    </w:p>
    <w:p w:rsidR="00626F6C" w:rsidRDefault="00257189" w:rsidP="00CB235A">
      <w:pPr>
        <w:spacing w:line="360" w:lineRule="auto"/>
        <w:jc w:val="both"/>
        <w:rPr>
          <w:rFonts w:asciiTheme="majorBidi" w:hAnsiTheme="majorBidi" w:cstheme="majorBidi"/>
          <w:sz w:val="28"/>
          <w:szCs w:val="28"/>
          <w:lang w:bidi="ar-DZ"/>
        </w:rPr>
      </w:pPr>
      <w:proofErr w:type="gramStart"/>
      <w:r w:rsidRPr="00257189">
        <w:rPr>
          <w:rFonts w:asciiTheme="majorBidi" w:hAnsiTheme="majorBidi" w:cs="Times New Roman"/>
          <w:sz w:val="28"/>
          <w:szCs w:val="28"/>
          <w:rtl/>
          <w:lang w:bidi="ar-DZ"/>
        </w:rPr>
        <w:t>القرض</w:t>
      </w:r>
      <w:proofErr w:type="gramEnd"/>
      <w:r w:rsidRPr="00257189">
        <w:rPr>
          <w:rFonts w:asciiTheme="majorBidi" w:hAnsiTheme="majorBidi" w:cs="Times New Roman"/>
          <w:sz w:val="28"/>
          <w:szCs w:val="28"/>
          <w:rtl/>
          <w:lang w:bidi="ar-DZ"/>
        </w:rPr>
        <w:t xml:space="preserve"> الاستهلاكي</w:t>
      </w:r>
      <w:r w:rsidRPr="00257189">
        <w:rPr>
          <w:rFonts w:asciiTheme="majorBidi" w:hAnsiTheme="majorBidi" w:cstheme="majorBidi"/>
          <w:sz w:val="28"/>
          <w:szCs w:val="28"/>
          <w:lang w:bidi="ar-DZ"/>
        </w:rPr>
        <w:t>_ contrat de prêt de consommation</w:t>
      </w:r>
    </w:p>
    <w:p w:rsidR="00D9680D" w:rsidRPr="00211A0D" w:rsidRDefault="00257189" w:rsidP="00CB235A">
      <w:pPr>
        <w:spacing w:line="360" w:lineRule="auto"/>
        <w:jc w:val="both"/>
        <w:rPr>
          <w:rFonts w:asciiTheme="majorBidi" w:hAnsiTheme="majorBidi" w:cstheme="majorBidi"/>
          <w:sz w:val="28"/>
          <w:szCs w:val="28"/>
          <w:rtl/>
          <w:lang w:bidi="ar-DZ"/>
        </w:rPr>
      </w:pPr>
      <w:r w:rsidRPr="00257189">
        <w:rPr>
          <w:rFonts w:asciiTheme="majorBidi" w:hAnsiTheme="majorBidi" w:cstheme="majorBidi"/>
          <w:sz w:val="28"/>
          <w:szCs w:val="28"/>
          <w:lang w:bidi="ar-DZ"/>
        </w:rPr>
        <w:t xml:space="preserve">  </w:t>
      </w:r>
      <w:r w:rsidRPr="00257189">
        <w:rPr>
          <w:rFonts w:asciiTheme="majorBidi" w:hAnsiTheme="majorBidi" w:cs="Times New Roman"/>
          <w:sz w:val="28"/>
          <w:szCs w:val="28"/>
          <w:rtl/>
          <w:lang w:bidi="ar-DZ"/>
        </w:rPr>
        <w:t>الصلح</w:t>
      </w:r>
      <w:r w:rsidRPr="00257189">
        <w:rPr>
          <w:rFonts w:asciiTheme="majorBidi" w:hAnsiTheme="majorBidi" w:cstheme="majorBidi"/>
          <w:sz w:val="28"/>
          <w:szCs w:val="28"/>
          <w:lang w:bidi="ar-DZ"/>
        </w:rPr>
        <w:t xml:space="preserve"> – la transaction</w:t>
      </w:r>
    </w:p>
    <w:p w:rsidR="00626F6C" w:rsidRDefault="00D9680D" w:rsidP="00CB235A">
      <w:pPr>
        <w:spacing w:line="360" w:lineRule="auto"/>
        <w:jc w:val="both"/>
        <w:rPr>
          <w:rFonts w:asciiTheme="majorBidi" w:hAnsiTheme="majorBidi" w:cstheme="majorBidi"/>
          <w:sz w:val="28"/>
          <w:szCs w:val="28"/>
          <w:lang w:bidi="ar-DZ"/>
        </w:rPr>
      </w:pPr>
      <w:r w:rsidRPr="00211A0D">
        <w:rPr>
          <w:rFonts w:asciiTheme="majorBidi" w:hAnsiTheme="majorBidi" w:cstheme="majorBidi"/>
          <w:sz w:val="28"/>
          <w:szCs w:val="28"/>
          <w:lang w:bidi="ar-DZ"/>
        </w:rPr>
        <w:t xml:space="preserve"> </w:t>
      </w:r>
      <w:r w:rsidR="009C35F3" w:rsidRPr="009C35F3">
        <w:rPr>
          <w:rFonts w:asciiTheme="majorBidi" w:hAnsiTheme="majorBidi" w:cs="Times New Roman"/>
          <w:sz w:val="28"/>
          <w:szCs w:val="28"/>
          <w:rtl/>
          <w:lang w:bidi="ar-DZ"/>
        </w:rPr>
        <w:t>-عقد الإيجار</w:t>
      </w:r>
      <w:r w:rsidR="009C35F3" w:rsidRPr="009C35F3">
        <w:rPr>
          <w:rFonts w:asciiTheme="majorBidi" w:hAnsiTheme="majorBidi" w:cstheme="majorBidi"/>
          <w:sz w:val="28"/>
          <w:szCs w:val="28"/>
          <w:lang w:bidi="ar-DZ"/>
        </w:rPr>
        <w:t xml:space="preserve"> le bail</w:t>
      </w:r>
    </w:p>
    <w:p w:rsidR="00626F6C" w:rsidRDefault="009C35F3" w:rsidP="00CB235A">
      <w:pPr>
        <w:spacing w:line="360" w:lineRule="auto"/>
        <w:jc w:val="both"/>
        <w:rPr>
          <w:rFonts w:asciiTheme="majorBidi" w:hAnsiTheme="majorBidi" w:cstheme="majorBidi"/>
          <w:sz w:val="28"/>
          <w:szCs w:val="28"/>
          <w:lang w:bidi="ar-DZ"/>
        </w:rPr>
      </w:pPr>
      <w:r w:rsidRPr="009C35F3">
        <w:rPr>
          <w:rFonts w:asciiTheme="majorBidi" w:hAnsiTheme="majorBidi" w:cstheme="majorBidi"/>
          <w:sz w:val="28"/>
          <w:szCs w:val="28"/>
          <w:lang w:bidi="ar-DZ"/>
        </w:rPr>
        <w:t xml:space="preserve">  </w:t>
      </w:r>
      <w:proofErr w:type="gramStart"/>
      <w:r w:rsidRPr="009C35F3">
        <w:rPr>
          <w:rFonts w:asciiTheme="majorBidi" w:hAnsiTheme="majorBidi" w:cstheme="majorBidi"/>
          <w:sz w:val="28"/>
          <w:szCs w:val="28"/>
          <w:lang w:bidi="ar-DZ"/>
        </w:rPr>
        <w:t>bailleur</w:t>
      </w:r>
      <w:proofErr w:type="gramEnd"/>
      <w:r w:rsidRPr="009C35F3">
        <w:rPr>
          <w:rFonts w:asciiTheme="majorBidi" w:hAnsiTheme="majorBidi" w:cstheme="majorBidi"/>
          <w:sz w:val="28"/>
          <w:szCs w:val="28"/>
          <w:lang w:bidi="ar-DZ"/>
        </w:rPr>
        <w:t xml:space="preserve">     -</w:t>
      </w:r>
      <w:r w:rsidRPr="009C35F3">
        <w:rPr>
          <w:rFonts w:asciiTheme="majorBidi" w:hAnsiTheme="majorBidi" w:cs="Times New Roman"/>
          <w:sz w:val="28"/>
          <w:szCs w:val="28"/>
          <w:rtl/>
          <w:lang w:bidi="ar-DZ"/>
        </w:rPr>
        <w:t>المؤجر</w:t>
      </w:r>
      <w:r w:rsidRPr="009C35F3">
        <w:rPr>
          <w:rFonts w:asciiTheme="majorBidi" w:hAnsiTheme="majorBidi" w:cstheme="majorBidi"/>
          <w:sz w:val="28"/>
          <w:szCs w:val="28"/>
          <w:lang w:bidi="ar-DZ"/>
        </w:rPr>
        <w:t xml:space="preserve"> </w:t>
      </w:r>
    </w:p>
    <w:p w:rsidR="0081612C" w:rsidRDefault="009C35F3" w:rsidP="00CB235A">
      <w:pPr>
        <w:spacing w:line="360" w:lineRule="auto"/>
        <w:jc w:val="both"/>
        <w:rPr>
          <w:rFonts w:asciiTheme="majorBidi" w:hAnsiTheme="majorBidi" w:cs="Times New Roman"/>
          <w:sz w:val="28"/>
          <w:szCs w:val="28"/>
          <w:rtl/>
          <w:lang w:bidi="ar-DZ"/>
        </w:rPr>
      </w:pPr>
      <w:proofErr w:type="gramStart"/>
      <w:r w:rsidRPr="009C35F3">
        <w:rPr>
          <w:rFonts w:asciiTheme="majorBidi" w:hAnsiTheme="majorBidi" w:cstheme="majorBidi"/>
          <w:sz w:val="28"/>
          <w:szCs w:val="28"/>
          <w:lang w:bidi="ar-DZ"/>
        </w:rPr>
        <w:t>le</w:t>
      </w:r>
      <w:proofErr w:type="gramEnd"/>
      <w:r w:rsidRPr="009C35F3">
        <w:rPr>
          <w:rFonts w:asciiTheme="majorBidi" w:hAnsiTheme="majorBidi" w:cstheme="majorBidi"/>
          <w:sz w:val="28"/>
          <w:szCs w:val="28"/>
          <w:lang w:bidi="ar-DZ"/>
        </w:rPr>
        <w:t xml:space="preserve"> locataire   </w:t>
      </w:r>
      <w:r w:rsidRPr="009C35F3">
        <w:rPr>
          <w:rFonts w:asciiTheme="majorBidi" w:hAnsiTheme="majorBidi" w:cs="Times New Roman"/>
          <w:sz w:val="28"/>
          <w:szCs w:val="28"/>
          <w:rtl/>
          <w:lang w:bidi="ar-DZ"/>
        </w:rPr>
        <w:t>المستأجر</w:t>
      </w:r>
    </w:p>
    <w:p w:rsidR="00D72D11" w:rsidRDefault="009C35F3" w:rsidP="00CB235A">
      <w:pPr>
        <w:spacing w:line="360" w:lineRule="auto"/>
        <w:jc w:val="both"/>
        <w:rPr>
          <w:rFonts w:asciiTheme="majorBidi" w:hAnsiTheme="majorBidi" w:cstheme="majorBidi"/>
          <w:sz w:val="28"/>
          <w:szCs w:val="28"/>
          <w:rtl/>
          <w:lang w:bidi="ar-DZ"/>
        </w:rPr>
      </w:pPr>
      <w:r w:rsidRPr="009C35F3">
        <w:rPr>
          <w:rFonts w:asciiTheme="majorBidi" w:hAnsiTheme="majorBidi" w:cs="Times New Roman"/>
          <w:sz w:val="28"/>
          <w:szCs w:val="28"/>
          <w:rtl/>
          <w:lang w:bidi="ar-DZ"/>
        </w:rPr>
        <w:t xml:space="preserve">  عقد العارية</w:t>
      </w:r>
      <w:r w:rsidRPr="009C35F3">
        <w:rPr>
          <w:rFonts w:asciiTheme="majorBidi" w:hAnsiTheme="majorBidi" w:cstheme="majorBidi"/>
          <w:sz w:val="28"/>
          <w:szCs w:val="28"/>
          <w:lang w:bidi="ar-DZ"/>
        </w:rPr>
        <w:t xml:space="preserve">  _ du prêt </w:t>
      </w:r>
      <w:proofErr w:type="spellStart"/>
      <w:r w:rsidRPr="009C35F3">
        <w:rPr>
          <w:rFonts w:asciiTheme="majorBidi" w:hAnsiTheme="majorBidi" w:cstheme="majorBidi"/>
          <w:sz w:val="28"/>
          <w:szCs w:val="28"/>
          <w:lang w:bidi="ar-DZ"/>
        </w:rPr>
        <w:t>a</w:t>
      </w:r>
      <w:proofErr w:type="spellEnd"/>
      <w:r w:rsidRPr="009C35F3">
        <w:rPr>
          <w:rFonts w:asciiTheme="majorBidi" w:hAnsiTheme="majorBidi" w:cstheme="majorBidi"/>
          <w:sz w:val="28"/>
          <w:szCs w:val="28"/>
          <w:lang w:bidi="ar-DZ"/>
        </w:rPr>
        <w:t xml:space="preserve"> l’usage  </w:t>
      </w:r>
    </w:p>
    <w:p w:rsidR="0081612C" w:rsidRDefault="009C35F3" w:rsidP="00CB235A">
      <w:pPr>
        <w:spacing w:line="360" w:lineRule="auto"/>
        <w:jc w:val="both"/>
        <w:rPr>
          <w:rFonts w:asciiTheme="majorBidi" w:hAnsiTheme="majorBidi" w:cstheme="majorBidi"/>
          <w:sz w:val="28"/>
          <w:szCs w:val="28"/>
          <w:rtl/>
          <w:lang w:bidi="ar-DZ"/>
        </w:rPr>
      </w:pPr>
      <w:r w:rsidRPr="009C35F3">
        <w:rPr>
          <w:rFonts w:asciiTheme="majorBidi" w:hAnsiTheme="majorBidi" w:cstheme="majorBidi"/>
          <w:sz w:val="28"/>
          <w:szCs w:val="28"/>
          <w:lang w:bidi="ar-DZ"/>
        </w:rPr>
        <w:lastRenderedPageBreak/>
        <w:t xml:space="preserve">L’emprunteur-  </w:t>
      </w:r>
      <w:r w:rsidRPr="009C35F3">
        <w:rPr>
          <w:rFonts w:asciiTheme="majorBidi" w:hAnsiTheme="majorBidi" w:cs="Times New Roman"/>
          <w:sz w:val="28"/>
          <w:szCs w:val="28"/>
          <w:rtl/>
          <w:lang w:bidi="ar-DZ"/>
        </w:rPr>
        <w:t>المستعير</w:t>
      </w:r>
      <w:r w:rsidRPr="009C35F3">
        <w:rPr>
          <w:rFonts w:asciiTheme="majorBidi" w:hAnsiTheme="majorBidi" w:cstheme="majorBidi"/>
          <w:sz w:val="28"/>
          <w:szCs w:val="28"/>
          <w:lang w:bidi="ar-DZ"/>
        </w:rPr>
        <w:t xml:space="preserve"> </w:t>
      </w:r>
    </w:p>
    <w:p w:rsidR="009C35F3" w:rsidRPr="009C35F3" w:rsidRDefault="009C35F3" w:rsidP="00CB235A">
      <w:pPr>
        <w:spacing w:line="360" w:lineRule="auto"/>
        <w:jc w:val="both"/>
        <w:rPr>
          <w:rFonts w:asciiTheme="majorBidi" w:hAnsiTheme="majorBidi" w:cstheme="majorBidi"/>
          <w:sz w:val="28"/>
          <w:szCs w:val="28"/>
          <w:lang w:bidi="ar-DZ"/>
        </w:rPr>
      </w:pPr>
      <w:r w:rsidRPr="009C35F3">
        <w:rPr>
          <w:rFonts w:asciiTheme="majorBidi" w:hAnsiTheme="majorBidi" w:cstheme="majorBidi"/>
          <w:sz w:val="28"/>
          <w:szCs w:val="28"/>
          <w:lang w:bidi="ar-DZ"/>
        </w:rPr>
        <w:t xml:space="preserve">Le préteur – </w:t>
      </w:r>
      <w:r w:rsidRPr="009C35F3">
        <w:rPr>
          <w:rFonts w:asciiTheme="majorBidi" w:hAnsiTheme="majorBidi" w:cs="Times New Roman"/>
          <w:sz w:val="28"/>
          <w:szCs w:val="28"/>
          <w:rtl/>
          <w:lang w:bidi="ar-DZ"/>
        </w:rPr>
        <w:t>المعير</w:t>
      </w:r>
    </w:p>
    <w:p w:rsidR="00626F6C" w:rsidRDefault="009C35F3" w:rsidP="00CB235A">
      <w:pPr>
        <w:spacing w:line="360" w:lineRule="auto"/>
        <w:jc w:val="both"/>
        <w:rPr>
          <w:rFonts w:asciiTheme="majorBidi" w:hAnsiTheme="majorBidi" w:cstheme="majorBidi"/>
          <w:sz w:val="28"/>
          <w:szCs w:val="28"/>
          <w:lang w:bidi="ar-DZ"/>
        </w:rPr>
      </w:pPr>
      <w:r w:rsidRPr="009C35F3">
        <w:rPr>
          <w:rFonts w:asciiTheme="majorBidi" w:hAnsiTheme="majorBidi" w:cstheme="majorBidi"/>
          <w:sz w:val="28"/>
          <w:szCs w:val="28"/>
          <w:lang w:bidi="ar-DZ"/>
        </w:rPr>
        <w:t xml:space="preserve">-Acte authentique-   </w:t>
      </w:r>
      <w:r w:rsidRPr="009C35F3">
        <w:rPr>
          <w:rFonts w:asciiTheme="majorBidi" w:hAnsiTheme="majorBidi" w:cs="Times New Roman"/>
          <w:sz w:val="28"/>
          <w:szCs w:val="28"/>
          <w:rtl/>
          <w:lang w:bidi="ar-DZ"/>
        </w:rPr>
        <w:t>بالورقة الرسمية</w:t>
      </w:r>
      <w:r w:rsidRPr="009C35F3">
        <w:rPr>
          <w:rFonts w:asciiTheme="majorBidi" w:hAnsiTheme="majorBidi" w:cstheme="majorBidi"/>
          <w:sz w:val="28"/>
          <w:szCs w:val="28"/>
          <w:lang w:bidi="ar-DZ"/>
        </w:rPr>
        <w:t xml:space="preserve"> </w:t>
      </w:r>
    </w:p>
    <w:p w:rsidR="00626F6C" w:rsidRDefault="009C35F3" w:rsidP="00CB235A">
      <w:pPr>
        <w:spacing w:line="360" w:lineRule="auto"/>
        <w:jc w:val="both"/>
        <w:rPr>
          <w:rFonts w:asciiTheme="majorBidi" w:hAnsiTheme="majorBidi" w:cstheme="majorBidi"/>
          <w:sz w:val="28"/>
          <w:szCs w:val="28"/>
          <w:lang w:bidi="ar-DZ"/>
        </w:rPr>
      </w:pPr>
      <w:r w:rsidRPr="009C35F3">
        <w:rPr>
          <w:rFonts w:asciiTheme="majorBidi" w:hAnsiTheme="majorBidi" w:cstheme="majorBidi"/>
          <w:sz w:val="28"/>
          <w:szCs w:val="28"/>
          <w:lang w:bidi="ar-DZ"/>
        </w:rPr>
        <w:t xml:space="preserve">-Acte sous seing   </w:t>
      </w:r>
      <w:r w:rsidRPr="009C35F3">
        <w:rPr>
          <w:rFonts w:asciiTheme="majorBidi" w:hAnsiTheme="majorBidi" w:cs="Times New Roman"/>
          <w:sz w:val="28"/>
          <w:szCs w:val="28"/>
          <w:rtl/>
          <w:lang w:bidi="ar-DZ"/>
        </w:rPr>
        <w:t>بالعقد العرفي</w:t>
      </w:r>
      <w:r w:rsidRPr="009C35F3">
        <w:rPr>
          <w:rFonts w:asciiTheme="majorBidi" w:hAnsiTheme="majorBidi" w:cstheme="majorBidi"/>
          <w:sz w:val="28"/>
          <w:szCs w:val="28"/>
          <w:lang w:bidi="ar-DZ"/>
        </w:rPr>
        <w:t xml:space="preserve"> </w:t>
      </w:r>
      <w:r w:rsidR="00626F6C">
        <w:rPr>
          <w:rFonts w:asciiTheme="majorBidi" w:hAnsiTheme="majorBidi" w:cstheme="majorBidi"/>
          <w:sz w:val="28"/>
          <w:szCs w:val="28"/>
          <w:lang w:bidi="ar-DZ"/>
        </w:rPr>
        <w:t>–</w:t>
      </w:r>
    </w:p>
    <w:p w:rsidR="00626F6C" w:rsidRDefault="009C35F3" w:rsidP="00CB235A">
      <w:pPr>
        <w:spacing w:line="360" w:lineRule="auto"/>
        <w:jc w:val="both"/>
        <w:rPr>
          <w:rFonts w:asciiTheme="majorBidi" w:hAnsiTheme="majorBidi" w:cstheme="majorBidi"/>
          <w:sz w:val="28"/>
          <w:szCs w:val="28"/>
          <w:lang w:bidi="ar-DZ"/>
        </w:rPr>
      </w:pPr>
      <w:r w:rsidRPr="009C35F3">
        <w:rPr>
          <w:rFonts w:asciiTheme="majorBidi" w:hAnsiTheme="majorBidi" w:cstheme="majorBidi"/>
          <w:sz w:val="28"/>
          <w:szCs w:val="28"/>
          <w:lang w:bidi="ar-DZ"/>
        </w:rPr>
        <w:t xml:space="preserve">Télégramme – </w:t>
      </w:r>
      <w:r w:rsidRPr="009C35F3">
        <w:rPr>
          <w:rFonts w:asciiTheme="majorBidi" w:hAnsiTheme="majorBidi" w:cs="Times New Roman"/>
          <w:sz w:val="28"/>
          <w:szCs w:val="28"/>
          <w:rtl/>
          <w:lang w:bidi="ar-DZ"/>
        </w:rPr>
        <w:t>البرقية</w:t>
      </w:r>
      <w:r w:rsidRPr="009C35F3">
        <w:rPr>
          <w:rFonts w:asciiTheme="majorBidi" w:hAnsiTheme="majorBidi" w:cstheme="majorBidi"/>
          <w:sz w:val="28"/>
          <w:szCs w:val="28"/>
          <w:lang w:bidi="ar-DZ"/>
        </w:rPr>
        <w:t xml:space="preserve"> </w:t>
      </w:r>
      <w:r w:rsidR="00626F6C">
        <w:rPr>
          <w:rFonts w:asciiTheme="majorBidi" w:hAnsiTheme="majorBidi" w:cstheme="majorBidi"/>
          <w:sz w:val="28"/>
          <w:szCs w:val="28"/>
          <w:lang w:bidi="ar-DZ"/>
        </w:rPr>
        <w:t>–</w:t>
      </w:r>
    </w:p>
    <w:p w:rsidR="00626F6C" w:rsidRDefault="009C35F3" w:rsidP="00CB235A">
      <w:pPr>
        <w:spacing w:line="360" w:lineRule="auto"/>
        <w:jc w:val="both"/>
        <w:rPr>
          <w:rFonts w:asciiTheme="majorBidi" w:hAnsiTheme="majorBidi" w:cstheme="majorBidi"/>
          <w:sz w:val="28"/>
          <w:szCs w:val="28"/>
          <w:lang w:bidi="ar-DZ"/>
        </w:rPr>
      </w:pPr>
      <w:proofErr w:type="gramStart"/>
      <w:r w:rsidRPr="009C35F3">
        <w:rPr>
          <w:rFonts w:asciiTheme="majorBidi" w:hAnsiTheme="majorBidi" w:cstheme="majorBidi"/>
          <w:sz w:val="28"/>
          <w:szCs w:val="28"/>
          <w:lang w:bidi="ar-DZ"/>
        </w:rPr>
        <w:t>les</w:t>
      </w:r>
      <w:proofErr w:type="gramEnd"/>
      <w:r w:rsidRPr="009C35F3">
        <w:rPr>
          <w:rFonts w:asciiTheme="majorBidi" w:hAnsiTheme="majorBidi" w:cstheme="majorBidi"/>
          <w:sz w:val="28"/>
          <w:szCs w:val="28"/>
          <w:lang w:bidi="ar-DZ"/>
        </w:rPr>
        <w:t xml:space="preserve"> livres de commerce – </w:t>
      </w:r>
      <w:r w:rsidRPr="009C35F3">
        <w:rPr>
          <w:rFonts w:asciiTheme="majorBidi" w:hAnsiTheme="majorBidi" w:cs="Times New Roman"/>
          <w:sz w:val="28"/>
          <w:szCs w:val="28"/>
          <w:rtl/>
          <w:lang w:bidi="ar-DZ"/>
        </w:rPr>
        <w:t>دفاتر التجار</w:t>
      </w:r>
      <w:r w:rsidRPr="009C35F3">
        <w:rPr>
          <w:rFonts w:asciiTheme="majorBidi" w:hAnsiTheme="majorBidi" w:cstheme="majorBidi"/>
          <w:sz w:val="28"/>
          <w:szCs w:val="28"/>
          <w:lang w:bidi="ar-DZ"/>
        </w:rPr>
        <w:t xml:space="preserve"> </w:t>
      </w:r>
      <w:r w:rsidR="00626F6C">
        <w:rPr>
          <w:rFonts w:asciiTheme="majorBidi" w:hAnsiTheme="majorBidi" w:cstheme="majorBidi"/>
          <w:sz w:val="28"/>
          <w:szCs w:val="28"/>
          <w:lang w:bidi="ar-DZ"/>
        </w:rPr>
        <w:t>–</w:t>
      </w:r>
      <w:r w:rsidRPr="009C35F3">
        <w:rPr>
          <w:rFonts w:asciiTheme="majorBidi" w:hAnsiTheme="majorBidi" w:cstheme="majorBidi"/>
          <w:sz w:val="28"/>
          <w:szCs w:val="28"/>
          <w:lang w:bidi="ar-DZ"/>
        </w:rPr>
        <w:t xml:space="preserve"> </w:t>
      </w:r>
    </w:p>
    <w:p w:rsidR="00626F6C" w:rsidRDefault="009C35F3" w:rsidP="00CB235A">
      <w:pPr>
        <w:spacing w:line="360" w:lineRule="auto"/>
        <w:jc w:val="both"/>
        <w:rPr>
          <w:rFonts w:asciiTheme="majorBidi" w:hAnsiTheme="majorBidi" w:cstheme="majorBidi"/>
          <w:sz w:val="28"/>
          <w:szCs w:val="28"/>
          <w:lang w:bidi="ar-DZ"/>
        </w:rPr>
      </w:pPr>
      <w:r w:rsidRPr="009C35F3">
        <w:rPr>
          <w:rFonts w:asciiTheme="majorBidi" w:hAnsiTheme="majorBidi" w:cstheme="majorBidi"/>
          <w:sz w:val="28"/>
          <w:szCs w:val="28"/>
          <w:lang w:bidi="ar-DZ"/>
        </w:rPr>
        <w:t xml:space="preserve">  </w:t>
      </w:r>
      <w:proofErr w:type="gramStart"/>
      <w:r w:rsidRPr="009C35F3">
        <w:rPr>
          <w:rFonts w:asciiTheme="majorBidi" w:hAnsiTheme="majorBidi" w:cstheme="majorBidi"/>
          <w:sz w:val="28"/>
          <w:szCs w:val="28"/>
          <w:lang w:bidi="ar-DZ"/>
        </w:rPr>
        <w:t>la</w:t>
      </w:r>
      <w:proofErr w:type="gramEnd"/>
      <w:r w:rsidRPr="009C35F3">
        <w:rPr>
          <w:rFonts w:asciiTheme="majorBidi" w:hAnsiTheme="majorBidi" w:cstheme="majorBidi"/>
          <w:sz w:val="28"/>
          <w:szCs w:val="28"/>
          <w:lang w:bidi="ar-DZ"/>
        </w:rPr>
        <w:t xml:space="preserve"> preuve par témoins -  </w:t>
      </w:r>
      <w:r w:rsidRPr="009C35F3">
        <w:rPr>
          <w:rFonts w:asciiTheme="majorBidi" w:hAnsiTheme="majorBidi" w:cs="Times New Roman"/>
          <w:sz w:val="28"/>
          <w:szCs w:val="28"/>
          <w:rtl/>
          <w:lang w:bidi="ar-DZ"/>
        </w:rPr>
        <w:t>الإثبات بالبينة</w:t>
      </w:r>
      <w:r w:rsidRPr="009C35F3">
        <w:rPr>
          <w:rFonts w:asciiTheme="majorBidi" w:hAnsiTheme="majorBidi" w:cstheme="majorBidi"/>
          <w:sz w:val="28"/>
          <w:szCs w:val="28"/>
          <w:lang w:bidi="ar-DZ"/>
        </w:rPr>
        <w:t xml:space="preserve"> </w:t>
      </w:r>
      <w:r w:rsidR="00626F6C">
        <w:rPr>
          <w:rFonts w:asciiTheme="majorBidi" w:hAnsiTheme="majorBidi" w:cstheme="majorBidi"/>
          <w:sz w:val="28"/>
          <w:szCs w:val="28"/>
          <w:lang w:bidi="ar-DZ"/>
        </w:rPr>
        <w:t>–</w:t>
      </w:r>
    </w:p>
    <w:p w:rsidR="00626F6C" w:rsidRDefault="009C35F3" w:rsidP="00CB235A">
      <w:pPr>
        <w:spacing w:line="360" w:lineRule="auto"/>
        <w:jc w:val="both"/>
        <w:rPr>
          <w:rFonts w:asciiTheme="majorBidi" w:hAnsiTheme="majorBidi" w:cstheme="majorBidi"/>
          <w:sz w:val="28"/>
          <w:szCs w:val="28"/>
          <w:lang w:bidi="ar-DZ"/>
        </w:rPr>
      </w:pPr>
      <w:r w:rsidRPr="009C35F3">
        <w:rPr>
          <w:rFonts w:asciiTheme="majorBidi" w:hAnsiTheme="majorBidi" w:cstheme="majorBidi"/>
          <w:sz w:val="28"/>
          <w:szCs w:val="28"/>
          <w:lang w:bidi="ar-DZ"/>
        </w:rPr>
        <w:t xml:space="preserve"> les présomptions </w:t>
      </w:r>
      <w:proofErr w:type="gramStart"/>
      <w:r w:rsidRPr="009C35F3">
        <w:rPr>
          <w:rFonts w:asciiTheme="majorBidi" w:hAnsiTheme="majorBidi" w:cstheme="majorBidi"/>
          <w:sz w:val="28"/>
          <w:szCs w:val="28"/>
          <w:lang w:bidi="ar-DZ"/>
        </w:rPr>
        <w:t>–  .</w:t>
      </w:r>
      <w:proofErr w:type="gramEnd"/>
      <w:r w:rsidRPr="009C35F3">
        <w:rPr>
          <w:rFonts w:asciiTheme="majorBidi" w:hAnsiTheme="majorBidi" w:cstheme="majorBidi"/>
          <w:sz w:val="28"/>
          <w:szCs w:val="28"/>
          <w:lang w:bidi="ar-DZ"/>
        </w:rPr>
        <w:t xml:space="preserve"> </w:t>
      </w:r>
      <w:r w:rsidRPr="009C35F3">
        <w:rPr>
          <w:rFonts w:asciiTheme="majorBidi" w:hAnsiTheme="majorBidi" w:cs="Times New Roman"/>
          <w:sz w:val="28"/>
          <w:szCs w:val="28"/>
          <w:rtl/>
          <w:lang w:bidi="ar-DZ"/>
        </w:rPr>
        <w:t>القرائن</w:t>
      </w:r>
      <w:r w:rsidRPr="009C35F3">
        <w:rPr>
          <w:rFonts w:asciiTheme="majorBidi" w:hAnsiTheme="majorBidi" w:cstheme="majorBidi"/>
          <w:sz w:val="28"/>
          <w:szCs w:val="28"/>
          <w:lang w:bidi="ar-DZ"/>
        </w:rPr>
        <w:t xml:space="preserve"> - l’aveu –  </w:t>
      </w:r>
    </w:p>
    <w:p w:rsidR="00626F6C" w:rsidRDefault="009C35F3" w:rsidP="00CB235A">
      <w:pPr>
        <w:spacing w:line="360" w:lineRule="auto"/>
        <w:jc w:val="both"/>
        <w:rPr>
          <w:rFonts w:asciiTheme="majorBidi" w:hAnsiTheme="majorBidi" w:cstheme="majorBidi"/>
          <w:sz w:val="28"/>
          <w:szCs w:val="28"/>
          <w:lang w:bidi="ar-DZ"/>
        </w:rPr>
      </w:pPr>
      <w:r w:rsidRPr="009C35F3">
        <w:rPr>
          <w:rFonts w:asciiTheme="majorBidi" w:hAnsiTheme="majorBidi" w:cstheme="majorBidi"/>
          <w:sz w:val="28"/>
          <w:szCs w:val="28"/>
          <w:lang w:bidi="ar-DZ"/>
        </w:rPr>
        <w:t xml:space="preserve"> </w:t>
      </w:r>
      <w:r w:rsidRPr="009C35F3">
        <w:rPr>
          <w:rFonts w:asciiTheme="majorBidi" w:hAnsiTheme="majorBidi" w:cs="Times New Roman"/>
          <w:sz w:val="28"/>
          <w:szCs w:val="28"/>
          <w:rtl/>
          <w:lang w:bidi="ar-DZ"/>
        </w:rPr>
        <w:t>الإقرار</w:t>
      </w:r>
      <w:r w:rsidRPr="009C35F3">
        <w:rPr>
          <w:rFonts w:asciiTheme="majorBidi" w:hAnsiTheme="majorBidi" w:cstheme="majorBidi"/>
          <w:sz w:val="28"/>
          <w:szCs w:val="28"/>
          <w:lang w:bidi="ar-DZ"/>
        </w:rPr>
        <w:t xml:space="preserve"> - le serment </w:t>
      </w:r>
    </w:p>
    <w:p w:rsidR="00626F6C" w:rsidRDefault="009C35F3" w:rsidP="00CB235A">
      <w:pPr>
        <w:spacing w:line="360" w:lineRule="auto"/>
        <w:jc w:val="both"/>
        <w:rPr>
          <w:rFonts w:asciiTheme="majorBidi" w:hAnsiTheme="majorBidi" w:cstheme="majorBidi"/>
          <w:sz w:val="28"/>
          <w:szCs w:val="28"/>
          <w:lang w:bidi="ar-DZ"/>
        </w:rPr>
      </w:pPr>
      <w:r w:rsidRPr="009C35F3">
        <w:rPr>
          <w:rFonts w:asciiTheme="majorBidi" w:hAnsiTheme="majorBidi" w:cs="Times New Roman"/>
          <w:sz w:val="28"/>
          <w:szCs w:val="28"/>
          <w:rtl/>
          <w:lang w:bidi="ar-DZ"/>
        </w:rPr>
        <w:t xml:space="preserve">اليمين </w:t>
      </w:r>
      <w:proofErr w:type="gramStart"/>
      <w:r w:rsidRPr="009C35F3">
        <w:rPr>
          <w:rFonts w:asciiTheme="majorBidi" w:hAnsiTheme="majorBidi" w:cs="Times New Roman"/>
          <w:sz w:val="28"/>
          <w:szCs w:val="28"/>
          <w:rtl/>
          <w:lang w:bidi="ar-DZ"/>
        </w:rPr>
        <w:t>-  -</w:t>
      </w:r>
      <w:proofErr w:type="gramEnd"/>
      <w:r w:rsidRPr="009C35F3">
        <w:rPr>
          <w:rFonts w:asciiTheme="majorBidi" w:hAnsiTheme="majorBidi" w:cs="Times New Roman"/>
          <w:sz w:val="28"/>
          <w:szCs w:val="28"/>
          <w:rtl/>
          <w:lang w:bidi="ar-DZ"/>
        </w:rPr>
        <w:t xml:space="preserve"> اليمين الحاسمة</w:t>
      </w:r>
      <w:r w:rsidRPr="009C35F3">
        <w:rPr>
          <w:rFonts w:asciiTheme="majorBidi" w:hAnsiTheme="majorBidi" w:cstheme="majorBidi"/>
          <w:sz w:val="28"/>
          <w:szCs w:val="28"/>
          <w:lang w:bidi="ar-DZ"/>
        </w:rPr>
        <w:t xml:space="preserve"> le serment décisoire  -</w:t>
      </w:r>
    </w:p>
    <w:p w:rsidR="00D9680D" w:rsidRPr="00211A0D" w:rsidRDefault="009C35F3" w:rsidP="00CB235A">
      <w:pPr>
        <w:spacing w:line="360" w:lineRule="auto"/>
        <w:jc w:val="both"/>
        <w:rPr>
          <w:rFonts w:asciiTheme="majorBidi" w:hAnsiTheme="majorBidi" w:cstheme="majorBidi"/>
          <w:sz w:val="28"/>
          <w:szCs w:val="28"/>
          <w:rtl/>
          <w:lang w:bidi="ar-DZ"/>
        </w:rPr>
      </w:pPr>
      <w:r w:rsidRPr="009C35F3">
        <w:rPr>
          <w:rFonts w:asciiTheme="majorBidi" w:hAnsiTheme="majorBidi" w:cstheme="majorBidi"/>
          <w:sz w:val="28"/>
          <w:szCs w:val="28"/>
          <w:lang w:bidi="ar-DZ"/>
        </w:rPr>
        <w:t xml:space="preserve"> </w:t>
      </w:r>
      <w:r w:rsidRPr="009C35F3">
        <w:rPr>
          <w:rFonts w:asciiTheme="majorBidi" w:hAnsiTheme="majorBidi" w:cs="Times New Roman"/>
          <w:sz w:val="28"/>
          <w:szCs w:val="28"/>
          <w:rtl/>
          <w:lang w:bidi="ar-DZ"/>
        </w:rPr>
        <w:t>اليمين المتممة</w:t>
      </w:r>
      <w:r w:rsidRPr="009C35F3">
        <w:rPr>
          <w:rFonts w:asciiTheme="majorBidi" w:hAnsiTheme="majorBidi" w:cstheme="majorBidi"/>
          <w:sz w:val="28"/>
          <w:szCs w:val="28"/>
          <w:lang w:bidi="ar-DZ"/>
        </w:rPr>
        <w:t xml:space="preserve"> le serment </w:t>
      </w:r>
      <w:proofErr w:type="gramStart"/>
      <w:r w:rsidRPr="009C35F3">
        <w:rPr>
          <w:rFonts w:asciiTheme="majorBidi" w:hAnsiTheme="majorBidi" w:cstheme="majorBidi"/>
          <w:sz w:val="28"/>
          <w:szCs w:val="28"/>
          <w:lang w:bidi="ar-DZ"/>
        </w:rPr>
        <w:t xml:space="preserve">supplétoire  </w:t>
      </w:r>
      <w:proofErr w:type="gramEnd"/>
    </w:p>
    <w:p w:rsidR="0002783A" w:rsidRDefault="0002783A" w:rsidP="00CB235A">
      <w:pPr>
        <w:bidi/>
        <w:spacing w:line="360" w:lineRule="auto"/>
        <w:jc w:val="both"/>
        <w:rPr>
          <w:rFonts w:asciiTheme="majorBidi" w:hAnsiTheme="majorBidi" w:cstheme="majorBidi"/>
          <w:sz w:val="28"/>
          <w:szCs w:val="28"/>
          <w:rtl/>
        </w:rPr>
      </w:pPr>
    </w:p>
    <w:p w:rsidR="00877DE0" w:rsidRDefault="00877DE0" w:rsidP="00CB235A">
      <w:pPr>
        <w:bidi/>
        <w:spacing w:line="360" w:lineRule="auto"/>
        <w:jc w:val="both"/>
        <w:rPr>
          <w:rFonts w:asciiTheme="majorBidi" w:hAnsiTheme="majorBidi" w:cstheme="majorBidi"/>
          <w:sz w:val="28"/>
          <w:szCs w:val="28"/>
          <w:rtl/>
        </w:rPr>
      </w:pPr>
    </w:p>
    <w:p w:rsidR="00877DE0" w:rsidRDefault="00877DE0" w:rsidP="00CB235A">
      <w:pPr>
        <w:bidi/>
        <w:spacing w:line="360" w:lineRule="auto"/>
        <w:jc w:val="both"/>
        <w:rPr>
          <w:rFonts w:asciiTheme="majorBidi" w:hAnsiTheme="majorBidi" w:cstheme="majorBidi"/>
          <w:sz w:val="28"/>
          <w:szCs w:val="28"/>
          <w:rtl/>
        </w:rPr>
      </w:pPr>
    </w:p>
    <w:p w:rsidR="00877DE0" w:rsidRDefault="00877DE0" w:rsidP="00CB235A">
      <w:pPr>
        <w:bidi/>
        <w:spacing w:line="360" w:lineRule="auto"/>
        <w:jc w:val="both"/>
        <w:rPr>
          <w:rFonts w:asciiTheme="majorBidi" w:hAnsiTheme="majorBidi" w:cstheme="majorBidi"/>
          <w:sz w:val="28"/>
          <w:szCs w:val="28"/>
        </w:rPr>
      </w:pPr>
    </w:p>
    <w:p w:rsidR="00CD3E09" w:rsidRDefault="00CD3E09" w:rsidP="00CD3E09">
      <w:pPr>
        <w:bidi/>
        <w:spacing w:line="360" w:lineRule="auto"/>
        <w:jc w:val="both"/>
        <w:rPr>
          <w:rFonts w:asciiTheme="majorBidi" w:hAnsiTheme="majorBidi" w:cstheme="majorBidi"/>
          <w:sz w:val="28"/>
          <w:szCs w:val="28"/>
        </w:rPr>
      </w:pPr>
    </w:p>
    <w:p w:rsidR="00CD3E09" w:rsidRDefault="00CD3E09" w:rsidP="00CD3E09">
      <w:pPr>
        <w:bidi/>
        <w:spacing w:line="360" w:lineRule="auto"/>
        <w:jc w:val="both"/>
        <w:rPr>
          <w:rFonts w:asciiTheme="majorBidi" w:hAnsiTheme="majorBidi" w:cstheme="majorBidi"/>
          <w:sz w:val="28"/>
          <w:szCs w:val="28"/>
        </w:rPr>
      </w:pPr>
    </w:p>
    <w:p w:rsidR="00CD3E09" w:rsidRDefault="00CD3E09" w:rsidP="00CD3E09">
      <w:pPr>
        <w:bidi/>
        <w:spacing w:line="360" w:lineRule="auto"/>
        <w:jc w:val="both"/>
        <w:rPr>
          <w:rFonts w:asciiTheme="majorBidi" w:hAnsiTheme="majorBidi" w:cstheme="majorBidi"/>
          <w:sz w:val="28"/>
          <w:szCs w:val="28"/>
        </w:rPr>
      </w:pPr>
    </w:p>
    <w:p w:rsidR="00CD3E09" w:rsidRDefault="00CD3E09" w:rsidP="00CD3E09">
      <w:pPr>
        <w:bidi/>
        <w:spacing w:line="360" w:lineRule="auto"/>
        <w:jc w:val="both"/>
        <w:rPr>
          <w:rFonts w:asciiTheme="majorBidi" w:hAnsiTheme="majorBidi" w:cstheme="majorBidi"/>
          <w:sz w:val="28"/>
          <w:szCs w:val="28"/>
        </w:rPr>
      </w:pPr>
    </w:p>
    <w:p w:rsidR="00CD3E09" w:rsidRDefault="00CD3E09" w:rsidP="00CD3E09">
      <w:pPr>
        <w:bidi/>
        <w:spacing w:line="360" w:lineRule="auto"/>
        <w:jc w:val="both"/>
        <w:rPr>
          <w:rFonts w:asciiTheme="majorBidi" w:hAnsiTheme="majorBidi" w:cstheme="majorBidi"/>
          <w:sz w:val="28"/>
          <w:szCs w:val="28"/>
          <w:rtl/>
        </w:rPr>
      </w:pPr>
    </w:p>
    <w:p w:rsidR="00877DE0" w:rsidRDefault="00877DE0" w:rsidP="00CB235A">
      <w:pPr>
        <w:bidi/>
        <w:spacing w:line="360" w:lineRule="auto"/>
        <w:jc w:val="both"/>
        <w:rPr>
          <w:rFonts w:asciiTheme="majorBidi" w:hAnsiTheme="majorBidi" w:cstheme="majorBidi"/>
          <w:sz w:val="28"/>
          <w:szCs w:val="28"/>
          <w:rtl/>
        </w:rPr>
      </w:pPr>
    </w:p>
    <w:sectPr w:rsidR="00877DE0" w:rsidSect="00F960C5">
      <w:footerReference w:type="default" r:id="rId9"/>
      <w:pgSz w:w="11906" w:h="16838"/>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1E5" w:rsidRDefault="00D711E5" w:rsidP="00CE79E8">
      <w:pPr>
        <w:spacing w:after="0" w:line="240" w:lineRule="auto"/>
      </w:pPr>
      <w:r>
        <w:separator/>
      </w:r>
    </w:p>
  </w:endnote>
  <w:endnote w:type="continuationSeparator" w:id="0">
    <w:p w:rsidR="00D711E5" w:rsidRDefault="00D711E5" w:rsidP="00CE7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4030600"/>
      <w:docPartObj>
        <w:docPartGallery w:val="Page Numbers (Bottom of Page)"/>
        <w:docPartUnique/>
      </w:docPartObj>
    </w:sdtPr>
    <w:sdtEndPr/>
    <w:sdtContent>
      <w:p w:rsidR="00CE79E8" w:rsidRDefault="00CE79E8">
        <w:pPr>
          <w:pStyle w:val="Pieddepage"/>
          <w:jc w:val="center"/>
        </w:pPr>
        <w:r>
          <w:fldChar w:fldCharType="begin"/>
        </w:r>
        <w:r>
          <w:instrText>PAGE   \* MERGEFORMAT</w:instrText>
        </w:r>
        <w:r>
          <w:fldChar w:fldCharType="separate"/>
        </w:r>
        <w:r w:rsidR="0057198B">
          <w:rPr>
            <w:noProof/>
          </w:rPr>
          <w:t>1</w:t>
        </w:r>
        <w:r>
          <w:fldChar w:fldCharType="end"/>
        </w:r>
      </w:p>
    </w:sdtContent>
  </w:sdt>
  <w:p w:rsidR="00CE79E8" w:rsidRDefault="00CE79E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1E5" w:rsidRDefault="00D711E5" w:rsidP="00CE79E8">
      <w:pPr>
        <w:spacing w:after="0" w:line="240" w:lineRule="auto"/>
      </w:pPr>
      <w:r>
        <w:separator/>
      </w:r>
    </w:p>
  </w:footnote>
  <w:footnote w:type="continuationSeparator" w:id="0">
    <w:p w:rsidR="00D711E5" w:rsidRDefault="00D711E5" w:rsidP="00CE79E8">
      <w:pPr>
        <w:spacing w:after="0" w:line="240" w:lineRule="auto"/>
      </w:pPr>
      <w:r>
        <w:continuationSeparator/>
      </w:r>
    </w:p>
  </w:footnote>
  <w:footnote w:id="1">
    <w:p w:rsidR="0081612C" w:rsidRPr="0081612C" w:rsidRDefault="0081612C">
      <w:pPr>
        <w:pStyle w:val="Notedebasdepage"/>
        <w:rPr>
          <w:rFonts w:asciiTheme="majorBidi" w:hAnsiTheme="majorBidi" w:cstheme="majorBidi"/>
          <w:rtl/>
          <w:lang w:bidi="ar-DZ"/>
        </w:rPr>
      </w:pPr>
      <w:r w:rsidRPr="0081612C">
        <w:rPr>
          <w:rStyle w:val="Appelnotedebasdep"/>
          <w:rFonts w:asciiTheme="majorBidi" w:hAnsiTheme="majorBidi" w:cstheme="majorBidi"/>
        </w:rPr>
        <w:footnoteRef/>
      </w:r>
      <w:r w:rsidRPr="0081612C">
        <w:rPr>
          <w:rFonts w:asciiTheme="majorBidi" w:hAnsiTheme="majorBidi" w:cstheme="majorBidi"/>
        </w:rPr>
        <w:t xml:space="preserve"> Article 332 du code de procédures civil et administratif Algérien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001D2"/>
    <w:multiLevelType w:val="hybridMultilevel"/>
    <w:tmpl w:val="141017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DA00BB9"/>
    <w:multiLevelType w:val="hybridMultilevel"/>
    <w:tmpl w:val="F6DE5F20"/>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5F59B6"/>
    <w:multiLevelType w:val="hybridMultilevel"/>
    <w:tmpl w:val="653C219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6A121138"/>
    <w:multiLevelType w:val="hybridMultilevel"/>
    <w:tmpl w:val="85EC5040"/>
    <w:lvl w:ilvl="0" w:tplc="040C000F">
      <w:start w:val="1"/>
      <w:numFmt w:val="decimal"/>
      <w:lvlText w:val="%1."/>
      <w:lvlJc w:val="left"/>
      <w:pPr>
        <w:ind w:left="857" w:hanging="360"/>
      </w:pPr>
    </w:lvl>
    <w:lvl w:ilvl="1" w:tplc="040C0019" w:tentative="1">
      <w:start w:val="1"/>
      <w:numFmt w:val="lowerLetter"/>
      <w:lvlText w:val="%2."/>
      <w:lvlJc w:val="left"/>
      <w:pPr>
        <w:ind w:left="1577" w:hanging="360"/>
      </w:pPr>
    </w:lvl>
    <w:lvl w:ilvl="2" w:tplc="040C001B" w:tentative="1">
      <w:start w:val="1"/>
      <w:numFmt w:val="lowerRoman"/>
      <w:lvlText w:val="%3."/>
      <w:lvlJc w:val="right"/>
      <w:pPr>
        <w:ind w:left="2297" w:hanging="180"/>
      </w:pPr>
    </w:lvl>
    <w:lvl w:ilvl="3" w:tplc="040C000F" w:tentative="1">
      <w:start w:val="1"/>
      <w:numFmt w:val="decimal"/>
      <w:lvlText w:val="%4."/>
      <w:lvlJc w:val="left"/>
      <w:pPr>
        <w:ind w:left="3017" w:hanging="360"/>
      </w:pPr>
    </w:lvl>
    <w:lvl w:ilvl="4" w:tplc="040C0019" w:tentative="1">
      <w:start w:val="1"/>
      <w:numFmt w:val="lowerLetter"/>
      <w:lvlText w:val="%5."/>
      <w:lvlJc w:val="left"/>
      <w:pPr>
        <w:ind w:left="3737" w:hanging="360"/>
      </w:pPr>
    </w:lvl>
    <w:lvl w:ilvl="5" w:tplc="040C001B" w:tentative="1">
      <w:start w:val="1"/>
      <w:numFmt w:val="lowerRoman"/>
      <w:lvlText w:val="%6."/>
      <w:lvlJc w:val="right"/>
      <w:pPr>
        <w:ind w:left="4457" w:hanging="180"/>
      </w:pPr>
    </w:lvl>
    <w:lvl w:ilvl="6" w:tplc="040C000F" w:tentative="1">
      <w:start w:val="1"/>
      <w:numFmt w:val="decimal"/>
      <w:lvlText w:val="%7."/>
      <w:lvlJc w:val="left"/>
      <w:pPr>
        <w:ind w:left="5177" w:hanging="360"/>
      </w:pPr>
    </w:lvl>
    <w:lvl w:ilvl="7" w:tplc="040C0019" w:tentative="1">
      <w:start w:val="1"/>
      <w:numFmt w:val="lowerLetter"/>
      <w:lvlText w:val="%8."/>
      <w:lvlJc w:val="left"/>
      <w:pPr>
        <w:ind w:left="5897" w:hanging="360"/>
      </w:pPr>
    </w:lvl>
    <w:lvl w:ilvl="8" w:tplc="040C001B" w:tentative="1">
      <w:start w:val="1"/>
      <w:numFmt w:val="lowerRoman"/>
      <w:lvlText w:val="%9."/>
      <w:lvlJc w:val="right"/>
      <w:pPr>
        <w:ind w:left="6617" w:hanging="180"/>
      </w:pPr>
    </w:lvl>
  </w:abstractNum>
  <w:abstractNum w:abstractNumId="4">
    <w:nsid w:val="75574E0A"/>
    <w:multiLevelType w:val="hybridMultilevel"/>
    <w:tmpl w:val="3D9E686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AAD"/>
    <w:rsid w:val="000126B1"/>
    <w:rsid w:val="0002783A"/>
    <w:rsid w:val="00040CCB"/>
    <w:rsid w:val="0006306A"/>
    <w:rsid w:val="000F3316"/>
    <w:rsid w:val="00144B42"/>
    <w:rsid w:val="001D6BA4"/>
    <w:rsid w:val="00211A0D"/>
    <w:rsid w:val="002336E6"/>
    <w:rsid w:val="00257189"/>
    <w:rsid w:val="002874D5"/>
    <w:rsid w:val="002B2992"/>
    <w:rsid w:val="002B3F79"/>
    <w:rsid w:val="002E11E1"/>
    <w:rsid w:val="002E1C21"/>
    <w:rsid w:val="00360CFC"/>
    <w:rsid w:val="003B212C"/>
    <w:rsid w:val="003B7053"/>
    <w:rsid w:val="003D347B"/>
    <w:rsid w:val="003F2451"/>
    <w:rsid w:val="00440370"/>
    <w:rsid w:val="0047146B"/>
    <w:rsid w:val="004D0451"/>
    <w:rsid w:val="004E6191"/>
    <w:rsid w:val="004E6631"/>
    <w:rsid w:val="00532B19"/>
    <w:rsid w:val="00535235"/>
    <w:rsid w:val="00540A75"/>
    <w:rsid w:val="0057198B"/>
    <w:rsid w:val="005E6F85"/>
    <w:rsid w:val="00626F6C"/>
    <w:rsid w:val="00682106"/>
    <w:rsid w:val="00752284"/>
    <w:rsid w:val="0079798B"/>
    <w:rsid w:val="007A4909"/>
    <w:rsid w:val="007B12BC"/>
    <w:rsid w:val="007D0EE1"/>
    <w:rsid w:val="00816042"/>
    <w:rsid w:val="0081612C"/>
    <w:rsid w:val="008356FD"/>
    <w:rsid w:val="008704BF"/>
    <w:rsid w:val="00877DE0"/>
    <w:rsid w:val="008B3CD6"/>
    <w:rsid w:val="009A13BB"/>
    <w:rsid w:val="009C35F3"/>
    <w:rsid w:val="00A4307F"/>
    <w:rsid w:val="00A80F7C"/>
    <w:rsid w:val="00AB0EB6"/>
    <w:rsid w:val="00AF1BB9"/>
    <w:rsid w:val="00B80D62"/>
    <w:rsid w:val="00BC7189"/>
    <w:rsid w:val="00BE0D57"/>
    <w:rsid w:val="00C82D8B"/>
    <w:rsid w:val="00C87A62"/>
    <w:rsid w:val="00CA4ABC"/>
    <w:rsid w:val="00CB106E"/>
    <w:rsid w:val="00CB235A"/>
    <w:rsid w:val="00CD3E09"/>
    <w:rsid w:val="00CE79E8"/>
    <w:rsid w:val="00D372E4"/>
    <w:rsid w:val="00D52502"/>
    <w:rsid w:val="00D532AF"/>
    <w:rsid w:val="00D711E5"/>
    <w:rsid w:val="00D72D11"/>
    <w:rsid w:val="00D94BE6"/>
    <w:rsid w:val="00D9680D"/>
    <w:rsid w:val="00D97AAD"/>
    <w:rsid w:val="00DE5E16"/>
    <w:rsid w:val="00E05EAE"/>
    <w:rsid w:val="00E25657"/>
    <w:rsid w:val="00E622E3"/>
    <w:rsid w:val="00E65D14"/>
    <w:rsid w:val="00EB68A8"/>
    <w:rsid w:val="00ED3BEC"/>
    <w:rsid w:val="00F13015"/>
    <w:rsid w:val="00F86333"/>
    <w:rsid w:val="00F960C5"/>
    <w:rsid w:val="00FB31B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E79E8"/>
    <w:pPr>
      <w:tabs>
        <w:tab w:val="center" w:pos="4153"/>
        <w:tab w:val="right" w:pos="8306"/>
      </w:tabs>
      <w:spacing w:after="0" w:line="240" w:lineRule="auto"/>
    </w:pPr>
  </w:style>
  <w:style w:type="character" w:customStyle="1" w:styleId="En-tteCar">
    <w:name w:val="En-tête Car"/>
    <w:basedOn w:val="Policepardfaut"/>
    <w:link w:val="En-tte"/>
    <w:uiPriority w:val="99"/>
    <w:rsid w:val="00CE79E8"/>
  </w:style>
  <w:style w:type="paragraph" w:styleId="Pieddepage">
    <w:name w:val="footer"/>
    <w:basedOn w:val="Normal"/>
    <w:link w:val="PieddepageCar"/>
    <w:uiPriority w:val="99"/>
    <w:unhideWhenUsed/>
    <w:rsid w:val="00CE79E8"/>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CE79E8"/>
  </w:style>
  <w:style w:type="paragraph" w:styleId="Notedebasdepage">
    <w:name w:val="footnote text"/>
    <w:basedOn w:val="Normal"/>
    <w:link w:val="NotedebasdepageCar"/>
    <w:uiPriority w:val="99"/>
    <w:semiHidden/>
    <w:unhideWhenUsed/>
    <w:rsid w:val="00AB0EB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B0EB6"/>
    <w:rPr>
      <w:sz w:val="20"/>
      <w:szCs w:val="20"/>
    </w:rPr>
  </w:style>
  <w:style w:type="character" w:styleId="Appelnotedebasdep">
    <w:name w:val="footnote reference"/>
    <w:basedOn w:val="Policepardfaut"/>
    <w:uiPriority w:val="99"/>
    <w:semiHidden/>
    <w:unhideWhenUsed/>
    <w:rsid w:val="00AB0EB6"/>
    <w:rPr>
      <w:vertAlign w:val="superscript"/>
    </w:rPr>
  </w:style>
  <w:style w:type="paragraph" w:styleId="Paragraphedeliste">
    <w:name w:val="List Paragraph"/>
    <w:basedOn w:val="Normal"/>
    <w:uiPriority w:val="34"/>
    <w:qFormat/>
    <w:rsid w:val="002874D5"/>
    <w:pPr>
      <w:ind w:left="720"/>
      <w:contextualSpacing/>
    </w:pPr>
  </w:style>
  <w:style w:type="paragraph" w:styleId="Sansinterligne">
    <w:name w:val="No Spacing"/>
    <w:uiPriority w:val="1"/>
    <w:qFormat/>
    <w:rsid w:val="00EB68A8"/>
    <w:pPr>
      <w:spacing w:after="0" w:line="240" w:lineRule="auto"/>
    </w:pPr>
  </w:style>
  <w:style w:type="paragraph" w:styleId="Textedebulles">
    <w:name w:val="Balloon Text"/>
    <w:basedOn w:val="Normal"/>
    <w:link w:val="TextedebullesCar"/>
    <w:uiPriority w:val="99"/>
    <w:semiHidden/>
    <w:unhideWhenUsed/>
    <w:rsid w:val="00AF1BB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1B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E79E8"/>
    <w:pPr>
      <w:tabs>
        <w:tab w:val="center" w:pos="4153"/>
        <w:tab w:val="right" w:pos="8306"/>
      </w:tabs>
      <w:spacing w:after="0" w:line="240" w:lineRule="auto"/>
    </w:pPr>
  </w:style>
  <w:style w:type="character" w:customStyle="1" w:styleId="En-tteCar">
    <w:name w:val="En-tête Car"/>
    <w:basedOn w:val="Policepardfaut"/>
    <w:link w:val="En-tte"/>
    <w:uiPriority w:val="99"/>
    <w:rsid w:val="00CE79E8"/>
  </w:style>
  <w:style w:type="paragraph" w:styleId="Pieddepage">
    <w:name w:val="footer"/>
    <w:basedOn w:val="Normal"/>
    <w:link w:val="PieddepageCar"/>
    <w:uiPriority w:val="99"/>
    <w:unhideWhenUsed/>
    <w:rsid w:val="00CE79E8"/>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CE79E8"/>
  </w:style>
  <w:style w:type="paragraph" w:styleId="Notedebasdepage">
    <w:name w:val="footnote text"/>
    <w:basedOn w:val="Normal"/>
    <w:link w:val="NotedebasdepageCar"/>
    <w:uiPriority w:val="99"/>
    <w:semiHidden/>
    <w:unhideWhenUsed/>
    <w:rsid w:val="00AB0EB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B0EB6"/>
    <w:rPr>
      <w:sz w:val="20"/>
      <w:szCs w:val="20"/>
    </w:rPr>
  </w:style>
  <w:style w:type="character" w:styleId="Appelnotedebasdep">
    <w:name w:val="footnote reference"/>
    <w:basedOn w:val="Policepardfaut"/>
    <w:uiPriority w:val="99"/>
    <w:semiHidden/>
    <w:unhideWhenUsed/>
    <w:rsid w:val="00AB0EB6"/>
    <w:rPr>
      <w:vertAlign w:val="superscript"/>
    </w:rPr>
  </w:style>
  <w:style w:type="paragraph" w:styleId="Paragraphedeliste">
    <w:name w:val="List Paragraph"/>
    <w:basedOn w:val="Normal"/>
    <w:uiPriority w:val="34"/>
    <w:qFormat/>
    <w:rsid w:val="002874D5"/>
    <w:pPr>
      <w:ind w:left="720"/>
      <w:contextualSpacing/>
    </w:pPr>
  </w:style>
  <w:style w:type="paragraph" w:styleId="Sansinterligne">
    <w:name w:val="No Spacing"/>
    <w:uiPriority w:val="1"/>
    <w:qFormat/>
    <w:rsid w:val="00EB68A8"/>
    <w:pPr>
      <w:spacing w:after="0" w:line="240" w:lineRule="auto"/>
    </w:pPr>
  </w:style>
  <w:style w:type="paragraph" w:styleId="Textedebulles">
    <w:name w:val="Balloon Text"/>
    <w:basedOn w:val="Normal"/>
    <w:link w:val="TextedebullesCar"/>
    <w:uiPriority w:val="99"/>
    <w:semiHidden/>
    <w:unhideWhenUsed/>
    <w:rsid w:val="00AF1BB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1B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B388C-7834-444B-8D68-EA1DEA019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367</Words>
  <Characters>2021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3</cp:revision>
  <dcterms:created xsi:type="dcterms:W3CDTF">2023-05-16T20:32:00Z</dcterms:created>
  <dcterms:modified xsi:type="dcterms:W3CDTF">2023-05-16T20:33:00Z</dcterms:modified>
</cp:coreProperties>
</file>