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10" w:rsidRPr="00B83E7F" w:rsidRDefault="00901E10" w:rsidP="00901E10">
      <w:pPr>
        <w:bidi/>
        <w:spacing w:line="276" w:lineRule="auto"/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</w:pPr>
      <w:r w:rsidRPr="00B83E7F">
        <w:rPr>
          <w:rFonts w:ascii="Simplified Arabic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الدرس الثاني: أنواع الترجمة</w:t>
      </w:r>
    </w:p>
    <w:p w:rsidR="00901E10" w:rsidRPr="00B83E7F" w:rsidRDefault="00901E10" w:rsidP="00901E10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رومان جاكبسون</w:t>
      </w:r>
      <w:r w:rsidRPr="00B83E7F">
        <w:rPr>
          <w:rFonts w:ascii="Simplified Arabic" w:hAnsi="Simplified Arabic" w:cs="Simplified Arabic"/>
          <w:sz w:val="32"/>
          <w:szCs w:val="32"/>
          <w:lang w:bidi="ar-DZ"/>
        </w:rPr>
        <w:t>(Romane Jackobson)</w:t>
      </w: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الترجمة إلى ثلاثة أنواعو هي</w:t>
      </w:r>
      <w:r w:rsidRPr="00B83E7F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901E10" w:rsidRPr="00B83E7F" w:rsidRDefault="00901E10" w:rsidP="00901E10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الترجمة ضمن مفردات اللغة نفسها </w:t>
      </w:r>
      <w:r w:rsidRPr="00B83E7F">
        <w:rPr>
          <w:rFonts w:ascii="Simplified Arabic" w:hAnsi="Simplified Arabic" w:cs="Simplified Arabic"/>
          <w:sz w:val="32"/>
          <w:szCs w:val="32"/>
          <w:lang w:bidi="ar-DZ"/>
        </w:rPr>
        <w:t>(Traduction intralinguale)</w:t>
      </w: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:و تعني التفسير و التأويل و إعادة صياغة مفردات رسالة ما في إطار نفس اللغة، و وفقا لهذه العملية يمكن ترجمة الإشارات اللفظية بواسطة إشارات أخرى في اللغة ذاتها، و هي تعتبر عملية أساسية نحو وضع نظرية وافية للمعنى، مثل عمليات تفسير القرآن الكريم و شرح شعر المعلقات.</w:t>
      </w:r>
    </w:p>
    <w:p w:rsidR="00901E10" w:rsidRPr="00B83E7F" w:rsidRDefault="00901E10" w:rsidP="00901E10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الترجمة من لغة إلى لغة أخرى </w:t>
      </w:r>
      <w:r w:rsidRPr="00B83E7F">
        <w:rPr>
          <w:rFonts w:ascii="Simplified Arabic" w:hAnsi="Simplified Arabic" w:cs="Simplified Arabic"/>
          <w:sz w:val="32"/>
          <w:szCs w:val="32"/>
          <w:lang w:bidi="ar-DZ"/>
        </w:rPr>
        <w:t>(Traduction interlinguale)</w:t>
      </w: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و يعني هذا النوع ترجمة الإشارات اللفظية لإحدى اللغات عن طريق الإشارات اللفظية للغة الأخرى. و هذا هو النوع المقصود في الترجمة،و الذي يتمثل في البحث عن تكافؤ الرموز بين اللغتين أي يتعين معرفة معنى التعبير بأكمله.</w:t>
      </w:r>
    </w:p>
    <w:p w:rsidR="00901E10" w:rsidRPr="00B83E7F" w:rsidRDefault="00901E10" w:rsidP="00901E10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الترجمة من علامة إلى علامة أخرى:</w:t>
      </w:r>
      <w:r w:rsidRPr="00B83E7F">
        <w:rPr>
          <w:rFonts w:ascii="Simplified Arabic" w:hAnsi="Simplified Arabic" w:cs="Simplified Arabic"/>
          <w:sz w:val="32"/>
          <w:szCs w:val="32"/>
          <w:lang w:bidi="ar-DZ"/>
        </w:rPr>
        <w:t>(Traduction intersémiotique)</w:t>
      </w: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901E10" w:rsidRPr="00B83E7F" w:rsidRDefault="00901E10" w:rsidP="00901E10">
      <w:pPr>
        <w:pStyle w:val="Paragraphedeliste"/>
        <w:bidi/>
        <w:spacing w:line="276" w:lineRule="auto"/>
        <w:ind w:left="108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تعني هذه الترجمة نقل رسالة من نوع معين من النظم الرمزية إلى نوع آخر دون أن تصاحبها إشارات لفظية، و بحيث يفهمها الجميع. و مثال ذلك إشارات المرور التي تحمل معنى رسالة لفظية أو الرايات التي نجدها على الشواطئ التي تفيد بأن السباحة ممنوعة أو مسموحة أو خطيرة...إلخ.</w:t>
      </w:r>
    </w:p>
    <w:p w:rsidR="00901E10" w:rsidRPr="00B83E7F" w:rsidRDefault="00901E10" w:rsidP="00901E10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83E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 أن للترجمة تقسيمات أخرى، يمكن أن نلخصها في الجدول أسفله كما يلي:</w:t>
      </w:r>
    </w:p>
    <w:tbl>
      <w:tblPr>
        <w:tblStyle w:val="Grilledutableau"/>
        <w:bidiVisual/>
        <w:tblW w:w="9716" w:type="dxa"/>
        <w:jc w:val="center"/>
        <w:tblLook w:val="04A0"/>
      </w:tblPr>
      <w:tblGrid>
        <w:gridCol w:w="2731"/>
        <w:gridCol w:w="2977"/>
        <w:gridCol w:w="4008"/>
      </w:tblGrid>
      <w:tr w:rsidR="00901E10" w:rsidRPr="007D67ED" w:rsidTr="006D40C3">
        <w:trPr>
          <w:jc w:val="center"/>
        </w:trPr>
        <w:tc>
          <w:tcPr>
            <w:tcW w:w="2731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lastRenderedPageBreak/>
              <w:t>حسب الشكل و المعنى</w:t>
            </w:r>
          </w:p>
        </w:tc>
        <w:tc>
          <w:tcPr>
            <w:tcW w:w="2977" w:type="dxa"/>
          </w:tcPr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الترجمة الحرة.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الترجمة الحرفية.</w:t>
            </w:r>
          </w:p>
        </w:tc>
        <w:tc>
          <w:tcPr>
            <w:tcW w:w="4008" w:type="dxa"/>
          </w:tcPr>
          <w:p w:rsidR="00901E10" w:rsidRPr="007D67ED" w:rsidRDefault="00901E10" w:rsidP="006D40C3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libre</w:t>
            </w:r>
          </w:p>
          <w:p w:rsidR="00901E10" w:rsidRPr="007D67ED" w:rsidRDefault="00901E10" w:rsidP="006D40C3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littérale</w:t>
            </w:r>
          </w:p>
        </w:tc>
      </w:tr>
      <w:tr w:rsidR="00901E10" w:rsidRPr="007D67ED" w:rsidTr="006D40C3">
        <w:trPr>
          <w:jc w:val="center"/>
        </w:trPr>
        <w:tc>
          <w:tcPr>
            <w:tcW w:w="2731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حسب القائم بها</w:t>
            </w:r>
          </w:p>
        </w:tc>
        <w:tc>
          <w:tcPr>
            <w:tcW w:w="2977" w:type="dxa"/>
          </w:tcPr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ترجمة بشرية.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ترجمة آلية.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ترجمة بمساعدة الحاسوب.</w:t>
            </w:r>
          </w:p>
        </w:tc>
        <w:tc>
          <w:tcPr>
            <w:tcW w:w="4008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humaine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automatique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assistée par ordinateur (T.A.O).</w:t>
            </w:r>
          </w:p>
        </w:tc>
      </w:tr>
      <w:tr w:rsidR="00901E10" w:rsidRPr="007D67ED" w:rsidTr="006D40C3">
        <w:trPr>
          <w:jc w:val="center"/>
        </w:trPr>
        <w:tc>
          <w:tcPr>
            <w:tcW w:w="2731" w:type="dxa"/>
          </w:tcPr>
          <w:p w:rsidR="00901E10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 xml:space="preserve">حسب عمومها 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و خصوصها</w:t>
            </w:r>
          </w:p>
        </w:tc>
        <w:tc>
          <w:tcPr>
            <w:tcW w:w="2977" w:type="dxa"/>
          </w:tcPr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الترجمة العامة.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الترجمة المتخصصة (التخصصية)</w:t>
            </w:r>
          </w:p>
        </w:tc>
        <w:tc>
          <w:tcPr>
            <w:tcW w:w="4008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générale.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spécialisée.</w:t>
            </w:r>
          </w:p>
        </w:tc>
      </w:tr>
      <w:tr w:rsidR="00901E10" w:rsidRPr="007D67ED" w:rsidTr="006D40C3">
        <w:trPr>
          <w:jc w:val="center"/>
        </w:trPr>
        <w:tc>
          <w:tcPr>
            <w:tcW w:w="2731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حسب الوسيلة المستعملة فيها</w:t>
            </w:r>
          </w:p>
        </w:tc>
        <w:tc>
          <w:tcPr>
            <w:tcW w:w="2977" w:type="dxa"/>
          </w:tcPr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 xml:space="preserve">ترجمة كتابية 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ترجمة شفوية.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ترجمة بالنظر.</w:t>
            </w:r>
          </w:p>
        </w:tc>
        <w:tc>
          <w:tcPr>
            <w:tcW w:w="4008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-Traduction.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-Interprétation.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à vue.</w:t>
            </w:r>
          </w:p>
        </w:tc>
      </w:tr>
      <w:tr w:rsidR="00901E10" w:rsidRPr="007D67ED" w:rsidTr="006D40C3">
        <w:trPr>
          <w:jc w:val="center"/>
        </w:trPr>
        <w:tc>
          <w:tcPr>
            <w:tcW w:w="2731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حسب الموضوع</w:t>
            </w:r>
          </w:p>
        </w:tc>
        <w:tc>
          <w:tcPr>
            <w:tcW w:w="2977" w:type="dxa"/>
          </w:tcPr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الترجمة العلمية.</w:t>
            </w:r>
          </w:p>
          <w:p w:rsidR="00901E10" w:rsidRPr="007D67ED" w:rsidRDefault="00901E10" w:rsidP="00901E10">
            <w:pPr>
              <w:pStyle w:val="Paragraphedeliste"/>
              <w:numPr>
                <w:ilvl w:val="0"/>
                <w:numId w:val="1"/>
              </w:num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DZ"/>
              </w:rPr>
              <w:t>الترجمة الأدبية.</w:t>
            </w:r>
          </w:p>
        </w:tc>
        <w:tc>
          <w:tcPr>
            <w:tcW w:w="4008" w:type="dxa"/>
          </w:tcPr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Scientifique</w:t>
            </w:r>
          </w:p>
          <w:p w:rsidR="00901E10" w:rsidRPr="007D67ED" w:rsidRDefault="00901E10" w:rsidP="006D40C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7D67ED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DZ"/>
              </w:rPr>
              <w:t>-Traduction littéraire</w:t>
            </w:r>
          </w:p>
        </w:tc>
      </w:tr>
    </w:tbl>
    <w:p w:rsidR="00901E10" w:rsidRPr="00B83E7F" w:rsidRDefault="00901E10" w:rsidP="00901E10">
      <w:pPr>
        <w:bidi/>
        <w:spacing w:line="276" w:lineRule="auto"/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  <w:lang w:bidi="ar-DZ"/>
        </w:rPr>
      </w:pPr>
    </w:p>
    <w:p w:rsidR="00262A7D" w:rsidRDefault="00262A7D"/>
    <w:sectPr w:rsidR="00262A7D" w:rsidSect="00262A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18D" w:rsidRDefault="0077518D" w:rsidP="00901E10">
      <w:pPr>
        <w:spacing w:after="0" w:line="240" w:lineRule="auto"/>
      </w:pPr>
      <w:r>
        <w:separator/>
      </w:r>
    </w:p>
  </w:endnote>
  <w:endnote w:type="continuationSeparator" w:id="1">
    <w:p w:rsidR="0077518D" w:rsidRDefault="0077518D" w:rsidP="0090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18D" w:rsidRDefault="0077518D" w:rsidP="00901E10">
      <w:pPr>
        <w:spacing w:after="0" w:line="240" w:lineRule="auto"/>
      </w:pPr>
      <w:r>
        <w:separator/>
      </w:r>
    </w:p>
  </w:footnote>
  <w:footnote w:type="continuationSeparator" w:id="1">
    <w:p w:rsidR="0077518D" w:rsidRDefault="0077518D" w:rsidP="00901E10">
      <w:pPr>
        <w:spacing w:after="0" w:line="240" w:lineRule="auto"/>
      </w:pPr>
      <w:r>
        <w:continuationSeparator/>
      </w:r>
    </w:p>
  </w:footnote>
  <w:footnote w:id="2">
    <w:p w:rsidR="00901E10" w:rsidRDefault="00901E10" w:rsidP="00901E10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عبده، مختار موسى: المرجع نفسه، ص 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3DE7"/>
    <w:multiLevelType w:val="hybridMultilevel"/>
    <w:tmpl w:val="A3627206"/>
    <w:lvl w:ilvl="0" w:tplc="363E511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D7170"/>
    <w:multiLevelType w:val="hybridMultilevel"/>
    <w:tmpl w:val="642A26B6"/>
    <w:lvl w:ilvl="0" w:tplc="6C322E5A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E10"/>
    <w:rsid w:val="00262A7D"/>
    <w:rsid w:val="0077518D"/>
    <w:rsid w:val="00901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E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1E10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1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semiHidden/>
    <w:rsid w:val="00901E10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901E1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uiPriority w:val="99"/>
    <w:semiHidden/>
    <w:rsid w:val="00901E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guettaf</dc:creator>
  <cp:lastModifiedBy>guettaf</cp:lastModifiedBy>
  <cp:revision>1</cp:revision>
  <dcterms:created xsi:type="dcterms:W3CDTF">2023-10-23T07:52:00Z</dcterms:created>
  <dcterms:modified xsi:type="dcterms:W3CDTF">2023-10-23T07:52:00Z</dcterms:modified>
</cp:coreProperties>
</file>