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7A" w:rsidRDefault="0029517A" w:rsidP="00342AC1">
      <w:pPr>
        <w:pStyle w:val="Titre4"/>
        <w:jc w:val="both"/>
      </w:pPr>
    </w:p>
    <w:p w:rsidR="00342AC1" w:rsidRDefault="00342AC1" w:rsidP="00342AC1">
      <w:pPr>
        <w:pStyle w:val="Titre4"/>
        <w:jc w:val="both"/>
      </w:pPr>
      <w:r>
        <w:t>5.1 Test de signification des effets du modèle.</w:t>
      </w:r>
    </w:p>
    <w:p w:rsidR="00342AC1" w:rsidRDefault="00342AC1" w:rsidP="00342AC1">
      <w:pPr>
        <w:pStyle w:val="NormalWeb"/>
        <w:jc w:val="both"/>
      </w:pPr>
      <w:r>
        <w:t xml:space="preserve">On appelle </w:t>
      </w:r>
      <w:r>
        <w:rPr>
          <w:rStyle w:val="lev"/>
        </w:rPr>
        <w:t>effets</w:t>
      </w:r>
      <w:r>
        <w:t xml:space="preserve"> les coefficients des facteurs et ceux des interactions dans l'écriture du modèle.</w:t>
      </w:r>
    </w:p>
    <w:p w:rsidR="00342AC1" w:rsidRDefault="00342AC1" w:rsidP="00342AC1">
      <w:pPr>
        <w:pStyle w:val="NormalWeb"/>
        <w:jc w:val="both"/>
      </w:pPr>
      <w:r>
        <w:t xml:space="preserve">Les calculs statistiques qui permettent de savoir si les effets sont significatifs, de calculer les intervalles de confiance ou de valider la linéarité du modèle font intervenir d'une part les résidus </w:t>
      </w:r>
      <w:proofErr w:type="spellStart"/>
      <w:r>
        <w:t>e</w:t>
      </w:r>
      <w:r>
        <w:rPr>
          <w:vertAlign w:val="subscript"/>
        </w:rPr>
        <w:t>i</w:t>
      </w:r>
      <w:proofErr w:type="spellEnd"/>
      <w:r>
        <w:t xml:space="preserve"> , c'est-à-dire la différence entre la valeur expérimentale et la valeur prédite par le modèle et, d'autre part un estimateur sans biais de la variance commune des résidus. Cet estimateur est donné par : </w:t>
      </w:r>
    </w:p>
    <w:tbl>
      <w:tblPr>
        <w:tblW w:w="0" w:type="auto"/>
        <w:jc w:val="center"/>
        <w:tblCellSpacing w:w="15" w:type="dxa"/>
        <w:tblCellMar>
          <w:top w:w="15" w:type="dxa"/>
          <w:left w:w="15" w:type="dxa"/>
          <w:bottom w:w="15" w:type="dxa"/>
          <w:right w:w="15" w:type="dxa"/>
        </w:tblCellMar>
        <w:tblLook w:val="0000"/>
      </w:tblPr>
      <w:tblGrid>
        <w:gridCol w:w="241"/>
        <w:gridCol w:w="196"/>
        <w:gridCol w:w="500"/>
        <w:gridCol w:w="345"/>
        <w:gridCol w:w="298"/>
      </w:tblGrid>
      <w:tr w:rsidR="00342AC1" w:rsidTr="00E13877">
        <w:trPr>
          <w:tblCellSpacing w:w="15" w:type="dxa"/>
          <w:jc w:val="center"/>
        </w:trPr>
        <w:tc>
          <w:tcPr>
            <w:tcW w:w="0" w:type="auto"/>
            <w:vMerge w:val="restart"/>
            <w:vAlign w:val="center"/>
          </w:tcPr>
          <w:p w:rsidR="00342AC1" w:rsidRDefault="00342AC1" w:rsidP="00E13877">
            <w:pPr>
              <w:jc w:val="both"/>
            </w:pPr>
            <w:r>
              <w:t>s²</w:t>
            </w:r>
          </w:p>
        </w:tc>
        <w:tc>
          <w:tcPr>
            <w:tcW w:w="0" w:type="auto"/>
            <w:vMerge w:val="restart"/>
            <w:vAlign w:val="center"/>
          </w:tcPr>
          <w:p w:rsidR="00342AC1" w:rsidRDefault="00342AC1" w:rsidP="00E13877">
            <w:pPr>
              <w:jc w:val="both"/>
            </w:pPr>
            <w:r>
              <w:t>=</w:t>
            </w:r>
          </w:p>
        </w:tc>
        <w:tc>
          <w:tcPr>
            <w:tcW w:w="0" w:type="auto"/>
            <w:vAlign w:val="center"/>
          </w:tcPr>
          <w:p w:rsidR="00342AC1" w:rsidRDefault="00342AC1" w:rsidP="00E13877">
            <w:pPr>
              <w:pStyle w:val="NormalWeb"/>
              <w:pBdr>
                <w:bottom w:val="single" w:sz="24" w:space="0" w:color="auto"/>
              </w:pBdr>
              <w:jc w:val="both"/>
            </w:pPr>
            <w:r>
              <w:t>1</w:t>
            </w:r>
          </w:p>
        </w:tc>
        <w:tc>
          <w:tcPr>
            <w:tcW w:w="0" w:type="auto"/>
            <w:vMerge w:val="restart"/>
            <w:vAlign w:val="center"/>
          </w:tcPr>
          <w:p w:rsidR="00342AC1" w:rsidRDefault="00342AC1" w:rsidP="00E13877">
            <w:pPr>
              <w:jc w:val="both"/>
            </w:pPr>
            <w:r>
              <w:rPr>
                <w:rFonts w:ascii="Symbol" w:hAnsi="Symbol" w:cs="Symbol"/>
                <w:sz w:val="48"/>
                <w:szCs w:val="48"/>
              </w:rPr>
              <w:t></w:t>
            </w:r>
          </w:p>
        </w:tc>
        <w:tc>
          <w:tcPr>
            <w:tcW w:w="0" w:type="auto"/>
            <w:vMerge w:val="restart"/>
            <w:vAlign w:val="center"/>
          </w:tcPr>
          <w:p w:rsidR="00342AC1" w:rsidRDefault="00342AC1" w:rsidP="00E13877">
            <w:pPr>
              <w:jc w:val="both"/>
            </w:pPr>
            <w:r>
              <w:t>e</w:t>
            </w:r>
            <w:r>
              <w:rPr>
                <w:vertAlign w:val="subscript"/>
              </w:rPr>
              <w:t>i</w:t>
            </w:r>
            <w:r>
              <w:t>²</w:t>
            </w:r>
          </w:p>
        </w:tc>
      </w:tr>
      <w:tr w:rsidR="00342AC1" w:rsidTr="00E13877">
        <w:trPr>
          <w:tblCellSpacing w:w="15" w:type="dxa"/>
          <w:jc w:val="center"/>
        </w:trPr>
        <w:tc>
          <w:tcPr>
            <w:tcW w:w="0" w:type="auto"/>
            <w:vMerge/>
            <w:vAlign w:val="center"/>
          </w:tcPr>
          <w:p w:rsidR="00342AC1" w:rsidRDefault="00342AC1" w:rsidP="00E13877">
            <w:pPr>
              <w:jc w:val="both"/>
            </w:pPr>
          </w:p>
        </w:tc>
        <w:tc>
          <w:tcPr>
            <w:tcW w:w="0" w:type="auto"/>
            <w:vMerge/>
            <w:vAlign w:val="center"/>
          </w:tcPr>
          <w:p w:rsidR="00342AC1" w:rsidRDefault="00342AC1" w:rsidP="00E13877">
            <w:pPr>
              <w:jc w:val="both"/>
            </w:pPr>
          </w:p>
        </w:tc>
        <w:tc>
          <w:tcPr>
            <w:tcW w:w="0" w:type="auto"/>
            <w:vAlign w:val="center"/>
          </w:tcPr>
          <w:p w:rsidR="00342AC1" w:rsidRDefault="00342AC1" w:rsidP="00E13877">
            <w:pPr>
              <w:jc w:val="both"/>
            </w:pPr>
            <w:r>
              <w:t>n - p</w:t>
            </w:r>
          </w:p>
        </w:tc>
        <w:tc>
          <w:tcPr>
            <w:tcW w:w="0" w:type="auto"/>
            <w:vMerge/>
            <w:vAlign w:val="center"/>
          </w:tcPr>
          <w:p w:rsidR="00342AC1" w:rsidRDefault="00342AC1" w:rsidP="00E13877">
            <w:pPr>
              <w:jc w:val="both"/>
            </w:pPr>
          </w:p>
        </w:tc>
        <w:tc>
          <w:tcPr>
            <w:tcW w:w="0" w:type="auto"/>
            <w:vMerge/>
            <w:vAlign w:val="center"/>
          </w:tcPr>
          <w:p w:rsidR="00342AC1" w:rsidRDefault="00342AC1" w:rsidP="00E13877">
            <w:pPr>
              <w:jc w:val="both"/>
            </w:pPr>
          </w:p>
        </w:tc>
      </w:tr>
    </w:tbl>
    <w:p w:rsidR="00342AC1" w:rsidRDefault="00342AC1" w:rsidP="00342AC1">
      <w:pPr>
        <w:pStyle w:val="NormalWeb"/>
        <w:jc w:val="both"/>
      </w:pPr>
      <w:r>
        <w:t xml:space="preserve">où n est le </w:t>
      </w:r>
      <w:r>
        <w:rPr>
          <w:rStyle w:val="lev"/>
        </w:rPr>
        <w:t>nombre d'expériences réalisées</w:t>
      </w:r>
      <w:r>
        <w:t xml:space="preserve"> et p le </w:t>
      </w:r>
      <w:r>
        <w:rPr>
          <w:rStyle w:val="lev"/>
        </w:rPr>
        <w:t>nombre de coefficients du modèle</w:t>
      </w:r>
      <w:r>
        <w:t>. Dans ces conditions, on peut montrer que tous les effets ont la même variance donnée par :</w:t>
      </w:r>
    </w:p>
    <w:tbl>
      <w:tblPr>
        <w:tblW w:w="1185" w:type="dxa"/>
        <w:jc w:val="center"/>
        <w:tblCellSpacing w:w="15" w:type="dxa"/>
        <w:tblCellMar>
          <w:top w:w="15" w:type="dxa"/>
          <w:left w:w="15" w:type="dxa"/>
          <w:bottom w:w="15" w:type="dxa"/>
          <w:right w:w="15" w:type="dxa"/>
        </w:tblCellMar>
        <w:tblLook w:val="0000"/>
      </w:tblPr>
      <w:tblGrid>
        <w:gridCol w:w="909"/>
        <w:gridCol w:w="276"/>
      </w:tblGrid>
      <w:tr w:rsidR="00342AC1" w:rsidTr="00E13877">
        <w:trPr>
          <w:tblCellSpacing w:w="15" w:type="dxa"/>
          <w:jc w:val="center"/>
        </w:trPr>
        <w:tc>
          <w:tcPr>
            <w:tcW w:w="840" w:type="dxa"/>
            <w:vMerge w:val="restart"/>
            <w:vAlign w:val="center"/>
          </w:tcPr>
          <w:p w:rsidR="00342AC1" w:rsidRDefault="00342AC1" w:rsidP="00E13877">
            <w:pPr>
              <w:pStyle w:val="NormalWeb"/>
              <w:jc w:val="both"/>
            </w:pPr>
            <w:r>
              <w:t>s</w:t>
            </w:r>
            <w:r>
              <w:rPr>
                <w:vertAlign w:val="subscript"/>
              </w:rPr>
              <w:t>i</w:t>
            </w:r>
            <w:r>
              <w:t>² =</w:t>
            </w:r>
          </w:p>
        </w:tc>
        <w:tc>
          <w:tcPr>
            <w:tcW w:w="225" w:type="dxa"/>
            <w:vAlign w:val="center"/>
          </w:tcPr>
          <w:p w:rsidR="00342AC1" w:rsidRDefault="00342AC1" w:rsidP="00E13877">
            <w:pPr>
              <w:pStyle w:val="NormalWeb"/>
              <w:pBdr>
                <w:bottom w:val="single" w:sz="24" w:space="0" w:color="auto"/>
              </w:pBdr>
              <w:jc w:val="both"/>
            </w:pPr>
            <w:r>
              <w:t>s²</w:t>
            </w:r>
          </w:p>
        </w:tc>
      </w:tr>
      <w:tr w:rsidR="00342AC1" w:rsidTr="00E13877">
        <w:trPr>
          <w:tblCellSpacing w:w="15" w:type="dxa"/>
          <w:jc w:val="center"/>
        </w:trPr>
        <w:tc>
          <w:tcPr>
            <w:tcW w:w="0" w:type="auto"/>
            <w:vMerge/>
            <w:vAlign w:val="center"/>
          </w:tcPr>
          <w:p w:rsidR="00342AC1" w:rsidRDefault="00342AC1" w:rsidP="00E13877">
            <w:pPr>
              <w:jc w:val="both"/>
            </w:pPr>
          </w:p>
        </w:tc>
        <w:tc>
          <w:tcPr>
            <w:tcW w:w="225" w:type="dxa"/>
            <w:vAlign w:val="center"/>
          </w:tcPr>
          <w:p w:rsidR="00342AC1" w:rsidRDefault="00342AC1" w:rsidP="00E13877">
            <w:pPr>
              <w:pStyle w:val="NormalWeb"/>
              <w:jc w:val="both"/>
            </w:pPr>
            <w:r>
              <w:t>n</w:t>
            </w:r>
          </w:p>
        </w:tc>
      </w:tr>
    </w:tbl>
    <w:p w:rsidR="00342AC1" w:rsidRDefault="00342AC1" w:rsidP="00342AC1">
      <w:pPr>
        <w:pStyle w:val="NormalWeb"/>
        <w:jc w:val="both"/>
      </w:pPr>
      <w:r>
        <w:t>où n est le nombre d'expériences réalisées. Cela apporte une grande simplification au niveau des calculs.</w:t>
      </w:r>
    </w:p>
    <w:p w:rsidR="00342AC1" w:rsidRDefault="00342AC1" w:rsidP="00342AC1">
      <w:pPr>
        <w:pStyle w:val="NormalWeb"/>
        <w:jc w:val="both"/>
      </w:pPr>
      <w:r>
        <w:rPr>
          <w:rStyle w:val="lev"/>
        </w:rPr>
        <w:t xml:space="preserve">ATTENTION </w:t>
      </w:r>
    </w:p>
    <w:p w:rsidR="00342AC1" w:rsidRDefault="00342AC1" w:rsidP="00342AC1">
      <w:pPr>
        <w:pStyle w:val="NormalWeb"/>
        <w:jc w:val="both"/>
      </w:pPr>
      <w:r>
        <w:rPr>
          <w:rStyle w:val="lev"/>
        </w:rPr>
        <w:t>Si l'on réalise un plan complet et que l'on calcule tous les effets, le calcul de s</w:t>
      </w:r>
      <w:r>
        <w:rPr>
          <w:vertAlign w:val="superscript"/>
        </w:rPr>
        <w:t>2</w:t>
      </w:r>
      <w:r>
        <w:rPr>
          <w:rStyle w:val="lev"/>
        </w:rPr>
        <w:t xml:space="preserve"> est impossible puisque alors n = p (un plan complet 2</w:t>
      </w:r>
      <w:r>
        <w:rPr>
          <w:vertAlign w:val="superscript"/>
        </w:rPr>
        <w:t>3</w:t>
      </w:r>
      <w:r>
        <w:rPr>
          <w:rStyle w:val="lev"/>
        </w:rPr>
        <w:t xml:space="preserve"> conduit à 8 expériences et 8 effets : 3 effets pour les facteurs, 3 effets pour les interactions d'ordre 2 et enfin 1 effet pour l'interaction d'ordre 3). C'est pour cela que, dans la pratique, il est d'usage de négliger les interaction d'ordre élevé (3 ou plus). C'est souvent le contexte et la connaissance de lois régissant le phénomène étudié qui permet de négliger certaines interactions et donc de pouvoir conduire des calculs statistiques.</w:t>
      </w:r>
      <w:r>
        <w:t xml:space="preserve"> </w:t>
      </w:r>
    </w:p>
    <w:p w:rsidR="00342AC1" w:rsidRDefault="00342AC1" w:rsidP="00342AC1">
      <w:pPr>
        <w:pStyle w:val="NormalWeb"/>
        <w:jc w:val="both"/>
      </w:pPr>
      <w:r>
        <w:t>Si néanmoins on veut travailler avec tous les effets, une méthode efficace pour déterminer s</w:t>
      </w:r>
      <w:r>
        <w:rPr>
          <w:vertAlign w:val="superscript"/>
        </w:rPr>
        <w:t>2</w:t>
      </w:r>
      <w:r>
        <w:t xml:space="preserve"> est la méthode dite des &lt;&lt; mesures au centre&gt;&gt;. On effectue alors plusieurs mesures au centre du domaine (tous les facteurs sont réglés à 0) et on détermine s</w:t>
      </w:r>
      <w:r>
        <w:rPr>
          <w:vertAlign w:val="superscript"/>
        </w:rPr>
        <w:t>2</w:t>
      </w:r>
      <w:r>
        <w:t xml:space="preserve"> à partir des résultats sur ces &lt;&lt; points au centre&gt;&gt;. </w:t>
      </w:r>
    </w:p>
    <w:p w:rsidR="00342AC1" w:rsidRDefault="00342AC1" w:rsidP="00342AC1">
      <w:pPr>
        <w:pStyle w:val="Titre4"/>
        <w:jc w:val="both"/>
      </w:pPr>
      <w:r>
        <w:t xml:space="preserve">5.1.1 Réalisation du test de signification des effets. </w:t>
      </w:r>
    </w:p>
    <w:p w:rsidR="00342AC1" w:rsidRDefault="00342AC1" w:rsidP="00342AC1">
      <w:pPr>
        <w:pStyle w:val="NormalWeb"/>
        <w:jc w:val="both"/>
      </w:pPr>
      <w:r>
        <w:t xml:space="preserve">Le test utilisé est le test &lt;&lt; t&gt;&gt; de </w:t>
      </w:r>
      <w:proofErr w:type="spellStart"/>
      <w:r>
        <w:t>Student</w:t>
      </w:r>
      <w:proofErr w:type="spellEnd"/>
      <w:r>
        <w:t>. Un effet sera dit significatif (c'est-à-dire que la variable ou l'interaction qui lui est associée a une influence sur la réponse), s'il est, pour un risque donné, significativement différent de 0. On testera donc l'hypothèse :</w:t>
      </w:r>
    </w:p>
    <w:p w:rsidR="00342AC1" w:rsidRDefault="00342AC1" w:rsidP="00342AC1">
      <w:pPr>
        <w:pStyle w:val="NormalWeb"/>
        <w:jc w:val="both"/>
      </w:pPr>
      <w:r>
        <w:lastRenderedPageBreak/>
        <w:t>H</w:t>
      </w:r>
      <w:r>
        <w:rPr>
          <w:vertAlign w:val="subscript"/>
        </w:rPr>
        <w:t>0</w:t>
      </w:r>
      <w:r>
        <w:t xml:space="preserve"> = &lt;&lt; a</w:t>
      </w:r>
      <w:r>
        <w:rPr>
          <w:vertAlign w:val="subscript"/>
        </w:rPr>
        <w:t>i</w:t>
      </w:r>
      <w:r>
        <w:t xml:space="preserve"> = 0&gt;&gt;</w:t>
      </w:r>
    </w:p>
    <w:p w:rsidR="00342AC1" w:rsidRDefault="00342AC1" w:rsidP="00342AC1">
      <w:pPr>
        <w:pStyle w:val="NormalWeb"/>
        <w:jc w:val="both"/>
      </w:pPr>
      <w:r>
        <w:t>contrer l'hypothèse :</w:t>
      </w:r>
    </w:p>
    <w:p w:rsidR="00342AC1" w:rsidRDefault="00342AC1" w:rsidP="00342AC1">
      <w:pPr>
        <w:pStyle w:val="NormalWeb"/>
        <w:jc w:val="both"/>
      </w:pPr>
      <w:r>
        <w:t>H</w:t>
      </w:r>
      <w:r>
        <w:rPr>
          <w:vertAlign w:val="subscript"/>
        </w:rPr>
        <w:t>1</w:t>
      </w:r>
      <w:r>
        <w:t xml:space="preserve"> = &lt;&lt; a</w:t>
      </w:r>
      <w:r>
        <w:rPr>
          <w:vertAlign w:val="subscript"/>
        </w:rPr>
        <w:t>i</w:t>
      </w:r>
      <w:r>
        <w:t xml:space="preserve"> /= 0&gt;&gt; </w:t>
      </w:r>
    </w:p>
    <w:p w:rsidR="00342AC1" w:rsidRDefault="00342AC1" w:rsidP="00342AC1">
      <w:pPr>
        <w:pStyle w:val="NormalWeb"/>
        <w:jc w:val="both"/>
      </w:pPr>
      <w:r>
        <w:t>Pour cela, on calcule :</w:t>
      </w:r>
    </w:p>
    <w:tbl>
      <w:tblPr>
        <w:tblW w:w="500" w:type="pct"/>
        <w:jc w:val="center"/>
        <w:tblCellSpacing w:w="15" w:type="dxa"/>
        <w:tblCellMar>
          <w:top w:w="15" w:type="dxa"/>
          <w:left w:w="15" w:type="dxa"/>
          <w:bottom w:w="15" w:type="dxa"/>
          <w:right w:w="15" w:type="dxa"/>
        </w:tblCellMar>
        <w:tblLook w:val="0000"/>
      </w:tblPr>
      <w:tblGrid>
        <w:gridCol w:w="587"/>
        <w:gridCol w:w="363"/>
      </w:tblGrid>
      <w:tr w:rsidR="00342AC1" w:rsidTr="00E13877">
        <w:trPr>
          <w:tblCellSpacing w:w="15" w:type="dxa"/>
          <w:jc w:val="center"/>
        </w:trPr>
        <w:tc>
          <w:tcPr>
            <w:tcW w:w="3150" w:type="pct"/>
            <w:vMerge w:val="restart"/>
            <w:vAlign w:val="center"/>
          </w:tcPr>
          <w:p w:rsidR="00342AC1" w:rsidRDefault="00342AC1" w:rsidP="00E13877">
            <w:pPr>
              <w:jc w:val="both"/>
            </w:pPr>
            <w:r>
              <w:t>t</w:t>
            </w:r>
            <w:r>
              <w:rPr>
                <w:vertAlign w:val="subscript"/>
              </w:rPr>
              <w:t>i</w:t>
            </w:r>
            <w:r>
              <w:t xml:space="preserve"> =</w:t>
            </w:r>
          </w:p>
        </w:tc>
        <w:tc>
          <w:tcPr>
            <w:tcW w:w="0" w:type="auto"/>
            <w:vAlign w:val="center"/>
          </w:tcPr>
          <w:p w:rsidR="00342AC1" w:rsidRDefault="00342AC1" w:rsidP="00E13877">
            <w:pPr>
              <w:pStyle w:val="NormalWeb"/>
              <w:pBdr>
                <w:bottom w:val="single" w:sz="24" w:space="0" w:color="auto"/>
              </w:pBdr>
              <w:jc w:val="both"/>
            </w:pPr>
            <w:r>
              <w:t>|a</w:t>
            </w:r>
            <w:r>
              <w:rPr>
                <w:vertAlign w:val="subscript"/>
              </w:rPr>
              <w:t>i</w:t>
            </w:r>
            <w:r>
              <w:t>|</w:t>
            </w:r>
          </w:p>
        </w:tc>
      </w:tr>
      <w:tr w:rsidR="00342AC1" w:rsidTr="00E13877">
        <w:trPr>
          <w:tblCellSpacing w:w="15" w:type="dxa"/>
          <w:jc w:val="center"/>
        </w:trPr>
        <w:tc>
          <w:tcPr>
            <w:tcW w:w="0" w:type="auto"/>
            <w:vMerge/>
            <w:vAlign w:val="center"/>
          </w:tcPr>
          <w:p w:rsidR="00342AC1" w:rsidRDefault="00342AC1" w:rsidP="00E13877">
            <w:pPr>
              <w:jc w:val="both"/>
            </w:pPr>
          </w:p>
        </w:tc>
        <w:tc>
          <w:tcPr>
            <w:tcW w:w="0" w:type="auto"/>
            <w:vAlign w:val="center"/>
          </w:tcPr>
          <w:p w:rsidR="00342AC1" w:rsidRDefault="00342AC1" w:rsidP="00E13877">
            <w:pPr>
              <w:pStyle w:val="NormalWeb"/>
              <w:jc w:val="both"/>
            </w:pPr>
            <w:r>
              <w:t>s</w:t>
            </w:r>
            <w:r>
              <w:rPr>
                <w:vertAlign w:val="subscript"/>
              </w:rPr>
              <w:t>i</w:t>
            </w:r>
          </w:p>
        </w:tc>
      </w:tr>
    </w:tbl>
    <w:p w:rsidR="00342AC1" w:rsidRDefault="00342AC1" w:rsidP="00342AC1">
      <w:pPr>
        <w:pStyle w:val="NormalWeb"/>
        <w:jc w:val="both"/>
      </w:pPr>
      <w:r>
        <w:t xml:space="preserve">On utilise alors une table de </w:t>
      </w:r>
      <w:proofErr w:type="spellStart"/>
      <w:r>
        <w:t>Student</w:t>
      </w:r>
      <w:proofErr w:type="spellEnd"/>
      <w:r>
        <w:t xml:space="preserve"> à </w:t>
      </w:r>
      <w:r>
        <w:rPr>
          <w:rFonts w:ascii="Symbol" w:hAnsi="Symbol" w:cs="Symbol"/>
        </w:rPr>
        <w:t></w:t>
      </w:r>
      <w:r>
        <w:t xml:space="preserve"> = n - p  degrés de liberté (n est le nombre d'expériences réalisées et p le nombre d'effets y compris la constante).On choisit un risque de première espèce </w:t>
      </w:r>
      <w:r>
        <w:rPr>
          <w:rFonts w:ascii="Symbol" w:hAnsi="Symbol" w:cs="Symbol"/>
        </w:rPr>
        <w:t></w:t>
      </w:r>
      <w:r>
        <w:t xml:space="preserve"> (le plus souvent 5% ou 1%) et on lit dans cette table de </w:t>
      </w:r>
      <w:proofErr w:type="spellStart"/>
      <w:r>
        <w:t>Student</w:t>
      </w:r>
      <w:proofErr w:type="spellEnd"/>
      <w:r>
        <w:t xml:space="preserve"> la valeur </w:t>
      </w:r>
      <w:proofErr w:type="spellStart"/>
      <w:r>
        <w:t>tit</w:t>
      </w:r>
      <w:proofErr w:type="spellEnd"/>
      <w:r>
        <w:t>(</w:t>
      </w:r>
      <w:r>
        <w:rPr>
          <w:rFonts w:ascii="Symbol" w:hAnsi="Symbol" w:cs="Symbol"/>
        </w:rPr>
        <w:t></w:t>
      </w:r>
      <w:r>
        <w:t>,</w:t>
      </w:r>
      <w:r>
        <w:rPr>
          <w:rFonts w:ascii="Symbol" w:hAnsi="Symbol" w:cs="Symbol"/>
        </w:rPr>
        <w:t></w:t>
      </w:r>
      <w:r>
        <w:rPr>
          <w:rFonts w:ascii="Symbol" w:hAnsi="Symbol" w:cs="Symbol"/>
        </w:rPr>
        <w:t></w:t>
      </w:r>
      <w:r>
        <w:t xml:space="preserve">), en utilisant la partie de la table relative à un test bilatéral. La règle du test est alors la suivante : </w:t>
      </w:r>
    </w:p>
    <w:p w:rsidR="00342AC1" w:rsidRDefault="00342AC1" w:rsidP="00342AC1">
      <w:pPr>
        <w:pStyle w:val="NormalWeb"/>
        <w:jc w:val="both"/>
      </w:pPr>
      <w:r>
        <w:rPr>
          <w:rFonts w:ascii="Wingdings" w:hAnsi="Wingdings" w:cs="Wingdings"/>
        </w:rPr>
        <w:t></w:t>
      </w:r>
      <w:r>
        <w:t xml:space="preserve"> Si t</w:t>
      </w:r>
      <w:r>
        <w:rPr>
          <w:vertAlign w:val="subscript"/>
        </w:rPr>
        <w:t>i</w:t>
      </w:r>
      <w:r>
        <w:t xml:space="preserve"> &gt; </w:t>
      </w:r>
      <w:proofErr w:type="spellStart"/>
      <w:r>
        <w:t>t</w:t>
      </w:r>
      <w:r>
        <w:rPr>
          <w:vertAlign w:val="subscript"/>
        </w:rPr>
        <w:t>crit</w:t>
      </w:r>
      <w:proofErr w:type="spellEnd"/>
      <w:r>
        <w:t>(</w:t>
      </w:r>
      <w:r>
        <w:rPr>
          <w:rFonts w:ascii="Symbol" w:hAnsi="Symbol" w:cs="Symbol"/>
        </w:rPr>
        <w:t></w:t>
      </w:r>
      <w:r>
        <w:rPr>
          <w:rFonts w:ascii="Symbol" w:hAnsi="Symbol" w:cs="Symbol"/>
        </w:rPr>
        <w:t></w:t>
      </w:r>
      <w:r>
        <w:rPr>
          <w:rFonts w:ascii="Symbol" w:hAnsi="Symbol" w:cs="Symbol"/>
        </w:rPr>
        <w:t></w:t>
      </w:r>
      <w:r>
        <w:rPr>
          <w:rFonts w:ascii="Symbol" w:hAnsi="Symbol" w:cs="Symbol"/>
        </w:rPr>
        <w:t></w:t>
      </w:r>
      <w:r>
        <w:t>), on rejette H</w:t>
      </w:r>
      <w:r>
        <w:rPr>
          <w:vertAlign w:val="subscript"/>
        </w:rPr>
        <w:t>0</w:t>
      </w:r>
      <w:r>
        <w:t xml:space="preserve"> au risque accepté.</w:t>
      </w:r>
    </w:p>
    <w:p w:rsidR="00342AC1" w:rsidRDefault="00342AC1" w:rsidP="00342AC1">
      <w:pPr>
        <w:pStyle w:val="NormalWeb"/>
        <w:jc w:val="both"/>
      </w:pPr>
      <w:r>
        <w:rPr>
          <w:rFonts w:ascii="Wingdings" w:hAnsi="Wingdings" w:cs="Wingdings"/>
        </w:rPr>
        <w:t></w:t>
      </w:r>
      <w:r>
        <w:t xml:space="preserve"> Si t</w:t>
      </w:r>
      <w:r>
        <w:rPr>
          <w:vertAlign w:val="subscript"/>
        </w:rPr>
        <w:t>i</w:t>
      </w:r>
      <w:r>
        <w:t xml:space="preserve"> &lt; </w:t>
      </w:r>
      <w:proofErr w:type="spellStart"/>
      <w:r>
        <w:t>t</w:t>
      </w:r>
      <w:r>
        <w:rPr>
          <w:vertAlign w:val="subscript"/>
        </w:rPr>
        <w:t>crit</w:t>
      </w:r>
      <w:proofErr w:type="spellEnd"/>
      <w:r>
        <w:t>(</w:t>
      </w:r>
      <w:r>
        <w:rPr>
          <w:rFonts w:ascii="Symbol" w:hAnsi="Symbol" w:cs="Symbol"/>
        </w:rPr>
        <w:t></w:t>
      </w:r>
      <w:r>
        <w:rPr>
          <w:rFonts w:ascii="Symbol" w:hAnsi="Symbol" w:cs="Symbol"/>
        </w:rPr>
        <w:t></w:t>
      </w:r>
      <w:r>
        <w:rPr>
          <w:rFonts w:ascii="Symbol" w:hAnsi="Symbol" w:cs="Symbol"/>
        </w:rPr>
        <w:t></w:t>
      </w:r>
      <w:r>
        <w:rPr>
          <w:rFonts w:ascii="Symbol" w:hAnsi="Symbol" w:cs="Symbol"/>
        </w:rPr>
        <w:t></w:t>
      </w:r>
      <w:r>
        <w:t>), on accepte H</w:t>
      </w:r>
      <w:r>
        <w:rPr>
          <w:vertAlign w:val="subscript"/>
        </w:rPr>
        <w:t>0</w:t>
      </w:r>
      <w:r>
        <w:t xml:space="preserve"> au risque accepté.</w:t>
      </w:r>
    </w:p>
    <w:p w:rsidR="00342AC1" w:rsidRDefault="00342AC1" w:rsidP="00342AC1">
      <w:pPr>
        <w:pStyle w:val="NormalWeb"/>
        <w:jc w:val="both"/>
      </w:pPr>
      <w:r>
        <w:t>Si l'hypothèse H</w:t>
      </w:r>
      <w:r>
        <w:rPr>
          <w:vertAlign w:val="subscript"/>
        </w:rPr>
        <w:t>0</w:t>
      </w:r>
      <w:r>
        <w:t xml:space="preserve"> est acceptée, cela veut dire que l'effet en question n'est pas, au risque </w:t>
      </w:r>
      <w:r>
        <w:rPr>
          <w:rFonts w:ascii="Symbol" w:hAnsi="Symbol" w:cs="Symbol"/>
        </w:rPr>
        <w:t></w:t>
      </w:r>
      <w:r>
        <w:t xml:space="preserve"> significativement différent de 0 et donc que la variable qui lui est associée n'a pas d'influence sur la réponse. </w:t>
      </w:r>
    </w:p>
    <w:p w:rsidR="00342AC1" w:rsidRDefault="00342AC1" w:rsidP="00342AC1">
      <w:pPr>
        <w:pStyle w:val="Titre4"/>
        <w:jc w:val="both"/>
      </w:pPr>
      <w:r>
        <w:rPr>
          <w:rStyle w:val="lev"/>
          <w:b/>
          <w:bCs/>
        </w:rPr>
        <w:t>5.1.2 Exemple</w:t>
      </w:r>
      <w:r>
        <w:t>.</w:t>
      </w:r>
    </w:p>
    <w:p w:rsidR="00342AC1" w:rsidRDefault="00342AC1" w:rsidP="00342AC1">
      <w:pPr>
        <w:pStyle w:val="NormalWeb"/>
        <w:jc w:val="both"/>
      </w:pPr>
      <w:r>
        <w:t xml:space="preserve">On considère une réaction chimique dont le rendement dépend de deux facteurs, la température et la pression. Le technicien décide d'effectuer un plan d'expérience avec le domaine expérimental suivant :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665"/>
        <w:gridCol w:w="1550"/>
        <w:gridCol w:w="1654"/>
      </w:tblGrid>
      <w:tr w:rsidR="00342AC1" w:rsidTr="00E13877">
        <w:trPr>
          <w:tblCellSpacing w:w="15" w:type="dxa"/>
          <w:jc w:val="center"/>
        </w:trPr>
        <w:tc>
          <w:tcPr>
            <w:tcW w:w="0" w:type="auto"/>
            <w:tcBorders>
              <w:top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Niveau bas : -1</w:t>
            </w:r>
          </w:p>
        </w:tc>
        <w:tc>
          <w:tcPr>
            <w:tcW w:w="0" w:type="auto"/>
            <w:tcBorders>
              <w:top w:val="outset" w:sz="6" w:space="0" w:color="auto"/>
              <w:left w:val="outset" w:sz="6" w:space="0" w:color="auto"/>
              <w:bottom w:val="outset" w:sz="6" w:space="0" w:color="auto"/>
            </w:tcBorders>
          </w:tcPr>
          <w:p w:rsidR="00342AC1" w:rsidRDefault="00342AC1" w:rsidP="00E13877">
            <w:pPr>
              <w:jc w:val="both"/>
            </w:pPr>
            <w:r>
              <w:t>Niveau haut :+1</w:t>
            </w:r>
          </w:p>
        </w:tc>
      </w:tr>
      <w:tr w:rsidR="00342AC1" w:rsidTr="00E13877">
        <w:trPr>
          <w:tblCellSpacing w:w="15" w:type="dxa"/>
          <w:jc w:val="center"/>
        </w:trPr>
        <w:tc>
          <w:tcPr>
            <w:tcW w:w="0" w:type="auto"/>
            <w:tcBorders>
              <w:top w:val="outset" w:sz="6" w:space="0" w:color="auto"/>
              <w:bottom w:val="outset" w:sz="6" w:space="0" w:color="auto"/>
              <w:right w:val="outset" w:sz="6" w:space="0" w:color="auto"/>
            </w:tcBorders>
          </w:tcPr>
          <w:p w:rsidR="00342AC1" w:rsidRDefault="00342AC1" w:rsidP="00E13877">
            <w:pPr>
              <w:jc w:val="both"/>
            </w:pPr>
            <w:r>
              <w:t>Température : T</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60</w:t>
            </w:r>
            <w:r>
              <w:rPr>
                <w:vertAlign w:val="superscript"/>
              </w:rPr>
              <w:t>o</w:t>
            </w:r>
            <w:r>
              <w:t xml:space="preserve">C </w:t>
            </w:r>
          </w:p>
        </w:tc>
        <w:tc>
          <w:tcPr>
            <w:tcW w:w="0" w:type="auto"/>
            <w:tcBorders>
              <w:top w:val="outset" w:sz="6" w:space="0" w:color="auto"/>
              <w:left w:val="outset" w:sz="6" w:space="0" w:color="auto"/>
              <w:bottom w:val="outset" w:sz="6" w:space="0" w:color="auto"/>
            </w:tcBorders>
          </w:tcPr>
          <w:p w:rsidR="00342AC1" w:rsidRDefault="00342AC1" w:rsidP="00E13877">
            <w:pPr>
              <w:jc w:val="both"/>
            </w:pPr>
            <w:r>
              <w:t>80</w:t>
            </w:r>
            <w:r>
              <w:rPr>
                <w:vertAlign w:val="superscript"/>
              </w:rPr>
              <w:t>o</w:t>
            </w:r>
            <w:r>
              <w:t xml:space="preserve">C </w:t>
            </w:r>
          </w:p>
        </w:tc>
      </w:tr>
      <w:tr w:rsidR="00342AC1" w:rsidTr="00E13877">
        <w:trPr>
          <w:tblCellSpacing w:w="15" w:type="dxa"/>
          <w:jc w:val="center"/>
        </w:trPr>
        <w:tc>
          <w:tcPr>
            <w:tcW w:w="0" w:type="auto"/>
            <w:tcBorders>
              <w:top w:val="outset" w:sz="6" w:space="0" w:color="auto"/>
              <w:bottom w:val="outset" w:sz="6" w:space="0" w:color="auto"/>
              <w:right w:val="outset" w:sz="6" w:space="0" w:color="auto"/>
            </w:tcBorders>
          </w:tcPr>
          <w:p w:rsidR="00342AC1" w:rsidRDefault="00342AC1" w:rsidP="00E13877">
            <w:pPr>
              <w:jc w:val="both"/>
            </w:pPr>
            <w:r>
              <w:t xml:space="preserve">Pression : P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bar </w:t>
            </w:r>
          </w:p>
        </w:tc>
        <w:tc>
          <w:tcPr>
            <w:tcW w:w="0" w:type="auto"/>
            <w:tcBorders>
              <w:top w:val="outset" w:sz="6" w:space="0" w:color="auto"/>
              <w:left w:val="outset" w:sz="6" w:space="0" w:color="auto"/>
              <w:bottom w:val="outset" w:sz="6" w:space="0" w:color="auto"/>
            </w:tcBorders>
          </w:tcPr>
          <w:p w:rsidR="00342AC1" w:rsidRDefault="00342AC1" w:rsidP="00E13877">
            <w:pPr>
              <w:jc w:val="both"/>
            </w:pPr>
            <w:r>
              <w:t xml:space="preserve">2 bars </w:t>
            </w:r>
          </w:p>
        </w:tc>
      </w:tr>
    </w:tbl>
    <w:p w:rsidR="00342AC1" w:rsidRDefault="00342AC1" w:rsidP="00342AC1">
      <w:pPr>
        <w:pStyle w:val="NormalWeb"/>
        <w:jc w:val="both"/>
      </w:pPr>
      <w:r>
        <w:t xml:space="preserve">La réponse Y étudiée, rendement de l'expérience, est donnée par le tableau suivant : </w:t>
      </w:r>
    </w:p>
    <w:tbl>
      <w:tblPr>
        <w:tblW w:w="5000" w:type="pct"/>
        <w:tblCellSpacing w:w="112" w:type="dxa"/>
        <w:tblCellMar>
          <w:left w:w="0" w:type="dxa"/>
          <w:right w:w="0" w:type="dxa"/>
        </w:tblCellMar>
        <w:tblLook w:val="0000"/>
      </w:tblPr>
      <w:tblGrid>
        <w:gridCol w:w="9854"/>
      </w:tblGrid>
      <w:tr w:rsidR="00342AC1" w:rsidTr="00E13877">
        <w:trPr>
          <w:tblCellSpacing w:w="112" w:type="dxa"/>
        </w:trPr>
        <w:tc>
          <w:tcPr>
            <w:tcW w:w="0" w:type="auto"/>
            <w:vAlign w:val="center"/>
          </w:tcPr>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92"/>
              <w:gridCol w:w="346"/>
              <w:gridCol w:w="346"/>
              <w:gridCol w:w="150"/>
              <w:gridCol w:w="1005"/>
            </w:tblGrid>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proofErr w:type="spellStart"/>
                  <w:r>
                    <w:t>Exp</w:t>
                  </w:r>
                  <w:proofErr w:type="spellEnd"/>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P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Y (Rend)</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60</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2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65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3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75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85 </w:t>
                  </w:r>
                </w:p>
              </w:tc>
            </w:tr>
          </w:tbl>
          <w:p w:rsidR="00342AC1" w:rsidRDefault="00342AC1" w:rsidP="00E13877">
            <w:pPr>
              <w:jc w:val="both"/>
            </w:pPr>
          </w:p>
        </w:tc>
      </w:tr>
    </w:tbl>
    <w:p w:rsidR="00342AC1" w:rsidRDefault="00342AC1" w:rsidP="00342AC1">
      <w:pPr>
        <w:pStyle w:val="NormalWeb"/>
        <w:jc w:val="both"/>
      </w:pPr>
      <w:r>
        <w:t xml:space="preserve">Déterminons une estimation ponctuelle des effets de chacune des variables. </w:t>
      </w:r>
    </w:p>
    <w:tbl>
      <w:tblPr>
        <w:tblW w:w="5000" w:type="pct"/>
        <w:tblCellSpacing w:w="112" w:type="dxa"/>
        <w:tblCellMar>
          <w:left w:w="0" w:type="dxa"/>
          <w:right w:w="0" w:type="dxa"/>
        </w:tblCellMar>
        <w:tblLook w:val="0000"/>
      </w:tblPr>
      <w:tblGrid>
        <w:gridCol w:w="9854"/>
      </w:tblGrid>
      <w:tr w:rsidR="00342AC1" w:rsidTr="00E13877">
        <w:trPr>
          <w:tblCellSpacing w:w="112" w:type="dxa"/>
        </w:trPr>
        <w:tc>
          <w:tcPr>
            <w:tcW w:w="0" w:type="auto"/>
            <w:vAlign w:val="center"/>
          </w:tcPr>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32"/>
              <w:gridCol w:w="1072"/>
              <w:gridCol w:w="952"/>
              <w:gridCol w:w="952"/>
              <w:gridCol w:w="699"/>
            </w:tblGrid>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proofErr w:type="spellStart"/>
                  <w:r>
                    <w:t>Exp</w:t>
                  </w:r>
                  <w:proofErr w:type="spellEnd"/>
                  <w:r>
                    <w:t xml:space="preserve">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proofErr w:type="spellStart"/>
                  <w:r>
                    <w:t>Moy</w:t>
                  </w:r>
                  <w:proofErr w:type="spellEnd"/>
                  <w:r>
                    <w:t xml:space="preserve">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P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Y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60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2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65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3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75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85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Diviseur</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Effets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a</w:t>
                  </w:r>
                  <w:r>
                    <w:rPr>
                      <w:vertAlign w:val="subscript"/>
                    </w:rPr>
                    <w:t>0</w:t>
                  </w:r>
                  <w:r>
                    <w:t xml:space="preserve"> = 71,25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a</w:t>
                  </w:r>
                  <w:r>
                    <w:rPr>
                      <w:vertAlign w:val="subscript"/>
                    </w:rPr>
                    <w:t>1</w:t>
                  </w:r>
                  <w:r>
                    <w:t xml:space="preserve"> = 3,75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a</w:t>
                  </w:r>
                  <w:r>
                    <w:rPr>
                      <w:vertAlign w:val="subscript"/>
                    </w:rPr>
                    <w:t>2</w:t>
                  </w:r>
                  <w:r>
                    <w:t xml:space="preserve"> = 8,75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w:t>
                  </w:r>
                </w:p>
              </w:tc>
            </w:tr>
          </w:tbl>
          <w:p w:rsidR="00342AC1" w:rsidRDefault="00342AC1" w:rsidP="00E13877">
            <w:pPr>
              <w:jc w:val="both"/>
            </w:pPr>
          </w:p>
        </w:tc>
      </w:tr>
    </w:tbl>
    <w:p w:rsidR="00342AC1" w:rsidRDefault="00342AC1" w:rsidP="00342AC1">
      <w:pPr>
        <w:pStyle w:val="NormalWeb"/>
        <w:jc w:val="both"/>
      </w:pPr>
      <w:r>
        <w:t xml:space="preserve">le modèle s'écrit : </w:t>
      </w:r>
    </w:p>
    <w:tbl>
      <w:tblPr>
        <w:tblW w:w="5000" w:type="pct"/>
        <w:tblCellSpacing w:w="112" w:type="dxa"/>
        <w:tblCellMar>
          <w:left w:w="0" w:type="dxa"/>
          <w:right w:w="0" w:type="dxa"/>
        </w:tblCellMar>
        <w:tblLook w:val="0000"/>
      </w:tblPr>
      <w:tblGrid>
        <w:gridCol w:w="9854"/>
      </w:tblGrid>
      <w:tr w:rsidR="00342AC1" w:rsidTr="00E13877">
        <w:trPr>
          <w:tblCellSpacing w:w="112" w:type="dxa"/>
        </w:trPr>
        <w:tc>
          <w:tcPr>
            <w:tcW w:w="0" w:type="auto"/>
            <w:vAlign w:val="center"/>
          </w:tcPr>
          <w:p w:rsidR="00342AC1" w:rsidRDefault="00342AC1" w:rsidP="00E13877">
            <w:pPr>
              <w:pStyle w:val="NormalWeb"/>
              <w:jc w:val="both"/>
            </w:pPr>
            <w:r>
              <w:t>Y = 71, 25 + 3, 75T + 8, 75P</w:t>
            </w:r>
          </w:p>
        </w:tc>
      </w:tr>
    </w:tbl>
    <w:p w:rsidR="00342AC1" w:rsidRDefault="00342AC1" w:rsidP="00342AC1">
      <w:pPr>
        <w:pStyle w:val="NormalWeb"/>
        <w:jc w:val="both"/>
      </w:pPr>
      <w:r>
        <w:rPr>
          <w:rStyle w:val="lev"/>
        </w:rPr>
        <w:t>Test de signification des coefficients</w:t>
      </w:r>
      <w:r>
        <w:t xml:space="preserve"> : </w:t>
      </w:r>
    </w:p>
    <w:tbl>
      <w:tblPr>
        <w:tblW w:w="5000" w:type="pct"/>
        <w:tblCellSpacing w:w="112" w:type="dxa"/>
        <w:tblCellMar>
          <w:left w:w="0" w:type="dxa"/>
          <w:right w:w="0" w:type="dxa"/>
        </w:tblCellMar>
        <w:tblLook w:val="0000"/>
      </w:tblPr>
      <w:tblGrid>
        <w:gridCol w:w="9854"/>
      </w:tblGrid>
      <w:tr w:rsidR="00342AC1" w:rsidTr="00E13877">
        <w:trPr>
          <w:tblCellSpacing w:w="112" w:type="dxa"/>
        </w:trPr>
        <w:tc>
          <w:tcPr>
            <w:tcW w:w="0" w:type="auto"/>
            <w:vAlign w:val="center"/>
          </w:tcPr>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92"/>
              <w:gridCol w:w="544"/>
              <w:gridCol w:w="346"/>
              <w:gridCol w:w="346"/>
              <w:gridCol w:w="684"/>
              <w:gridCol w:w="630"/>
              <w:gridCol w:w="590"/>
              <w:gridCol w:w="765"/>
            </w:tblGrid>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proofErr w:type="spellStart"/>
                  <w:r>
                    <w:t>Exp</w:t>
                  </w:r>
                  <w:proofErr w:type="spellEnd"/>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proofErr w:type="spellStart"/>
                  <w:r>
                    <w:t>Moy</w:t>
                  </w:r>
                  <w:proofErr w:type="spellEnd"/>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T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P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Y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proofErr w:type="spellStart"/>
                  <w:r>
                    <w:t>Yest</w:t>
                  </w:r>
                  <w:proofErr w:type="spellEnd"/>
                  <w:r>
                    <w:t xml:space="preserve">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proofErr w:type="spellStart"/>
                  <w:r>
                    <w:t>e</w:t>
                  </w:r>
                  <w:r>
                    <w:rPr>
                      <w:vertAlign w:val="subscript"/>
                    </w:rPr>
                    <w:t>i</w:t>
                  </w:r>
                  <w:proofErr w:type="spellEnd"/>
                  <w:r>
                    <w:t xml:space="preserve">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e</w:t>
                  </w:r>
                  <w:r>
                    <w:rPr>
                      <w:vertAlign w:val="subscript"/>
                    </w:rPr>
                    <w:t>i</w:t>
                  </w:r>
                  <w:r>
                    <w:rPr>
                      <w:vertAlign w:val="superscript"/>
                    </w:rPr>
                    <w:t>2</w:t>
                  </w:r>
                  <w:r>
                    <w:t xml:space="preserve"> </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60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58,75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1,25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1,5625</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2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65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66,25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-1,25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1,5625</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3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75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76,25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-1,25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1,5625</w:t>
                  </w:r>
                </w:p>
              </w:tc>
            </w:tr>
            <w:tr w:rsidR="00342AC1" w:rsidTr="00E138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4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85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83,75</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 xml:space="preserve">1,25 </w:t>
                  </w:r>
                </w:p>
              </w:tc>
              <w:tc>
                <w:tcPr>
                  <w:tcW w:w="0" w:type="auto"/>
                  <w:tcBorders>
                    <w:top w:val="outset" w:sz="6" w:space="0" w:color="auto"/>
                    <w:left w:val="outset" w:sz="6" w:space="0" w:color="auto"/>
                    <w:bottom w:val="outset" w:sz="6" w:space="0" w:color="auto"/>
                    <w:right w:val="outset" w:sz="6" w:space="0" w:color="auto"/>
                  </w:tcBorders>
                </w:tcPr>
                <w:p w:rsidR="00342AC1" w:rsidRDefault="00342AC1" w:rsidP="00E13877">
                  <w:pPr>
                    <w:jc w:val="both"/>
                  </w:pPr>
                  <w:r>
                    <w:t>1,5625</w:t>
                  </w:r>
                </w:p>
              </w:tc>
            </w:tr>
          </w:tbl>
          <w:p w:rsidR="00342AC1" w:rsidRDefault="00342AC1" w:rsidP="00E13877">
            <w:pPr>
              <w:jc w:val="both"/>
            </w:pPr>
          </w:p>
        </w:tc>
      </w:tr>
    </w:tbl>
    <w:p w:rsidR="00342AC1" w:rsidRDefault="00342AC1" w:rsidP="00342AC1">
      <w:pPr>
        <w:pStyle w:val="NormalWeb"/>
        <w:jc w:val="both"/>
      </w:pPr>
      <w:r>
        <w:t>On cherche à tester la non influence d'une variable sur la réponse. On choisit un risque de 5 %.</w:t>
      </w:r>
    </w:p>
    <w:p w:rsidR="00342AC1" w:rsidRDefault="00342AC1" w:rsidP="00342AC1">
      <w:pPr>
        <w:pStyle w:val="NormalWeb"/>
        <w:jc w:val="both"/>
      </w:pPr>
      <w:r>
        <w:t xml:space="preserve">La variance des résidus est : </w:t>
      </w:r>
    </w:p>
    <w:tbl>
      <w:tblPr>
        <w:tblW w:w="0" w:type="auto"/>
        <w:jc w:val="center"/>
        <w:tblCellSpacing w:w="15" w:type="dxa"/>
        <w:tblCellMar>
          <w:top w:w="15" w:type="dxa"/>
          <w:left w:w="15" w:type="dxa"/>
          <w:bottom w:w="15" w:type="dxa"/>
          <w:right w:w="15" w:type="dxa"/>
        </w:tblCellMar>
        <w:tblLook w:val="0000"/>
      </w:tblPr>
      <w:tblGrid>
        <w:gridCol w:w="241"/>
        <w:gridCol w:w="196"/>
        <w:gridCol w:w="500"/>
        <w:gridCol w:w="345"/>
        <w:gridCol w:w="974"/>
      </w:tblGrid>
      <w:tr w:rsidR="00342AC1" w:rsidTr="00E13877">
        <w:trPr>
          <w:tblCellSpacing w:w="15" w:type="dxa"/>
          <w:jc w:val="center"/>
        </w:trPr>
        <w:tc>
          <w:tcPr>
            <w:tcW w:w="0" w:type="auto"/>
            <w:vMerge w:val="restart"/>
            <w:vAlign w:val="center"/>
          </w:tcPr>
          <w:p w:rsidR="00342AC1" w:rsidRDefault="00342AC1" w:rsidP="00E13877">
            <w:pPr>
              <w:jc w:val="both"/>
            </w:pPr>
            <w:r>
              <w:t>s²</w:t>
            </w:r>
          </w:p>
        </w:tc>
        <w:tc>
          <w:tcPr>
            <w:tcW w:w="0" w:type="auto"/>
            <w:vMerge w:val="restart"/>
            <w:vAlign w:val="center"/>
          </w:tcPr>
          <w:p w:rsidR="00342AC1" w:rsidRDefault="00342AC1" w:rsidP="00E13877">
            <w:pPr>
              <w:jc w:val="both"/>
            </w:pPr>
            <w:r>
              <w:t>=</w:t>
            </w:r>
          </w:p>
        </w:tc>
        <w:tc>
          <w:tcPr>
            <w:tcW w:w="0" w:type="auto"/>
            <w:vAlign w:val="center"/>
          </w:tcPr>
          <w:p w:rsidR="00342AC1" w:rsidRDefault="00342AC1" w:rsidP="00E13877">
            <w:pPr>
              <w:pStyle w:val="NormalWeb"/>
              <w:pBdr>
                <w:bottom w:val="single" w:sz="24" w:space="0" w:color="auto"/>
              </w:pBdr>
              <w:jc w:val="both"/>
            </w:pPr>
            <w:r>
              <w:t>1</w:t>
            </w:r>
          </w:p>
        </w:tc>
        <w:tc>
          <w:tcPr>
            <w:tcW w:w="0" w:type="auto"/>
            <w:vMerge w:val="restart"/>
            <w:vAlign w:val="center"/>
          </w:tcPr>
          <w:p w:rsidR="00342AC1" w:rsidRDefault="00342AC1" w:rsidP="00E13877">
            <w:pPr>
              <w:jc w:val="both"/>
            </w:pPr>
            <w:r>
              <w:rPr>
                <w:rFonts w:ascii="Symbol" w:hAnsi="Symbol" w:cs="Symbol"/>
                <w:sz w:val="48"/>
                <w:szCs w:val="48"/>
              </w:rPr>
              <w:t></w:t>
            </w:r>
          </w:p>
        </w:tc>
        <w:tc>
          <w:tcPr>
            <w:tcW w:w="0" w:type="auto"/>
            <w:vMerge w:val="restart"/>
            <w:vAlign w:val="center"/>
          </w:tcPr>
          <w:p w:rsidR="00342AC1" w:rsidRDefault="00342AC1" w:rsidP="00E13877">
            <w:pPr>
              <w:jc w:val="both"/>
            </w:pPr>
            <w:r>
              <w:t>e</w:t>
            </w:r>
            <w:r>
              <w:rPr>
                <w:vertAlign w:val="subscript"/>
              </w:rPr>
              <w:t>i</w:t>
            </w:r>
            <w:r>
              <w:t>² = 6,25</w:t>
            </w:r>
          </w:p>
        </w:tc>
      </w:tr>
      <w:tr w:rsidR="00342AC1" w:rsidTr="00E13877">
        <w:trPr>
          <w:tblCellSpacing w:w="15" w:type="dxa"/>
          <w:jc w:val="center"/>
        </w:trPr>
        <w:tc>
          <w:tcPr>
            <w:tcW w:w="0" w:type="auto"/>
            <w:vMerge/>
            <w:vAlign w:val="center"/>
          </w:tcPr>
          <w:p w:rsidR="00342AC1" w:rsidRDefault="00342AC1" w:rsidP="00E13877">
            <w:pPr>
              <w:jc w:val="both"/>
            </w:pPr>
          </w:p>
        </w:tc>
        <w:tc>
          <w:tcPr>
            <w:tcW w:w="0" w:type="auto"/>
            <w:vMerge/>
            <w:vAlign w:val="center"/>
          </w:tcPr>
          <w:p w:rsidR="00342AC1" w:rsidRDefault="00342AC1" w:rsidP="00E13877">
            <w:pPr>
              <w:jc w:val="both"/>
            </w:pPr>
          </w:p>
        </w:tc>
        <w:tc>
          <w:tcPr>
            <w:tcW w:w="0" w:type="auto"/>
            <w:vAlign w:val="center"/>
          </w:tcPr>
          <w:p w:rsidR="00342AC1" w:rsidRDefault="00342AC1" w:rsidP="00E13877">
            <w:pPr>
              <w:jc w:val="both"/>
            </w:pPr>
            <w:r>
              <w:t>4 - 3</w:t>
            </w:r>
          </w:p>
        </w:tc>
        <w:tc>
          <w:tcPr>
            <w:tcW w:w="0" w:type="auto"/>
            <w:vMerge/>
            <w:vAlign w:val="center"/>
          </w:tcPr>
          <w:p w:rsidR="00342AC1" w:rsidRDefault="00342AC1" w:rsidP="00E13877">
            <w:pPr>
              <w:jc w:val="both"/>
            </w:pPr>
          </w:p>
        </w:tc>
        <w:tc>
          <w:tcPr>
            <w:tcW w:w="0" w:type="auto"/>
            <w:vMerge/>
            <w:vAlign w:val="center"/>
          </w:tcPr>
          <w:p w:rsidR="00342AC1" w:rsidRDefault="00342AC1" w:rsidP="00E13877">
            <w:pPr>
              <w:jc w:val="both"/>
            </w:pPr>
          </w:p>
        </w:tc>
      </w:tr>
    </w:tbl>
    <w:p w:rsidR="00342AC1" w:rsidRDefault="00342AC1" w:rsidP="00342AC1">
      <w:pPr>
        <w:pStyle w:val="NormalWeb"/>
        <w:jc w:val="both"/>
      </w:pPr>
      <w:r>
        <w:t xml:space="preserve">La variance commune des estimateurs des coefficients du modèle est : </w:t>
      </w:r>
    </w:p>
    <w:tbl>
      <w:tblPr>
        <w:tblW w:w="0" w:type="auto"/>
        <w:jc w:val="center"/>
        <w:tblCellSpacing w:w="15" w:type="dxa"/>
        <w:tblCellMar>
          <w:top w:w="15" w:type="dxa"/>
          <w:left w:w="15" w:type="dxa"/>
          <w:bottom w:w="15" w:type="dxa"/>
          <w:right w:w="15" w:type="dxa"/>
        </w:tblCellMar>
        <w:tblLook w:val="0000"/>
      </w:tblPr>
      <w:tblGrid>
        <w:gridCol w:w="285"/>
        <w:gridCol w:w="196"/>
        <w:gridCol w:w="226"/>
        <w:gridCol w:w="196"/>
        <w:gridCol w:w="480"/>
        <w:gridCol w:w="931"/>
      </w:tblGrid>
      <w:tr w:rsidR="00342AC1" w:rsidTr="00E13877">
        <w:trPr>
          <w:tblCellSpacing w:w="15" w:type="dxa"/>
          <w:jc w:val="center"/>
        </w:trPr>
        <w:tc>
          <w:tcPr>
            <w:tcW w:w="0" w:type="auto"/>
            <w:vMerge w:val="restart"/>
            <w:vAlign w:val="center"/>
          </w:tcPr>
          <w:p w:rsidR="00342AC1" w:rsidRDefault="00342AC1" w:rsidP="00E13877">
            <w:pPr>
              <w:jc w:val="both"/>
            </w:pPr>
            <w:r>
              <w:t>s</w:t>
            </w:r>
            <w:r>
              <w:rPr>
                <w:vertAlign w:val="subscript"/>
              </w:rPr>
              <w:t>i</w:t>
            </w:r>
            <w:r>
              <w:t>²</w:t>
            </w:r>
          </w:p>
        </w:tc>
        <w:tc>
          <w:tcPr>
            <w:tcW w:w="0" w:type="auto"/>
            <w:vMerge w:val="restart"/>
            <w:vAlign w:val="center"/>
          </w:tcPr>
          <w:p w:rsidR="00342AC1" w:rsidRDefault="00342AC1" w:rsidP="00E13877">
            <w:pPr>
              <w:jc w:val="both"/>
            </w:pPr>
            <w:r>
              <w:t xml:space="preserve">= </w:t>
            </w:r>
          </w:p>
        </w:tc>
        <w:tc>
          <w:tcPr>
            <w:tcW w:w="0" w:type="auto"/>
            <w:vAlign w:val="center"/>
          </w:tcPr>
          <w:p w:rsidR="00342AC1" w:rsidRDefault="00342AC1" w:rsidP="00E13877">
            <w:pPr>
              <w:pStyle w:val="NormalWeb"/>
              <w:pBdr>
                <w:bottom w:val="single" w:sz="24" w:space="0" w:color="auto"/>
              </w:pBdr>
              <w:jc w:val="both"/>
            </w:pPr>
            <w:r>
              <w:t>s²</w:t>
            </w:r>
          </w:p>
        </w:tc>
        <w:tc>
          <w:tcPr>
            <w:tcW w:w="0" w:type="auto"/>
            <w:vMerge w:val="restart"/>
            <w:vAlign w:val="center"/>
          </w:tcPr>
          <w:p w:rsidR="00342AC1" w:rsidRDefault="00342AC1" w:rsidP="00E13877">
            <w:pPr>
              <w:jc w:val="both"/>
            </w:pPr>
            <w:r>
              <w:t xml:space="preserve">= </w:t>
            </w:r>
          </w:p>
        </w:tc>
        <w:tc>
          <w:tcPr>
            <w:tcW w:w="0" w:type="auto"/>
            <w:vAlign w:val="center"/>
          </w:tcPr>
          <w:p w:rsidR="00342AC1" w:rsidRDefault="00342AC1" w:rsidP="00E13877">
            <w:pPr>
              <w:pStyle w:val="NormalWeb"/>
              <w:pBdr>
                <w:bottom w:val="single" w:sz="24" w:space="0" w:color="auto"/>
              </w:pBdr>
              <w:jc w:val="both"/>
            </w:pPr>
            <w:r>
              <w:t>6,25</w:t>
            </w:r>
          </w:p>
        </w:tc>
        <w:tc>
          <w:tcPr>
            <w:tcW w:w="0" w:type="auto"/>
            <w:vMerge w:val="restart"/>
            <w:vAlign w:val="center"/>
          </w:tcPr>
          <w:p w:rsidR="00342AC1" w:rsidRDefault="00342AC1" w:rsidP="00E13877">
            <w:pPr>
              <w:jc w:val="both"/>
            </w:pPr>
            <w:r>
              <w:t>= 1,5625</w:t>
            </w:r>
          </w:p>
        </w:tc>
      </w:tr>
      <w:tr w:rsidR="00342AC1" w:rsidTr="00E13877">
        <w:trPr>
          <w:tblCellSpacing w:w="15" w:type="dxa"/>
          <w:jc w:val="center"/>
        </w:trPr>
        <w:tc>
          <w:tcPr>
            <w:tcW w:w="0" w:type="auto"/>
            <w:vMerge/>
            <w:vAlign w:val="center"/>
          </w:tcPr>
          <w:p w:rsidR="00342AC1" w:rsidRDefault="00342AC1" w:rsidP="00E13877">
            <w:pPr>
              <w:jc w:val="both"/>
            </w:pPr>
          </w:p>
        </w:tc>
        <w:tc>
          <w:tcPr>
            <w:tcW w:w="0" w:type="auto"/>
            <w:vMerge/>
            <w:vAlign w:val="center"/>
          </w:tcPr>
          <w:p w:rsidR="00342AC1" w:rsidRDefault="00342AC1" w:rsidP="00E13877">
            <w:pPr>
              <w:jc w:val="both"/>
            </w:pPr>
          </w:p>
        </w:tc>
        <w:tc>
          <w:tcPr>
            <w:tcW w:w="0" w:type="auto"/>
            <w:vAlign w:val="center"/>
          </w:tcPr>
          <w:p w:rsidR="00342AC1" w:rsidRDefault="00342AC1" w:rsidP="00E13877">
            <w:pPr>
              <w:jc w:val="both"/>
            </w:pPr>
            <w:r>
              <w:t xml:space="preserve">n </w:t>
            </w:r>
          </w:p>
        </w:tc>
        <w:tc>
          <w:tcPr>
            <w:tcW w:w="0" w:type="auto"/>
            <w:vMerge/>
            <w:vAlign w:val="center"/>
          </w:tcPr>
          <w:p w:rsidR="00342AC1" w:rsidRDefault="00342AC1" w:rsidP="00E13877">
            <w:pPr>
              <w:jc w:val="both"/>
            </w:pPr>
          </w:p>
        </w:tc>
        <w:tc>
          <w:tcPr>
            <w:tcW w:w="0" w:type="auto"/>
            <w:vAlign w:val="center"/>
          </w:tcPr>
          <w:p w:rsidR="00342AC1" w:rsidRDefault="00342AC1" w:rsidP="00E13877">
            <w:pPr>
              <w:pStyle w:val="NormalWeb"/>
              <w:jc w:val="both"/>
            </w:pPr>
            <w:r>
              <w:t>2</w:t>
            </w:r>
          </w:p>
        </w:tc>
        <w:tc>
          <w:tcPr>
            <w:tcW w:w="0" w:type="auto"/>
            <w:vMerge/>
            <w:vAlign w:val="center"/>
          </w:tcPr>
          <w:p w:rsidR="00342AC1" w:rsidRDefault="00342AC1" w:rsidP="00E13877">
            <w:pPr>
              <w:jc w:val="both"/>
            </w:pPr>
          </w:p>
        </w:tc>
      </w:tr>
    </w:tbl>
    <w:p w:rsidR="00342AC1" w:rsidRDefault="00342AC1" w:rsidP="00342AC1">
      <w:pPr>
        <w:pStyle w:val="NormalWeb"/>
        <w:jc w:val="both"/>
      </w:pPr>
      <w:r>
        <w:t xml:space="preserve">La statistique &lt;&lt; t&gt;&gt; de </w:t>
      </w:r>
      <w:proofErr w:type="spellStart"/>
      <w:r>
        <w:t>Student</w:t>
      </w:r>
      <w:proofErr w:type="spellEnd"/>
      <w:r>
        <w:t xml:space="preserve"> associé vaut : </w:t>
      </w:r>
    </w:p>
    <w:tbl>
      <w:tblPr>
        <w:tblW w:w="0" w:type="auto"/>
        <w:jc w:val="center"/>
        <w:tblCellSpacing w:w="15" w:type="dxa"/>
        <w:tblCellMar>
          <w:top w:w="15" w:type="dxa"/>
          <w:left w:w="15" w:type="dxa"/>
          <w:bottom w:w="15" w:type="dxa"/>
          <w:right w:w="15" w:type="dxa"/>
        </w:tblCellMar>
        <w:tblLook w:val="0000"/>
      </w:tblPr>
      <w:tblGrid>
        <w:gridCol w:w="518"/>
        <w:gridCol w:w="323"/>
      </w:tblGrid>
      <w:tr w:rsidR="00342AC1" w:rsidTr="00E13877">
        <w:trPr>
          <w:tblCellSpacing w:w="15" w:type="dxa"/>
          <w:jc w:val="center"/>
        </w:trPr>
        <w:tc>
          <w:tcPr>
            <w:tcW w:w="3150" w:type="pct"/>
            <w:vMerge w:val="restart"/>
            <w:vAlign w:val="center"/>
          </w:tcPr>
          <w:p w:rsidR="00342AC1" w:rsidRDefault="00342AC1" w:rsidP="00E13877">
            <w:pPr>
              <w:jc w:val="both"/>
            </w:pPr>
            <w:r>
              <w:t>t</w:t>
            </w:r>
            <w:r>
              <w:rPr>
                <w:vertAlign w:val="subscript"/>
              </w:rPr>
              <w:t>i</w:t>
            </w:r>
            <w:r>
              <w:t xml:space="preserve"> =</w:t>
            </w:r>
          </w:p>
        </w:tc>
        <w:tc>
          <w:tcPr>
            <w:tcW w:w="0" w:type="auto"/>
            <w:vAlign w:val="center"/>
          </w:tcPr>
          <w:p w:rsidR="00342AC1" w:rsidRDefault="00342AC1" w:rsidP="00E13877">
            <w:pPr>
              <w:pStyle w:val="NormalWeb"/>
              <w:pBdr>
                <w:bottom w:val="single" w:sz="24" w:space="0" w:color="auto"/>
              </w:pBdr>
              <w:jc w:val="both"/>
            </w:pPr>
            <w:r>
              <w:t>|a</w:t>
            </w:r>
            <w:r>
              <w:rPr>
                <w:vertAlign w:val="subscript"/>
              </w:rPr>
              <w:t>i</w:t>
            </w:r>
            <w:r>
              <w:t>|</w:t>
            </w:r>
          </w:p>
        </w:tc>
      </w:tr>
      <w:tr w:rsidR="00342AC1" w:rsidTr="00E13877">
        <w:trPr>
          <w:tblCellSpacing w:w="15" w:type="dxa"/>
          <w:jc w:val="center"/>
        </w:trPr>
        <w:tc>
          <w:tcPr>
            <w:tcW w:w="0" w:type="auto"/>
            <w:vMerge/>
            <w:vAlign w:val="center"/>
          </w:tcPr>
          <w:p w:rsidR="00342AC1" w:rsidRDefault="00342AC1" w:rsidP="00E13877">
            <w:pPr>
              <w:jc w:val="both"/>
            </w:pPr>
          </w:p>
        </w:tc>
        <w:tc>
          <w:tcPr>
            <w:tcW w:w="0" w:type="auto"/>
            <w:vAlign w:val="center"/>
          </w:tcPr>
          <w:p w:rsidR="00342AC1" w:rsidRDefault="00342AC1" w:rsidP="00E13877">
            <w:pPr>
              <w:pStyle w:val="NormalWeb"/>
              <w:jc w:val="both"/>
            </w:pPr>
            <w:r>
              <w:t>s</w:t>
            </w:r>
            <w:r>
              <w:rPr>
                <w:vertAlign w:val="subscript"/>
              </w:rPr>
              <w:t>i</w:t>
            </w:r>
          </w:p>
        </w:tc>
      </w:tr>
    </w:tbl>
    <w:p w:rsidR="00342AC1" w:rsidRDefault="00342AC1" w:rsidP="00342AC1">
      <w:pPr>
        <w:pStyle w:val="NormalWeb"/>
        <w:jc w:val="both"/>
      </w:pPr>
      <w:r>
        <w:t> </w:t>
      </w:r>
    </w:p>
    <w:p w:rsidR="00342AC1" w:rsidRDefault="00342AC1" w:rsidP="00342AC1">
      <w:pPr>
        <w:pStyle w:val="NormalWeb"/>
        <w:jc w:val="both"/>
      </w:pPr>
      <w:r>
        <w:t xml:space="preserve">La </w:t>
      </w:r>
      <w:hyperlink r:id="rId4" w:history="1">
        <w:r>
          <w:rPr>
            <w:rStyle w:val="Lienhypertexte"/>
          </w:rPr>
          <w:t xml:space="preserve">table de </w:t>
        </w:r>
        <w:proofErr w:type="spellStart"/>
        <w:r>
          <w:rPr>
            <w:rStyle w:val="Lienhypertexte"/>
          </w:rPr>
          <w:t>Student</w:t>
        </w:r>
        <w:proofErr w:type="spellEnd"/>
      </w:hyperlink>
      <w:r>
        <w:t xml:space="preserve"> donne, pour un risque de 5 % avec </w:t>
      </w:r>
      <w:r>
        <w:rPr>
          <w:rFonts w:ascii="Symbol" w:hAnsi="Symbol" w:cs="Symbol"/>
        </w:rPr>
        <w:t></w:t>
      </w:r>
      <w:r>
        <w:t xml:space="preserve"> = n - p = 4-3 = 1 :</w:t>
      </w:r>
    </w:p>
    <w:p w:rsidR="00342AC1" w:rsidRDefault="00342AC1" w:rsidP="00342AC1">
      <w:pPr>
        <w:pStyle w:val="NormalWeb"/>
        <w:jc w:val="both"/>
      </w:pPr>
      <w:proofErr w:type="spellStart"/>
      <w:r>
        <w:t>t</w:t>
      </w:r>
      <w:r>
        <w:rPr>
          <w:vertAlign w:val="subscript"/>
        </w:rPr>
        <w:t>crit</w:t>
      </w:r>
      <w:proofErr w:type="spellEnd"/>
      <w:r>
        <w:t xml:space="preserve">(0,05 ; 1) = 12,71 </w:t>
      </w:r>
    </w:p>
    <w:p w:rsidR="00342AC1" w:rsidRDefault="00342AC1" w:rsidP="00342AC1">
      <w:pPr>
        <w:pStyle w:val="NormalWeb"/>
        <w:jc w:val="both"/>
      </w:pPr>
      <w:r>
        <w:t>Pour l'effet  a</w:t>
      </w:r>
      <w:r>
        <w:rPr>
          <w:vertAlign w:val="subscript"/>
        </w:rPr>
        <w:t>1</w:t>
      </w:r>
      <w:r>
        <w:t xml:space="preserve"> = 3, 75 de T on a t</w:t>
      </w:r>
      <w:r>
        <w:rPr>
          <w:vertAlign w:val="subscript"/>
        </w:rPr>
        <w:t>1</w:t>
      </w:r>
      <w:r>
        <w:t xml:space="preserve"> = 3  &lt; 12,71. On accepte H</w:t>
      </w:r>
      <w:r>
        <w:rPr>
          <w:vertAlign w:val="subscript"/>
        </w:rPr>
        <w:t>0</w:t>
      </w:r>
      <w:r>
        <w:t xml:space="preserve"> au risque de 5 % et l'effet de la température T n'est pas significatif. </w:t>
      </w:r>
    </w:p>
    <w:p w:rsidR="00342AC1" w:rsidRDefault="00342AC1" w:rsidP="00342AC1">
      <w:pPr>
        <w:pStyle w:val="NormalWeb"/>
        <w:jc w:val="both"/>
      </w:pPr>
      <w:r>
        <w:t>Pour l'effet  a</w:t>
      </w:r>
      <w:r>
        <w:rPr>
          <w:vertAlign w:val="subscript"/>
        </w:rPr>
        <w:t>2</w:t>
      </w:r>
      <w:r>
        <w:t xml:space="preserve"> = 8, 75 de P on a t</w:t>
      </w:r>
      <w:r>
        <w:rPr>
          <w:vertAlign w:val="subscript"/>
        </w:rPr>
        <w:t>2</w:t>
      </w:r>
      <w:r>
        <w:t xml:space="preserve"> = 7 &lt; 12,71. On accepte H</w:t>
      </w:r>
      <w:r>
        <w:rPr>
          <w:vertAlign w:val="subscript"/>
        </w:rPr>
        <w:t>0</w:t>
      </w:r>
      <w:r>
        <w:t xml:space="preserve"> au risque de 5 % et l'effet de la pression P n'est pas significatif.</w:t>
      </w:r>
    </w:p>
    <w:p w:rsidR="00342AC1" w:rsidRDefault="00342AC1" w:rsidP="00342AC1">
      <w:pPr>
        <w:pStyle w:val="NormalWeb"/>
        <w:jc w:val="both"/>
      </w:pPr>
      <w:r>
        <w:t>On peut donc considérer que les coefficients a</w:t>
      </w:r>
      <w:r>
        <w:rPr>
          <w:vertAlign w:val="subscript"/>
        </w:rPr>
        <w:t>1</w:t>
      </w:r>
      <w:r>
        <w:t xml:space="preserve"> et a</w:t>
      </w:r>
      <w:r>
        <w:rPr>
          <w:vertAlign w:val="subscript"/>
        </w:rPr>
        <w:t>2</w:t>
      </w:r>
      <w:r>
        <w:t xml:space="preserve"> ne sont   pas significativement différent de 0 ; leur valeur est probablement due à un &lt;&lt; bruit&gt;&gt;. </w:t>
      </w:r>
    </w:p>
    <w:p w:rsidR="00342AC1" w:rsidRDefault="00342AC1" w:rsidP="00342AC1">
      <w:pPr>
        <w:pStyle w:val="NormalWeb"/>
        <w:jc w:val="both"/>
      </w:pPr>
      <w:r>
        <w:t>La conclusion de cette étude est que l'on doit rejeter un modèle linéaire pour expliquer le rendement de cette réaction chimique. Il faudrait refaire une étude avec un modèle polynomial du second degré, ce qui sort du cadre de ce cours.</w:t>
      </w:r>
    </w:p>
    <w:p w:rsidR="006B4DD0" w:rsidRDefault="006B4DD0"/>
    <w:sectPr w:rsidR="006B4DD0" w:rsidSect="00600E2D">
      <w:pgSz w:w="12240" w:h="15840"/>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425"/>
  <w:characterSpacingControl w:val="doNotCompress"/>
  <w:savePreviewPicture/>
  <w:compat/>
  <w:rsids>
    <w:rsidRoot w:val="00342AC1"/>
    <w:rsid w:val="001562C2"/>
    <w:rsid w:val="00230814"/>
    <w:rsid w:val="0029517A"/>
    <w:rsid w:val="00342AC1"/>
    <w:rsid w:val="006B4DD0"/>
    <w:rsid w:val="00AE41A2"/>
    <w:rsid w:val="00DF33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C1"/>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342AC1"/>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42AC1"/>
    <w:rPr>
      <w:rFonts w:ascii="Times New Roman" w:eastAsia="Times New Roman" w:hAnsi="Times New Roman" w:cs="Times New Roman"/>
      <w:b/>
      <w:bCs/>
      <w:sz w:val="24"/>
      <w:szCs w:val="24"/>
      <w:lang w:eastAsia="fr-FR"/>
    </w:rPr>
  </w:style>
  <w:style w:type="paragraph" w:styleId="NormalWeb">
    <w:name w:val="Normal (Web)"/>
    <w:basedOn w:val="Normal"/>
    <w:uiPriority w:val="99"/>
    <w:rsid w:val="00342AC1"/>
    <w:pPr>
      <w:spacing w:before="100" w:beforeAutospacing="1" w:after="100" w:afterAutospacing="1"/>
    </w:pPr>
  </w:style>
  <w:style w:type="character" w:styleId="lev">
    <w:name w:val="Strong"/>
    <w:basedOn w:val="Policepardfaut"/>
    <w:uiPriority w:val="22"/>
    <w:qFormat/>
    <w:rsid w:val="00342AC1"/>
    <w:rPr>
      <w:rFonts w:cs="Times New Roman"/>
      <w:b/>
      <w:bCs/>
    </w:rPr>
  </w:style>
  <w:style w:type="character" w:styleId="Lienhypertexte">
    <w:name w:val="Hyperlink"/>
    <w:basedOn w:val="Policepardfaut"/>
    <w:uiPriority w:val="99"/>
    <w:rsid w:val="00342AC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cnet.education.fr/rnchimie/math/benichou/tables/tstudent/tstudent.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793</Words>
  <Characters>4362</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MAISON XP</cp:lastModifiedBy>
  <cp:revision>5</cp:revision>
  <dcterms:created xsi:type="dcterms:W3CDTF">2023-11-13T19:22:00Z</dcterms:created>
  <dcterms:modified xsi:type="dcterms:W3CDTF">2023-11-13T19:44:00Z</dcterms:modified>
</cp:coreProperties>
</file>