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C3" w:rsidRPr="00B03DCB" w:rsidRDefault="001A42C3" w:rsidP="001A42C3">
      <w:pPr>
        <w:shd w:val="clear" w:color="auto" w:fill="D9D9D9" w:themeFill="background1" w:themeFillShade="D9"/>
        <w:spacing w:before="60" w:after="60" w:line="276" w:lineRule="auto"/>
        <w:jc w:val="center"/>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 xml:space="preserve">المحاضرة </w:t>
      </w:r>
      <w:r>
        <w:rPr>
          <w:rFonts w:ascii="Simplified Arabic" w:hAnsi="Simplified Arabic" w:cs="Simplified Arabic" w:hint="cs"/>
          <w:b/>
          <w:bCs/>
          <w:sz w:val="28"/>
          <w:szCs w:val="28"/>
          <w:rtl/>
          <w:lang w:bidi="ar-DZ"/>
        </w:rPr>
        <w:t>6</w:t>
      </w:r>
      <w:r w:rsidRPr="00B03DCB">
        <w:rPr>
          <w:rFonts w:ascii="Simplified Arabic" w:hAnsi="Simplified Arabic" w:cs="Simplified Arabic"/>
          <w:b/>
          <w:bCs/>
          <w:sz w:val="28"/>
          <w:szCs w:val="28"/>
          <w:rtl/>
          <w:lang w:bidi="ar-DZ"/>
        </w:rPr>
        <w:t>: إعداد المدونات المرجعية للمهن والوظائف والكفاءات</w:t>
      </w:r>
    </w:p>
    <w:p w:rsidR="001A42C3" w:rsidRPr="00B03DCB" w:rsidRDefault="001A42C3" w:rsidP="001A42C3">
      <w:pPr>
        <w:spacing w:before="60" w:after="60" w:line="276" w:lineRule="auto"/>
        <w:jc w:val="right"/>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اولا مفاهيم حول المدونات المرجعية للوظائف والكفاءات</w:t>
      </w:r>
    </w:p>
    <w:p w:rsidR="001A42C3" w:rsidRPr="00B03DCB" w:rsidRDefault="001A42C3" w:rsidP="001A42C3">
      <w:pPr>
        <w:pStyle w:val="Paragraphedeliste"/>
        <w:numPr>
          <w:ilvl w:val="0"/>
          <w:numId w:val="17"/>
        </w:numPr>
        <w:tabs>
          <w:tab w:val="right" w:pos="226"/>
          <w:tab w:val="right" w:pos="368"/>
          <w:tab w:val="right" w:pos="425"/>
        </w:tabs>
        <w:bidi/>
        <w:spacing w:before="60" w:after="60" w:line="276" w:lineRule="auto"/>
        <w:ind w:left="0" w:firstLine="0"/>
        <w:contextualSpacing w:val="0"/>
        <w:jc w:val="both"/>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t xml:space="preserve">تعريف </w:t>
      </w:r>
      <w:r w:rsidRPr="00B03DCB">
        <w:rPr>
          <w:rFonts w:ascii="Simplified Arabic" w:hAnsi="Simplified Arabic" w:cs="Simplified Arabic"/>
          <w:b/>
          <w:bCs/>
          <w:sz w:val="28"/>
          <w:szCs w:val="28"/>
          <w:rtl/>
        </w:rPr>
        <w:t>المدونات المرجعية للوظائف والكفاءات</w:t>
      </w:r>
      <w:r w:rsidRPr="00B03DCB">
        <w:rPr>
          <w:rFonts w:ascii="Simplified Arabic" w:hAnsi="Simplified Arabic" w:cs="Simplified Arabic"/>
          <w:sz w:val="28"/>
          <w:szCs w:val="28"/>
          <w:rtl/>
        </w:rPr>
        <w:t xml:space="preserve"> </w:t>
      </w:r>
      <w:r w:rsidRPr="00B03DCB">
        <w:rPr>
          <w:rFonts w:ascii="Simplified Arabic" w:hAnsi="Simplified Arabic" w:cs="Simplified Arabic"/>
          <w:b/>
          <w:bCs/>
          <w:sz w:val="28"/>
          <w:szCs w:val="28"/>
          <w:rtl/>
          <w:lang w:bidi="ar-DZ"/>
        </w:rPr>
        <w:t xml:space="preserve">: </w:t>
      </w:r>
      <w:r w:rsidRPr="00B03DCB">
        <w:rPr>
          <w:rFonts w:ascii="Simplified Arabic" w:hAnsi="Simplified Arabic" w:cs="Simplified Arabic"/>
          <w:sz w:val="28"/>
          <w:szCs w:val="28"/>
          <w:rtl/>
        </w:rPr>
        <w:t xml:space="preserve">تعتبر المدونات المرجعية للوظائف والكفاءات حجر الزاوية بالنسبة لكل سياسة تهدف إلى تثمين الموارد البشرية، وآلية فعالة لتطوير الكفاءات والمهن سواء على مستوى الأنشطة ومهام الإدارة، أو على مستوى أنشطة تخطيط الموارد البشرية. وهي وثيقة مرجعية تضم محورين المحور الأول خاص بالوظيفة والمحور الثاني متعلق بالكفاءات المطلوبة لأداء هذه الوظائف، وتعتبر وثيقة يعتمد عليها في بناء التوقعات المستقبلية التي يمكن أن تطرأ على الموارد البشرية داخل المنظمة. </w:t>
      </w:r>
      <w:r w:rsidRPr="00B03DCB">
        <w:rPr>
          <w:rFonts w:ascii="Simplified Arabic" w:hAnsi="Simplified Arabic" w:cs="Simplified Arabic"/>
          <w:b/>
          <w:bCs/>
          <w:sz w:val="28"/>
          <w:szCs w:val="28"/>
          <w:rtl/>
          <w:lang w:bidi="ar-DZ"/>
        </w:rPr>
        <w:t>ومن خصائص المدونة:</w:t>
      </w:r>
    </w:p>
    <w:p w:rsidR="001A42C3" w:rsidRPr="00B03DCB" w:rsidRDefault="001A42C3" w:rsidP="001A42C3">
      <w:pPr>
        <w:pStyle w:val="Paragraphedeliste"/>
        <w:numPr>
          <w:ilvl w:val="0"/>
          <w:numId w:val="15"/>
        </w:numPr>
        <w:tabs>
          <w:tab w:val="right" w:pos="226"/>
          <w:tab w:val="right" w:pos="368"/>
          <w:tab w:val="right" w:pos="425"/>
        </w:tabs>
        <w:bidi/>
        <w:spacing w:before="60" w:after="60" w:line="276" w:lineRule="auto"/>
        <w:contextualSpacing w:val="0"/>
        <w:jc w:val="both"/>
        <w:rPr>
          <w:rFonts w:ascii="Simplified Arabic" w:hAnsi="Simplified Arabic" w:cs="Simplified Arabic"/>
          <w:sz w:val="28"/>
          <w:szCs w:val="28"/>
        </w:rPr>
      </w:pPr>
      <w:r w:rsidRPr="00B03DCB">
        <w:rPr>
          <w:rFonts w:ascii="Simplified Arabic" w:hAnsi="Simplified Arabic" w:cs="Simplified Arabic"/>
          <w:sz w:val="28"/>
          <w:szCs w:val="28"/>
          <w:rtl/>
        </w:rPr>
        <w:t>وثيقة بسيطة وسهلة الفهم والتنفيذ</w:t>
      </w:r>
    </w:p>
    <w:p w:rsidR="001A42C3" w:rsidRPr="00B03DCB" w:rsidRDefault="001A42C3" w:rsidP="001A42C3">
      <w:pPr>
        <w:pStyle w:val="Paragraphedeliste"/>
        <w:numPr>
          <w:ilvl w:val="0"/>
          <w:numId w:val="15"/>
        </w:numPr>
        <w:tabs>
          <w:tab w:val="right" w:pos="226"/>
          <w:tab w:val="right" w:pos="368"/>
          <w:tab w:val="right" w:pos="425"/>
        </w:tabs>
        <w:bidi/>
        <w:spacing w:before="60" w:after="60" w:line="276" w:lineRule="auto"/>
        <w:contextualSpacing w:val="0"/>
        <w:jc w:val="both"/>
        <w:rPr>
          <w:rFonts w:ascii="Simplified Arabic" w:hAnsi="Simplified Arabic" w:cs="Simplified Arabic"/>
          <w:sz w:val="28"/>
          <w:szCs w:val="28"/>
        </w:rPr>
      </w:pPr>
      <w:r w:rsidRPr="00B03DCB">
        <w:rPr>
          <w:rFonts w:ascii="Simplified Arabic" w:hAnsi="Simplified Arabic" w:cs="Simplified Arabic"/>
          <w:sz w:val="28"/>
          <w:szCs w:val="28"/>
          <w:rtl/>
        </w:rPr>
        <w:t>وثيقة سهلة التحديث لأنها تضم المفردات الرئيسية المتعلقة بكل مهنة أو وظيفة والكفاءات المتعلقة بها</w:t>
      </w:r>
    </w:p>
    <w:p w:rsidR="001A42C3" w:rsidRPr="00B03DCB" w:rsidRDefault="001A42C3" w:rsidP="001A42C3">
      <w:pPr>
        <w:tabs>
          <w:tab w:val="right" w:pos="226"/>
          <w:tab w:val="right" w:pos="368"/>
          <w:tab w:val="right" w:pos="425"/>
        </w:tabs>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وثيقة تترجم الاحتياجات الضرورية إلى ممارسات مهنية.</w:t>
      </w:r>
    </w:p>
    <w:p w:rsidR="001A42C3" w:rsidRPr="00B03DCB" w:rsidRDefault="001A42C3" w:rsidP="001A42C3">
      <w:pPr>
        <w:tabs>
          <w:tab w:val="right" w:pos="226"/>
          <w:tab w:val="right" w:pos="368"/>
          <w:tab w:val="right" w:pos="425"/>
        </w:tabs>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وتعرف على انها أداة ووسيلة لإدارة ومرافقة المسارات المهنية بتاطير كاف لتطوير الكفاءات استجابة لاحتياجات الوظائف من خلال التحليل المعمق للوظائف مع إدراك تام وواضح للكفاءات المعبر عنها بأداء الأنشطة فأداء النشاط تعبير صريح عن اكتساب المعرفة </w:t>
      </w:r>
      <w:sdt>
        <w:sdtPr>
          <w:rPr>
            <w:rFonts w:ascii="Simplified Arabic" w:hAnsi="Simplified Arabic" w:cs="Simplified Arabic"/>
            <w:color w:val="000000"/>
            <w:sz w:val="28"/>
            <w:szCs w:val="28"/>
            <w:rtl/>
          </w:rPr>
          <w:id w:val="95246014"/>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 Espace_réservé1 \p 243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(ثابتي و آخرون، المدخل الى الهندسة الوظيفية، 2017، صفحة 243)</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sz w:val="28"/>
          <w:szCs w:val="28"/>
          <w:rtl/>
        </w:rPr>
        <w:t>.</w:t>
      </w:r>
    </w:p>
    <w:p w:rsidR="001A42C3" w:rsidRPr="00B03DCB" w:rsidRDefault="001A42C3" w:rsidP="001A42C3">
      <w:pPr>
        <w:pStyle w:val="Paragraphedeliste"/>
        <w:numPr>
          <w:ilvl w:val="0"/>
          <w:numId w:val="17"/>
        </w:numPr>
        <w:tabs>
          <w:tab w:val="right" w:pos="226"/>
          <w:tab w:val="right" w:pos="368"/>
          <w:tab w:val="right" w:pos="425"/>
          <w:tab w:val="right" w:pos="709"/>
        </w:tabs>
        <w:bidi/>
        <w:spacing w:before="60" w:after="60" w:line="276" w:lineRule="auto"/>
        <w:contextualSpacing w:val="0"/>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 xml:space="preserve"> أهداف إعداد مرجعية الوظائف والكفاءات</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تقدم صورة واقعية على خارطة المهن، وتأخذ بعين الاعتبار كل التغيرات أثناء عملية تصميم الوظائف.</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التطورات المرغوبة والمحتملة على المهن والكفاءات في المدى المتوسط.</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كيفية تنفيذ المهن والوظائف</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تحديد موقع الوظائف والمهن وتوضيح علاقته مع باقي المهن.</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اقتراح مرجعيات تساعد في بناء الهويات المهنية.</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t>توفير معايير تساعد في  عملية تنفيذ وتحليل وتبادل ورسملة الممارسات المهنية.</w:t>
      </w:r>
    </w:p>
    <w:p w:rsidR="001A42C3" w:rsidRPr="00B03DCB" w:rsidRDefault="001A42C3" w:rsidP="001A42C3">
      <w:pPr>
        <w:pStyle w:val="Paragraphedeliste"/>
        <w:numPr>
          <w:ilvl w:val="0"/>
          <w:numId w:val="14"/>
        </w:numPr>
        <w:tabs>
          <w:tab w:val="right" w:pos="425"/>
        </w:tabs>
        <w:bidi/>
        <w:spacing w:before="60" w:after="60" w:line="276" w:lineRule="auto"/>
        <w:contextualSpacing w:val="0"/>
        <w:jc w:val="both"/>
        <w:rPr>
          <w:rFonts w:ascii="Simplified Arabic" w:hAnsi="Simplified Arabic" w:cs="Simplified Arabic"/>
          <w:sz w:val="28"/>
          <w:szCs w:val="28"/>
          <w:lang w:bidi="ar-DZ"/>
        </w:rPr>
      </w:pPr>
      <w:r w:rsidRPr="00B03DCB">
        <w:rPr>
          <w:rFonts w:ascii="Simplified Arabic" w:hAnsi="Simplified Arabic" w:cs="Simplified Arabic"/>
          <w:sz w:val="28"/>
          <w:szCs w:val="28"/>
          <w:rtl/>
          <w:lang w:bidi="ar-DZ"/>
        </w:rPr>
        <w:lastRenderedPageBreak/>
        <w:t>مساعدة المهنيين في تطوير أنشطة البحث والتدريب لتلبية احتياجات المنظمة.</w:t>
      </w:r>
    </w:p>
    <w:p w:rsidR="001A42C3" w:rsidRPr="00B03DCB" w:rsidRDefault="001A42C3" w:rsidP="001A42C3">
      <w:pPr>
        <w:pStyle w:val="Paragraphedeliste"/>
        <w:numPr>
          <w:ilvl w:val="0"/>
          <w:numId w:val="14"/>
        </w:numPr>
        <w:tabs>
          <w:tab w:val="right" w:pos="226"/>
          <w:tab w:val="right" w:pos="368"/>
          <w:tab w:val="right" w:pos="425"/>
        </w:tabs>
        <w:bidi/>
        <w:spacing w:before="60" w:after="60" w:line="276" w:lineRule="auto"/>
        <w:contextualSpacing w:val="0"/>
        <w:jc w:val="both"/>
        <w:rPr>
          <w:rFonts w:ascii="Simplified Arabic" w:hAnsi="Simplified Arabic" w:cs="Simplified Arabic"/>
          <w:sz w:val="28"/>
          <w:szCs w:val="28"/>
          <w:rtl/>
        </w:rPr>
      </w:pPr>
      <w:r w:rsidRPr="00B03DCB">
        <w:rPr>
          <w:rFonts w:ascii="Simplified Arabic" w:hAnsi="Simplified Arabic" w:cs="Simplified Arabic"/>
          <w:sz w:val="28"/>
          <w:szCs w:val="28"/>
          <w:rtl/>
        </w:rPr>
        <w:t>يساعد على الاستثمار الأمثل والاستعمال الجيد للموارد البشرية، سواء تعلق الأمر بالتوظيف أو الترقية أو إعادة انتشار الموظفين أو تقوية الأداء أو التأديب أو التكوين المستمر</w:t>
      </w:r>
      <w:r w:rsidRPr="00B03DCB">
        <w:rPr>
          <w:rFonts w:ascii="Simplified Arabic" w:hAnsi="Simplified Arabic" w:cs="Simplified Arabic"/>
          <w:sz w:val="28"/>
          <w:szCs w:val="28"/>
        </w:rPr>
        <w:t>.</w:t>
      </w:r>
    </w:p>
    <w:p w:rsidR="001A42C3" w:rsidRPr="00B03DCB" w:rsidRDefault="001A42C3" w:rsidP="001A42C3">
      <w:pPr>
        <w:bidi/>
        <w:spacing w:before="60" w:after="60" w:line="276" w:lineRule="auto"/>
        <w:jc w:val="both"/>
        <w:rPr>
          <w:rFonts w:ascii="Simplified Arabic" w:hAnsi="Simplified Arabic" w:cs="Simplified Arabic"/>
          <w:b/>
          <w:bCs/>
          <w:sz w:val="28"/>
          <w:szCs w:val="28"/>
          <w:rtl/>
        </w:rPr>
      </w:pPr>
      <w:r w:rsidRPr="00B03DCB">
        <w:rPr>
          <w:rFonts w:ascii="Simplified Arabic" w:hAnsi="Simplified Arabic" w:cs="Simplified Arabic"/>
          <w:b/>
          <w:bCs/>
          <w:sz w:val="28"/>
          <w:szCs w:val="28"/>
          <w:rtl/>
        </w:rPr>
        <w:t>ثانيا</w:t>
      </w:r>
      <w:r w:rsidRPr="00B03DCB">
        <w:rPr>
          <w:rFonts w:ascii="Simplified Arabic" w:hAnsi="Simplified Arabic" w:cs="Simplified Arabic"/>
          <w:b/>
          <w:bCs/>
          <w:sz w:val="28"/>
          <w:szCs w:val="28"/>
          <w:rtl/>
          <w:lang w:bidi="ar-DZ"/>
        </w:rPr>
        <w:t>:</w:t>
      </w:r>
      <w:r w:rsidRPr="00B03DCB">
        <w:rPr>
          <w:rFonts w:ascii="Simplified Arabic" w:hAnsi="Simplified Arabic" w:cs="Simplified Arabic"/>
          <w:b/>
          <w:bCs/>
          <w:sz w:val="28"/>
          <w:szCs w:val="28"/>
          <w:rtl/>
        </w:rPr>
        <w:t xml:space="preserve"> ابعاد  المدونات المرجعية للوظائف والكفاءات</w:t>
      </w:r>
    </w:p>
    <w:p w:rsidR="001A42C3" w:rsidRPr="00B03DCB" w:rsidRDefault="001A42C3" w:rsidP="001A42C3">
      <w:pPr>
        <w:tabs>
          <w:tab w:val="right" w:pos="226"/>
          <w:tab w:val="right" w:pos="368"/>
          <w:tab w:val="right" w:pos="425"/>
        </w:tabs>
        <w:bidi/>
        <w:spacing w:before="60" w:after="60" w:line="276" w:lineRule="auto"/>
        <w:jc w:val="both"/>
        <w:rPr>
          <w:rFonts w:ascii="Simplified Arabic" w:hAnsi="Simplified Arabic" w:cs="Simplified Arabic"/>
          <w:b/>
          <w:bCs/>
          <w:sz w:val="28"/>
          <w:szCs w:val="28"/>
          <w:lang w:bidi="ar-DZ"/>
        </w:rPr>
      </w:pPr>
      <w:r w:rsidRPr="00B03DCB">
        <w:rPr>
          <w:rFonts w:ascii="Simplified Arabic" w:hAnsi="Simplified Arabic" w:cs="Simplified Arabic"/>
          <w:b/>
          <w:bCs/>
          <w:sz w:val="28"/>
          <w:szCs w:val="28"/>
          <w:rtl/>
          <w:lang w:bidi="ar-DZ"/>
        </w:rPr>
        <w:t>1- مرجعيات الوظائف:</w:t>
      </w:r>
    </w:p>
    <w:p w:rsidR="001A42C3" w:rsidRPr="00B03DCB" w:rsidRDefault="001A42C3" w:rsidP="001A42C3">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rPr>
        <w:t>هي الوثيقة مرجعية (نموذجية) تقوم المنظمات بإنجازها بواسطة فريق عمل مكون لهذا الهدف، تتضمن هذه الوثيقة وصفا دقيقا وتحليليا لما تتضمنه كل وظيفة من بيانات مفصلة وتحديد  المواصفات والشروط  الواجب التوفر عليها ومن تم بلورة إطار مرجعي للكفاءات يمكن من معرفة</w:t>
      </w:r>
      <w:r w:rsidRPr="00B03DCB">
        <w:rPr>
          <w:rFonts w:ascii="Simplified Arabic" w:hAnsi="Simplified Arabic" w:cs="Simplified Arabic"/>
          <w:sz w:val="28"/>
          <w:szCs w:val="28"/>
        </w:rPr>
        <w:br/>
      </w:r>
      <w:r w:rsidRPr="00B03DCB">
        <w:rPr>
          <w:rFonts w:ascii="Simplified Arabic" w:hAnsi="Simplified Arabic" w:cs="Simplified Arabic"/>
          <w:sz w:val="28"/>
          <w:szCs w:val="28"/>
          <w:rtl/>
        </w:rPr>
        <w:t>وضبط خرائط الوظائف الموجودة والبيانات المكونة لها مع جرد المعايير التي تتطلبها كل وظيفة.</w:t>
      </w:r>
      <w:r w:rsidRPr="00B03DCB">
        <w:rPr>
          <w:rFonts w:ascii="Simplified Arabic" w:hAnsi="Simplified Arabic" w:cs="Simplified Arabic"/>
          <w:sz w:val="28"/>
          <w:szCs w:val="28"/>
          <w:rtl/>
          <w:lang w:val="en-US" w:bidi="ar-DZ"/>
        </w:rPr>
        <w:t xml:space="preserve"> </w:t>
      </w:r>
    </w:p>
    <w:p w:rsidR="001A42C3" w:rsidRPr="00B03DCB" w:rsidRDefault="001A42C3" w:rsidP="001A42C3">
      <w:pPr>
        <w:bidi/>
        <w:spacing w:before="60" w:after="60" w:line="276" w:lineRule="auto"/>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1.1 دفتر الوظيفة النموذج </w:t>
      </w:r>
    </w:p>
    <w:p w:rsidR="001A42C3" w:rsidRPr="00B03DCB" w:rsidRDefault="001A42C3" w:rsidP="006E4251">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إن دفتر الوظيفة النموذج تقديم للتقارب المهني الموجود بين العائلات المهنية و العائلات المهنية الفرعية المكونة لها من خلال تقديم تبويب و ترتيب في شكل قائمة لمجموعة من الوظائف النموذج لتشكيل قاعدة مشتركة للوظائف.</w:t>
      </w:r>
    </w:p>
    <w:p w:rsidR="001A42C3" w:rsidRPr="00B03DCB" w:rsidRDefault="001A42C3" w:rsidP="001A42C3">
      <w:pPr>
        <w:pStyle w:val="Paragraphedeliste"/>
        <w:numPr>
          <w:ilvl w:val="0"/>
          <w:numId w:val="18"/>
        </w:numPr>
        <w:tabs>
          <w:tab w:val="right" w:pos="709"/>
        </w:tabs>
        <w:bidi/>
        <w:spacing w:before="60" w:after="60" w:line="276" w:lineRule="auto"/>
        <w:contextualSpacing w:val="0"/>
        <w:jc w:val="both"/>
        <w:rPr>
          <w:rFonts w:ascii="Simplified Arabic" w:hAnsi="Simplified Arabic" w:cs="Simplified Arabic"/>
          <w:b/>
          <w:bCs/>
          <w:sz w:val="28"/>
          <w:szCs w:val="28"/>
          <w:rtl/>
          <w:lang w:val="en-US" w:bidi="ar-DZ"/>
        </w:rPr>
      </w:pPr>
      <w:r w:rsidRPr="00B03DCB">
        <w:rPr>
          <w:rFonts w:ascii="Simplified Arabic" w:hAnsi="Simplified Arabic" w:cs="Simplified Arabic"/>
          <w:b/>
          <w:bCs/>
          <w:sz w:val="28"/>
          <w:szCs w:val="28"/>
          <w:rtl/>
          <w:lang w:val="en-US" w:bidi="ar-DZ"/>
        </w:rPr>
        <w:t xml:space="preserve"> مميزات الوظيفة النموذج </w:t>
      </w:r>
    </w:p>
    <w:p w:rsidR="001A42C3" w:rsidRPr="00B03DCB" w:rsidRDefault="001A42C3" w:rsidP="006E4251">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إن الوظيفة النموذج كما أسلفنا سابقا مجموع وضعيات العمل أوحالاته التي تحدد ضمنها مهام و أنشطة متماثلة مع ما يتلاءم و يتوافق معها من قدرات ،و مهارات و كفاءات متماثلة و متشابهة أو متقاربة ،و بالتالي فالوظيفة النموذج يمتاز ب</w:t>
      </w:r>
      <w:r w:rsidR="006E4251">
        <w:rPr>
          <w:rFonts w:ascii="Simplified Arabic" w:hAnsi="Simplified Arabic" w:cs="Simplified Arabic"/>
          <w:b/>
          <w:bCs/>
          <w:sz w:val="28"/>
          <w:szCs w:val="28"/>
          <w:lang w:bidi="ar-DZ"/>
        </w:rPr>
        <w:t> </w:t>
      </w:r>
      <w:r w:rsidR="006E4251">
        <w:rPr>
          <w:rFonts w:ascii="Simplified Arabic" w:hAnsi="Simplified Arabic" w:cs="Simplified Arabic" w:hint="cs"/>
          <w:b/>
          <w:bCs/>
          <w:sz w:val="28"/>
          <w:szCs w:val="28"/>
          <w:rtl/>
          <w:lang w:bidi="ar-DZ"/>
        </w:rPr>
        <w:t>:</w:t>
      </w:r>
    </w:p>
    <w:p w:rsidR="001A42C3" w:rsidRPr="00B03DCB" w:rsidRDefault="001A42C3" w:rsidP="001A42C3">
      <w:pPr>
        <w:pStyle w:val="Paragraphedeliste"/>
        <w:numPr>
          <w:ilvl w:val="0"/>
          <w:numId w:val="1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التصميم و البناء المنهجي المرتكز على تحليل و وضعيات العمل و محتوياتها مع تحديد العوامل المشتركة بين مجموعة من مناصب العمل أو وضعياته.</w:t>
      </w:r>
    </w:p>
    <w:p w:rsidR="001A42C3" w:rsidRPr="00B03DCB" w:rsidRDefault="001A42C3" w:rsidP="001A42C3">
      <w:pPr>
        <w:pStyle w:val="Paragraphedeliste"/>
        <w:numPr>
          <w:ilvl w:val="0"/>
          <w:numId w:val="1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تركيبة مرتبة للوظائف ،تسمح بتحديد الموارد و الاحتياجات الحالية مع تقديم مقاربة أكثر تصورا و مقاربة للاحتياجات المستقبلية المبينة على تطور الوظائف و التغيرات الممكن حدوثها فيها .</w:t>
      </w:r>
    </w:p>
    <w:p w:rsidR="001A42C3" w:rsidRPr="00B03DCB" w:rsidRDefault="001A42C3" w:rsidP="001A42C3">
      <w:pPr>
        <w:pStyle w:val="Paragraphedeliste"/>
        <w:numPr>
          <w:ilvl w:val="0"/>
          <w:numId w:val="16"/>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صورة تجميعية لمختلف المناصب دون مراعاة لتقسيم العمل للانتماء الوظيفي للأفراد او الرتب التي ينتمون إليها .</w:t>
      </w:r>
    </w:p>
    <w:p w:rsidR="001A42C3" w:rsidRDefault="001A42C3" w:rsidP="001A42C3">
      <w:pPr>
        <w:pStyle w:val="Paragraphedeliste"/>
        <w:numPr>
          <w:ilvl w:val="0"/>
          <w:numId w:val="16"/>
        </w:numPr>
        <w:bidi/>
        <w:spacing w:before="60" w:after="60" w:line="276" w:lineRule="auto"/>
        <w:contextualSpacing w:val="0"/>
        <w:jc w:val="both"/>
        <w:rPr>
          <w:rFonts w:ascii="Simplified Arabic" w:hAnsi="Simplified Arabic" w:cs="Simplified Arabic" w:hint="cs"/>
          <w:sz w:val="28"/>
          <w:szCs w:val="28"/>
          <w:lang w:val="en-US" w:bidi="ar-DZ"/>
        </w:rPr>
      </w:pPr>
      <w:r w:rsidRPr="00B03DCB">
        <w:rPr>
          <w:rFonts w:ascii="Simplified Arabic" w:hAnsi="Simplified Arabic" w:cs="Simplified Arabic"/>
          <w:sz w:val="28"/>
          <w:szCs w:val="28"/>
          <w:rtl/>
          <w:lang w:val="en-US" w:bidi="ar-DZ"/>
        </w:rPr>
        <w:t>مقاربة مشتركة لتسيير الموارد البشرية اعتمادا على تسيير الوظائف بالاعتماد على الكفاءات، فالكفاءات المتماثلة تسمح بشغل عدة وظائف</w:t>
      </w:r>
    </w:p>
    <w:p w:rsidR="006E4251" w:rsidRPr="006E4251" w:rsidRDefault="006E4251" w:rsidP="006E4251">
      <w:pPr>
        <w:tabs>
          <w:tab w:val="right" w:pos="567"/>
        </w:tabs>
        <w:bidi/>
        <w:spacing w:before="60" w:after="60" w:line="276" w:lineRule="auto"/>
        <w:ind w:left="360"/>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lastRenderedPageBreak/>
        <w:t>2-</w:t>
      </w:r>
      <w:r w:rsidRPr="006E4251">
        <w:rPr>
          <w:rFonts w:ascii="Simplified Arabic" w:hAnsi="Simplified Arabic" w:cs="Simplified Arabic"/>
          <w:b/>
          <w:bCs/>
          <w:sz w:val="28"/>
          <w:szCs w:val="28"/>
          <w:rtl/>
          <w:lang w:val="en-US" w:bidi="ar-DZ"/>
        </w:rPr>
        <w:t>مرجعية الكفاءات :</w:t>
      </w:r>
    </w:p>
    <w:p w:rsidR="006E4251" w:rsidRPr="00B03DCB" w:rsidRDefault="006E4251" w:rsidP="006E4251">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إن الكفاءة هي المفهوم العالق ما بين الوظيفة، والفرد وما بين الوظيفة والتكوين، فهي القدرة على التصرف للحصول على نتيجة في حالة مهنية معينة و بوسائل معينة، تم تحديدها في النظام المرجعي للوظائف النموذج</w:t>
      </w:r>
      <w:r w:rsidRPr="00B03DCB">
        <w:rPr>
          <w:rFonts w:ascii="Simplified Arabic" w:hAnsi="Simplified Arabic" w:cs="Simplified Arabic"/>
          <w:sz w:val="28"/>
          <w:szCs w:val="28"/>
          <w:lang w:val="en-US" w:bidi="ar-DZ"/>
        </w:rPr>
        <w:t>.</w:t>
      </w:r>
    </w:p>
    <w:p w:rsidR="006E4251" w:rsidRPr="00B03DCB" w:rsidRDefault="006E4251" w:rsidP="006E4251">
      <w:pPr>
        <w:tabs>
          <w:tab w:val="right" w:pos="226"/>
          <w:tab w:val="right" w:pos="368"/>
          <w:tab w:val="right" w:pos="425"/>
        </w:tabs>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rPr>
        <w:t xml:space="preserve">يقدم مرجع الكفاءات هيكلة عامة للكفاءات المرتبطة بالوظائف النموذجية المعدة سابقا، وتعتبر مفتاح نظام مراقبة الموارد البشرية، فهي تسمح بدراسة العلاقة بين فرص العمل وإمكانيات الموارد البشرية في المنظمة. كما تعتبر أداة نوعية لضبط الكفاءات مع متطلبات التوظيف والتدريب  ان </w:t>
      </w:r>
      <w:r w:rsidRPr="00B03DCB">
        <w:rPr>
          <w:rFonts w:ascii="Simplified Arabic" w:hAnsi="Simplified Arabic" w:cs="Simplified Arabic"/>
          <w:sz w:val="28"/>
          <w:szCs w:val="28"/>
          <w:rtl/>
          <w:lang w:val="en-US" w:bidi="ar-DZ"/>
        </w:rPr>
        <w:t>مرجعية الكفاءات ما يستند إليه في تحديد الكفاءات الواجب توفرها في شاغل الوظيفة و التي تتلاءم مع المهام و الأنشطة الموكلة إليه و المحددة هي الأخرى في مرجعية الوظائف،</w:t>
      </w:r>
    </w:p>
    <w:p w:rsidR="006E4251" w:rsidRPr="00B03DCB" w:rsidRDefault="006E4251" w:rsidP="006E4251">
      <w:pPr>
        <w:bidi/>
        <w:spacing w:before="60" w:after="60" w:line="276" w:lineRule="auto"/>
        <w:jc w:val="both"/>
        <w:rPr>
          <w:rFonts w:ascii="Simplified Arabic" w:hAnsi="Simplified Arabic" w:cs="Simplified Arabic"/>
          <w:sz w:val="28"/>
          <w:szCs w:val="28"/>
          <w:rtl/>
          <w:lang w:val="en-US" w:bidi="ar-DZ"/>
        </w:rPr>
      </w:pPr>
      <w:r w:rsidRPr="00B03DCB">
        <w:rPr>
          <w:rFonts w:ascii="Simplified Arabic" w:hAnsi="Simplified Arabic" w:cs="Simplified Arabic"/>
          <w:sz w:val="28"/>
          <w:szCs w:val="28"/>
          <w:rtl/>
          <w:lang w:val="en-US" w:bidi="ar-DZ"/>
        </w:rPr>
        <w:t>إن مرجعية الكفاءات وثيقة رسمية تكون من مجموعة من البطاقات الكفاءتية تتضمن ثلاث أنواع من المعلومات :</w:t>
      </w:r>
    </w:p>
    <w:p w:rsidR="006E4251" w:rsidRPr="00B03DCB" w:rsidRDefault="006E4251" w:rsidP="006E4251">
      <w:pPr>
        <w:pStyle w:val="Paragraphedeliste"/>
        <w:numPr>
          <w:ilvl w:val="0"/>
          <w:numId w:val="1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معلومات عن الوظائف العائلة المهنية الفرعية و الأساسية</w:t>
      </w:r>
      <w:r w:rsidRPr="00B03DCB">
        <w:rPr>
          <w:rFonts w:ascii="Simplified Arabic" w:hAnsi="Simplified Arabic" w:cs="Simplified Arabic"/>
          <w:sz w:val="28"/>
          <w:szCs w:val="28"/>
          <w:rtl/>
          <w:lang w:val="en-US" w:bidi="ar-DZ"/>
        </w:rPr>
        <w:t xml:space="preserve"> التي تنتمي إليها الوظيفة منصب عمل –وضعية العمل .</w:t>
      </w:r>
    </w:p>
    <w:p w:rsidR="006E4251" w:rsidRPr="00B03DCB" w:rsidRDefault="006E4251" w:rsidP="006E4251">
      <w:pPr>
        <w:pStyle w:val="Paragraphedeliste"/>
        <w:numPr>
          <w:ilvl w:val="0"/>
          <w:numId w:val="1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معلومات عن الكفاءات :</w:t>
      </w:r>
      <w:r w:rsidRPr="00B03DCB">
        <w:rPr>
          <w:rFonts w:ascii="Simplified Arabic" w:hAnsi="Simplified Arabic" w:cs="Simplified Arabic"/>
          <w:sz w:val="28"/>
          <w:szCs w:val="28"/>
          <w:rtl/>
          <w:lang w:val="en-US" w:bidi="ar-DZ"/>
        </w:rPr>
        <w:t>و تضم المعارف ،و المعارف العلمية ،و المواقف التي يتطلبها التشغيل إضافة إلى التكوين .</w:t>
      </w:r>
    </w:p>
    <w:p w:rsidR="006E4251" w:rsidRPr="00B03DCB" w:rsidRDefault="006E4251" w:rsidP="006E4251">
      <w:pPr>
        <w:pStyle w:val="Paragraphedeliste"/>
        <w:numPr>
          <w:ilvl w:val="0"/>
          <w:numId w:val="1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معلومات عن العبور</w:t>
      </w:r>
      <w:r w:rsidRPr="00B03DCB">
        <w:rPr>
          <w:rFonts w:ascii="Simplified Arabic" w:hAnsi="Simplified Arabic" w:cs="Simplified Arabic"/>
          <w:sz w:val="28"/>
          <w:szCs w:val="28"/>
          <w:rtl/>
          <w:lang w:val="en-US" w:bidi="ar-DZ"/>
        </w:rPr>
        <w:t xml:space="preserve"> و تخص الوظائف أو مناصب العمل الممكن شغلها و المعتمدة على الكفاءات المكتسبة و التي نميز من خلالها </w:t>
      </w:r>
      <w:r w:rsidRPr="00B03DCB">
        <w:rPr>
          <w:rFonts w:ascii="Simplified Arabic" w:hAnsi="Simplified Arabic" w:cs="Simplified Arabic"/>
          <w:color w:val="000000"/>
          <w:sz w:val="28"/>
          <w:szCs w:val="28"/>
        </w:rPr>
        <w:t xml:space="preserve"> </w:t>
      </w:r>
      <w:sdt>
        <w:sdtPr>
          <w:rPr>
            <w:rFonts w:ascii="Simplified Arabic" w:hAnsi="Simplified Arabic" w:cs="Simplified Arabic"/>
            <w:color w:val="000000"/>
            <w:sz w:val="28"/>
            <w:szCs w:val="28"/>
            <w:rtl/>
          </w:rPr>
          <w:id w:val="95245966"/>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w:instrText>
          </w:r>
          <w:r w:rsidRPr="00B03DCB">
            <w:rPr>
              <w:rFonts w:ascii="Simplified Arabic" w:hAnsi="Simplified Arabic" w:cs="Simplified Arabic"/>
              <w:color w:val="000000"/>
              <w:sz w:val="28"/>
              <w:szCs w:val="28"/>
              <w:rtl/>
              <w:lang w:bidi="ar-DZ"/>
            </w:rPr>
            <w:instrText xml:space="preserve"> دور16 \</w:instrText>
          </w:r>
          <w:r w:rsidRPr="00B03DCB">
            <w:rPr>
              <w:rFonts w:ascii="Simplified Arabic" w:hAnsi="Simplified Arabic" w:cs="Simplified Arabic"/>
              <w:color w:val="000000"/>
              <w:sz w:val="28"/>
              <w:szCs w:val="28"/>
              <w:lang w:bidi="ar-DZ"/>
            </w:rPr>
            <w:instrText>p 175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(موساوي، 2015-2016، صفحة 175)</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sz w:val="28"/>
          <w:szCs w:val="28"/>
          <w:rtl/>
          <w:lang w:val="en-US" w:bidi="ar-DZ"/>
        </w:rPr>
        <w:t>:</w:t>
      </w:r>
    </w:p>
    <w:p w:rsidR="006E4251" w:rsidRPr="00B03DCB" w:rsidRDefault="006E4251" w:rsidP="006E4251">
      <w:pPr>
        <w:pStyle w:val="Paragraphedeliste"/>
        <w:numPr>
          <w:ilvl w:val="0"/>
          <w:numId w:val="1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 xml:space="preserve">العبور السهل </w:t>
      </w:r>
      <w:r w:rsidRPr="00B03DCB">
        <w:rPr>
          <w:rFonts w:ascii="Simplified Arabic" w:hAnsi="Simplified Arabic" w:cs="Simplified Arabic"/>
          <w:b/>
          <w:bCs/>
          <w:sz w:val="28"/>
          <w:szCs w:val="28"/>
          <w:lang w:bidi="ar-DZ"/>
        </w:rPr>
        <w:t>passage aisée</w:t>
      </w:r>
      <w:r w:rsidRPr="00B03DCB">
        <w:rPr>
          <w:rFonts w:ascii="Simplified Arabic" w:hAnsi="Simplified Arabic" w:cs="Simplified Arabic"/>
          <w:b/>
          <w:bCs/>
          <w:sz w:val="28"/>
          <w:szCs w:val="28"/>
          <w:rtl/>
          <w:lang w:val="en-US" w:bidi="ar-DZ"/>
        </w:rPr>
        <w:t xml:space="preserve"> :</w:t>
      </w:r>
      <w:r w:rsidRPr="00B03DCB">
        <w:rPr>
          <w:rFonts w:ascii="Simplified Arabic" w:hAnsi="Simplified Arabic" w:cs="Simplified Arabic"/>
          <w:sz w:val="28"/>
          <w:szCs w:val="28"/>
          <w:rtl/>
          <w:lang w:val="en-US" w:bidi="ar-DZ"/>
        </w:rPr>
        <w:t>و هنا تكون تغطية الكفاءات للوظيفة النموذج سهلة العبور للوظيفة النموذج الهدف (محتمل الانتقال إليها ) لتصمنها معارف كفاءات مشتركة .</w:t>
      </w:r>
    </w:p>
    <w:p w:rsidR="006E4251" w:rsidRPr="00B03DCB" w:rsidRDefault="006E4251" w:rsidP="006E4251">
      <w:pPr>
        <w:pStyle w:val="Paragraphedeliste"/>
        <w:numPr>
          <w:ilvl w:val="0"/>
          <w:numId w:val="19"/>
        </w:numPr>
        <w:bidi/>
        <w:spacing w:before="60" w:after="60" w:line="276" w:lineRule="auto"/>
        <w:contextualSpacing w:val="0"/>
        <w:jc w:val="both"/>
        <w:rPr>
          <w:rFonts w:ascii="Simplified Arabic" w:hAnsi="Simplified Arabic" w:cs="Simplified Arabic"/>
          <w:sz w:val="28"/>
          <w:szCs w:val="28"/>
          <w:lang w:val="en-US" w:bidi="ar-DZ"/>
        </w:rPr>
      </w:pPr>
      <w:r w:rsidRPr="00B03DCB">
        <w:rPr>
          <w:rFonts w:ascii="Simplified Arabic" w:hAnsi="Simplified Arabic" w:cs="Simplified Arabic"/>
          <w:b/>
          <w:bCs/>
          <w:sz w:val="28"/>
          <w:szCs w:val="28"/>
          <w:rtl/>
          <w:lang w:val="en-US" w:bidi="ar-DZ"/>
        </w:rPr>
        <w:t>العبور الوشيك (</w:t>
      </w:r>
      <w:r w:rsidRPr="00B03DCB">
        <w:rPr>
          <w:rFonts w:ascii="Simplified Arabic" w:hAnsi="Simplified Arabic" w:cs="Simplified Arabic"/>
          <w:b/>
          <w:bCs/>
          <w:sz w:val="28"/>
          <w:szCs w:val="28"/>
          <w:lang w:bidi="ar-DZ"/>
        </w:rPr>
        <w:t>pasage evertuel</w:t>
      </w:r>
      <w:r w:rsidRPr="00B03DCB">
        <w:rPr>
          <w:rFonts w:ascii="Simplified Arabic" w:hAnsi="Simplified Arabic" w:cs="Simplified Arabic"/>
          <w:b/>
          <w:bCs/>
          <w:sz w:val="28"/>
          <w:szCs w:val="28"/>
          <w:rtl/>
          <w:lang w:val="en-US" w:bidi="ar-DZ"/>
        </w:rPr>
        <w:t>):</w:t>
      </w:r>
      <w:r w:rsidRPr="00B03DCB">
        <w:rPr>
          <w:rFonts w:ascii="Simplified Arabic" w:hAnsi="Simplified Arabic" w:cs="Simplified Arabic"/>
          <w:sz w:val="28"/>
          <w:szCs w:val="28"/>
          <w:rtl/>
          <w:lang w:val="en-US" w:bidi="ar-DZ"/>
        </w:rPr>
        <w:t xml:space="preserve"> و يكون العبور هنا وشيك الحدوث لاعتبار أن الكفاءات ضمنية و سلوكية لا يمكن تحديد تغطية الكفاءات للاحتياج إلا من خلال الملاحظة و التحقيق في الأداء .</w:t>
      </w:r>
    </w:p>
    <w:p w:rsidR="006E4251" w:rsidRDefault="006E4251" w:rsidP="006E4251">
      <w:pPr>
        <w:bidi/>
        <w:spacing w:before="60" w:after="60" w:line="276" w:lineRule="auto"/>
        <w:jc w:val="both"/>
        <w:rPr>
          <w:rFonts w:ascii="Simplified Arabic" w:hAnsi="Simplified Arabic" w:cs="Simplified Arabic" w:hint="cs"/>
          <w:sz w:val="28"/>
          <w:szCs w:val="28"/>
          <w:rtl/>
          <w:lang w:val="en-US" w:bidi="ar-DZ"/>
        </w:rPr>
      </w:pPr>
    </w:p>
    <w:p w:rsidR="006E4251" w:rsidRPr="006E4251" w:rsidRDefault="006E4251" w:rsidP="006E4251">
      <w:pPr>
        <w:bidi/>
        <w:spacing w:before="60" w:after="60" w:line="276" w:lineRule="auto"/>
        <w:jc w:val="both"/>
        <w:rPr>
          <w:rFonts w:ascii="Simplified Arabic" w:hAnsi="Simplified Arabic" w:cs="Simplified Arabic"/>
          <w:sz w:val="28"/>
          <w:szCs w:val="28"/>
          <w:lang w:val="en-US" w:bidi="ar-DZ"/>
        </w:rPr>
      </w:pPr>
    </w:p>
    <w:p w:rsidR="001A42C3" w:rsidRPr="00B03DCB" w:rsidRDefault="001A42C3" w:rsidP="001A42C3">
      <w:pPr>
        <w:bidi/>
        <w:spacing w:before="60" w:after="60" w:line="276" w:lineRule="auto"/>
        <w:jc w:val="both"/>
        <w:rPr>
          <w:rFonts w:ascii="Simplified Arabic" w:hAnsi="Simplified Arabic" w:cs="Simplified Arabic"/>
          <w:sz w:val="28"/>
          <w:szCs w:val="28"/>
          <w:lang w:val="en-US" w:bidi="ar-DZ"/>
        </w:rPr>
      </w:pPr>
      <w:r w:rsidRPr="00B03DCB">
        <w:rPr>
          <w:rFonts w:ascii="Simplified Arabic" w:hAnsi="Simplified Arabic" w:cs="Simplified Arabic"/>
          <w:sz w:val="28"/>
          <w:szCs w:val="28"/>
          <w:rtl/>
          <w:lang w:val="en-US" w:bidi="ar-DZ"/>
        </w:rPr>
        <w:t xml:space="preserve"> </w:t>
      </w:r>
    </w:p>
    <w:p w:rsidR="002316E0" w:rsidRPr="00B03DCB" w:rsidRDefault="002316E0" w:rsidP="002316E0">
      <w:pPr>
        <w:shd w:val="clear" w:color="auto" w:fill="D9D9D9" w:themeFill="background1" w:themeFillShade="D9"/>
        <w:spacing w:before="60" w:after="60" w:line="276" w:lineRule="auto"/>
        <w:jc w:val="center"/>
        <w:rPr>
          <w:rFonts w:ascii="Simplified Arabic" w:hAnsi="Simplified Arabic" w:cs="Simplified Arabic"/>
          <w:b/>
          <w:bCs/>
          <w:sz w:val="28"/>
          <w:szCs w:val="28"/>
          <w:rtl/>
          <w:lang w:bidi="ar-DZ"/>
        </w:rPr>
      </w:pPr>
      <w:r w:rsidRPr="00B03DCB">
        <w:rPr>
          <w:rFonts w:ascii="Simplified Arabic" w:hAnsi="Simplified Arabic" w:cs="Simplified Arabic"/>
          <w:b/>
          <w:bCs/>
          <w:sz w:val="28"/>
          <w:szCs w:val="28"/>
          <w:rtl/>
          <w:lang w:bidi="ar-DZ"/>
        </w:rPr>
        <w:lastRenderedPageBreak/>
        <w:t>المحاضرة 07: استشراف المهن والكفاءات</w:t>
      </w:r>
    </w:p>
    <w:p w:rsidR="002316E0" w:rsidRPr="00B03DCB" w:rsidRDefault="002316E0" w:rsidP="002316E0">
      <w:pPr>
        <w:tabs>
          <w:tab w:val="left" w:pos="3251"/>
        </w:tabs>
        <w:bidi/>
        <w:spacing w:before="60" w:after="60" w:line="276" w:lineRule="auto"/>
        <w:jc w:val="both"/>
        <w:rPr>
          <w:rFonts w:ascii="Simplified Arabic" w:hAnsi="Simplified Arabic" w:cs="Simplified Arabic"/>
          <w:b/>
          <w:bCs/>
          <w:color w:val="000000"/>
          <w:sz w:val="28"/>
          <w:szCs w:val="28"/>
          <w:rtl/>
        </w:rPr>
      </w:pPr>
      <w:r w:rsidRPr="00B03DCB">
        <w:rPr>
          <w:rFonts w:ascii="Simplified Arabic" w:hAnsi="Simplified Arabic" w:cs="Simplified Arabic"/>
          <w:b/>
          <w:bCs/>
          <w:color w:val="000000"/>
          <w:sz w:val="28"/>
          <w:szCs w:val="28"/>
          <w:rtl/>
        </w:rPr>
        <w:t>اولا ماهية الاستشراف</w:t>
      </w:r>
      <w:r>
        <w:rPr>
          <w:rFonts w:ascii="Simplified Arabic" w:hAnsi="Simplified Arabic" w:cs="Simplified Arabic"/>
          <w:b/>
          <w:bCs/>
          <w:color w:val="000000"/>
          <w:sz w:val="28"/>
          <w:szCs w:val="28"/>
          <w:rtl/>
        </w:rPr>
        <w:tab/>
      </w:r>
    </w:p>
    <w:p w:rsidR="002316E0" w:rsidRPr="00B03DCB" w:rsidRDefault="002316E0" w:rsidP="002316E0">
      <w:pPr>
        <w:pStyle w:val="Paragraphedeliste"/>
        <w:numPr>
          <w:ilvl w:val="0"/>
          <w:numId w:val="7"/>
        </w:numPr>
        <w:bidi/>
        <w:spacing w:before="60" w:after="60" w:line="276" w:lineRule="auto"/>
        <w:ind w:left="423" w:hanging="374"/>
        <w:contextualSpacing w:val="0"/>
        <w:jc w:val="both"/>
        <w:rPr>
          <w:rFonts w:ascii="Simplified Arabic" w:hAnsi="Simplified Arabic" w:cs="Simplified Arabic"/>
          <w:b/>
          <w:bCs/>
          <w:sz w:val="28"/>
          <w:szCs w:val="28"/>
          <w:shd w:val="clear" w:color="auto" w:fill="FFFFFF"/>
          <w:rtl/>
        </w:rPr>
      </w:pPr>
      <w:r w:rsidRPr="00B03DCB">
        <w:rPr>
          <w:rFonts w:ascii="Simplified Arabic" w:hAnsi="Simplified Arabic" w:cs="Simplified Arabic"/>
          <w:b/>
          <w:bCs/>
          <w:sz w:val="28"/>
          <w:szCs w:val="28"/>
          <w:shd w:val="clear" w:color="auto" w:fill="FFFFFF"/>
          <w:rtl/>
        </w:rPr>
        <w:t>التطور التاريخي للاستشراف</w:t>
      </w:r>
    </w:p>
    <w:p w:rsidR="002316E0" w:rsidRPr="00B03DCB" w:rsidRDefault="002316E0" w:rsidP="002316E0">
      <w:pPr>
        <w:bidi/>
        <w:spacing w:before="60" w:after="60" w:line="276" w:lineRule="auto"/>
        <w:jc w:val="both"/>
        <w:rPr>
          <w:rFonts w:ascii="Simplified Arabic" w:hAnsi="Simplified Arabic" w:cs="Simplified Arabic"/>
          <w:b/>
          <w:bCs/>
          <w:sz w:val="28"/>
          <w:szCs w:val="28"/>
          <w:shd w:val="clear" w:color="auto" w:fill="FFFFFF"/>
        </w:rPr>
      </w:pPr>
      <w:r w:rsidRPr="00B03DCB">
        <w:rPr>
          <w:rFonts w:ascii="Simplified Arabic" w:hAnsi="Simplified Arabic" w:cs="Simplified Arabic"/>
          <w:sz w:val="28"/>
          <w:szCs w:val="28"/>
          <w:rtl/>
        </w:rPr>
        <w:t>مع انتهاء الحرب وفي كل بقاع العالم، كان الفكر الإنساني كله موجه نحو فكرة "البناء"، الأمر الذي أطلق العنان لأفكار جميع الأفراد في المجتمع لتصور مستقبل أكثر إشراقا لهم؛ حتى الحكومات والمؤسسات والهيئات العلمية كانت تنشر في التفاؤل وفكرة: أن المستقبل بيد الفرد في حد ذاته،وعلى الأفراد أن يرسموا ما شاءوا لمستقبلهم</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 xml:space="preserve"> وفي ما يلي عرض تطور الاستشراف في مجموعة من الدول </w:t>
      </w:r>
      <w:sdt>
        <w:sdtPr>
          <w:rPr>
            <w:rFonts w:ascii="Simplified Arabic" w:hAnsi="Simplified Arabic" w:cs="Simplified Arabic"/>
            <w:sz w:val="28"/>
            <w:szCs w:val="28"/>
            <w:rtl/>
          </w:rPr>
          <w:id w:val="58747219"/>
          <w:citation/>
        </w:sdtPr>
        <w:sdtContent>
          <w:r w:rsidRPr="00B03DCB">
            <w:rPr>
              <w:rFonts w:ascii="Simplified Arabic" w:hAnsi="Simplified Arabic" w:cs="Simplified Arabic"/>
              <w:sz w:val="28"/>
              <w:szCs w:val="28"/>
              <w:rtl/>
            </w:rPr>
            <w:fldChar w:fldCharType="begin"/>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lang w:bidi="ar-DZ"/>
            </w:rPr>
            <w:instrText>CITATION</w:instrText>
          </w:r>
          <w:r w:rsidRPr="00B03DCB">
            <w:rPr>
              <w:rFonts w:ascii="Simplified Arabic" w:hAnsi="Simplified Arabic" w:cs="Simplified Arabic"/>
              <w:sz w:val="28"/>
              <w:szCs w:val="28"/>
              <w:rtl/>
              <w:lang w:bidi="ar-DZ"/>
            </w:rPr>
            <w:instrText xml:space="preserve"> عوي18 \</w:instrText>
          </w:r>
          <w:r w:rsidRPr="00B03DCB">
            <w:rPr>
              <w:rFonts w:ascii="Simplified Arabic" w:hAnsi="Simplified Arabic" w:cs="Simplified Arabic"/>
              <w:sz w:val="28"/>
              <w:szCs w:val="28"/>
              <w:lang w:bidi="ar-DZ"/>
            </w:rPr>
            <w:instrText>p 23-25 \l 5121</w:instrText>
          </w:r>
          <w:r w:rsidRPr="00B03DCB">
            <w:rPr>
              <w:rFonts w:ascii="Simplified Arabic" w:hAnsi="Simplified Arabic" w:cs="Simplified Arabic"/>
              <w:sz w:val="28"/>
              <w:szCs w:val="28"/>
              <w:rtl/>
              <w:lang w:bidi="ar-DZ"/>
            </w:rPr>
            <w:instrText xml:space="preserve">  </w:instrText>
          </w:r>
          <w:r w:rsidRPr="00B03DCB">
            <w:rPr>
              <w:rFonts w:ascii="Simplified Arabic" w:hAnsi="Simplified Arabic" w:cs="Simplified Arabic"/>
              <w:sz w:val="28"/>
              <w:szCs w:val="28"/>
              <w:rtl/>
            </w:rPr>
            <w:fldChar w:fldCharType="separate"/>
          </w:r>
          <w:r w:rsidRPr="00B03DCB">
            <w:rPr>
              <w:rFonts w:ascii="Simplified Arabic" w:hAnsi="Simplified Arabic" w:cs="Simplified Arabic"/>
              <w:noProof/>
              <w:sz w:val="28"/>
              <w:szCs w:val="28"/>
              <w:rtl/>
              <w:lang w:bidi="ar-DZ"/>
            </w:rPr>
            <w:t>(عويسي، 2018، الصفحات 23-25)</w:t>
          </w:r>
          <w:r w:rsidRPr="00B03DCB">
            <w:rPr>
              <w:rFonts w:ascii="Simplified Arabic" w:hAnsi="Simplified Arabic" w:cs="Simplified Arabic"/>
              <w:sz w:val="28"/>
              <w:szCs w:val="28"/>
              <w:rtl/>
            </w:rPr>
            <w:fldChar w:fldCharType="end"/>
          </w:r>
        </w:sdtContent>
      </w:sdt>
      <w:r w:rsidRPr="00B03DCB">
        <w:rPr>
          <w:rFonts w:ascii="Simplified Arabic" w:hAnsi="Simplified Arabic" w:cs="Simplified Arabic"/>
          <w:sz w:val="28"/>
          <w:szCs w:val="28"/>
          <w:rtl/>
        </w:rPr>
        <w:t xml:space="preserve"> </w:t>
      </w:r>
    </w:p>
    <w:p w:rsidR="002316E0" w:rsidRPr="00B03DCB" w:rsidRDefault="002316E0" w:rsidP="002316E0">
      <w:pPr>
        <w:pStyle w:val="Paragraphedeliste"/>
        <w:numPr>
          <w:ilvl w:val="1"/>
          <w:numId w:val="8"/>
        </w:numPr>
        <w:tabs>
          <w:tab w:val="right" w:pos="565"/>
          <w:tab w:val="right" w:pos="848"/>
          <w:tab w:val="right" w:pos="990"/>
        </w:tabs>
        <w:bidi/>
        <w:spacing w:before="60" w:after="60" w:line="276" w:lineRule="auto"/>
        <w:ind w:left="-2" w:firstLine="0"/>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في الولايات المتحدة الأمريكية</w:t>
      </w:r>
      <w:r w:rsidRPr="00B03DCB">
        <w:rPr>
          <w:rFonts w:ascii="Simplified Arabic" w:hAnsi="Simplified Arabic" w:cs="Simplified Arabic"/>
          <w:sz w:val="28"/>
          <w:szCs w:val="28"/>
          <w:rtl/>
        </w:rPr>
        <w:t xml:space="preserve"> ظهر الاستشراف في الولايات المتحدة الأمريكية في إطار الحرب، في الفترة بين نهاية الحرب العالمية الثانية وبداية الحرب الباردة؛ذلك أن الحرب العالمية الثانية أطلقت الشرارة للبحث المستميت عن التكنولوجيا خاصة الحربية منها وهو الأمر الذي استدعى تدخل الكثير من العلماء في جميع الميادين؛ في حين خلق التكنولوجيا كان يحتاج لخيال واسع حمل معه الفكر الاستشرافي؛ فقد عمل العلماء على تصور آلات وماكنات لم تخطر على العقل البشري قبلا ثم عملوا على تجسيدها على أرض الواقع فكانت المزاوجة بين الخيال والعلم الذي خلق ما يعرف بالفكر الاستشرافي</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 xml:space="preserve"> ما ميز الاستشراف في "الو.م.أ" هو كونه مبني على التكنولوجيا والإستراتيجية؛ وكذلك أنه جاء في إطار المنظمات؛ ومنها من ارتبط نشاطها في مجال الدفاع الوطني ومنظمات بحثية جامعية ايضا ومنظمات ارتبط نشاطها بمراكز السلطة والكونغرس.</w:t>
      </w:r>
    </w:p>
    <w:p w:rsidR="002316E0" w:rsidRPr="00B03DCB" w:rsidRDefault="002316E0" w:rsidP="002316E0">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وخير مثال على ذلك نجد معهد البحوث لستانفورد</w:t>
      </w:r>
      <w:r w:rsidRPr="00B03DCB">
        <w:rPr>
          <w:rFonts w:ascii="Simplified Arabic" w:hAnsi="Simplified Arabic" w:cs="Simplified Arabic"/>
          <w:sz w:val="28"/>
          <w:szCs w:val="28"/>
        </w:rPr>
        <w:t xml:space="preserve"> (Stanford research Institute)</w:t>
      </w:r>
      <w:r w:rsidRPr="00B03DCB">
        <w:rPr>
          <w:rFonts w:ascii="Simplified Arabic" w:hAnsi="Simplified Arabic" w:cs="Simplified Arabic"/>
          <w:sz w:val="28"/>
          <w:szCs w:val="28"/>
          <w:rtl/>
        </w:rPr>
        <w:t>الذي جمع آلاف من الخبراء في شتى الميادين  للقيام بدراسات استشرافية شاملة عن الو.م.أ</w:t>
      </w:r>
      <w:r w:rsidRPr="00B03DCB">
        <w:rPr>
          <w:rFonts w:ascii="Simplified Arabic" w:hAnsi="Simplified Arabic" w:cs="Simplified Arabic"/>
          <w:sz w:val="28"/>
          <w:szCs w:val="28"/>
        </w:rPr>
        <w:t>.</w:t>
      </w:r>
    </w:p>
    <w:p w:rsidR="002316E0" w:rsidRPr="00B03DCB" w:rsidRDefault="002316E0" w:rsidP="002316E0">
      <w:pPr>
        <w:pStyle w:val="Paragraphedeliste"/>
        <w:numPr>
          <w:ilvl w:val="1"/>
          <w:numId w:val="8"/>
        </w:numPr>
        <w:bidi/>
        <w:spacing w:before="60" w:after="60" w:line="276" w:lineRule="auto"/>
        <w:ind w:left="-2" w:firstLine="52"/>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في فرنسا</w:t>
      </w:r>
      <w:r w:rsidRPr="00B03DCB">
        <w:rPr>
          <w:rFonts w:ascii="Simplified Arabic" w:hAnsi="Simplified Arabic" w:cs="Simplified Arabic"/>
          <w:sz w:val="28"/>
          <w:szCs w:val="28"/>
          <w:rtl/>
        </w:rPr>
        <w:t xml:space="preserve"> بطريقة مشابهة نوعا لما حدث في الو.م.إ، ظهر الاستشراف في فرنسا لخدمة احتياجات الدولة؛ فبعد نهاية الحرب العالمية الثانية وجدت الإدارة الفرنسية نفسها في مواجهة خيارات عملية إعادة بناء ما خربته الحرب من منشآت قاعدية أساسية؛ هنا الاستشراف قاد الدولة من خلال مبادرات علماء الاستشراف وعلى رأسهم نجد</w:t>
      </w:r>
      <w:r w:rsidRPr="00B03DCB">
        <w:rPr>
          <w:rFonts w:ascii="Simplified Arabic" w:hAnsi="Simplified Arabic" w:cs="Simplified Arabic"/>
          <w:sz w:val="28"/>
          <w:szCs w:val="28"/>
        </w:rPr>
        <w:t xml:space="preserve"> </w:t>
      </w:r>
      <w:r w:rsidRPr="00B03DCB">
        <w:rPr>
          <w:rFonts w:ascii="Simplified Arabic" w:hAnsi="Simplified Arabic" w:cs="Simplified Arabic"/>
          <w:sz w:val="28"/>
          <w:szCs w:val="28"/>
          <w:rtl/>
        </w:rPr>
        <w:t xml:space="preserve"> الذين انشئوا منظمات استشرافية وابتكروا أدوات خاصة بهم، أسست لعلم الاستشراف وجعلت منه أكثر احترافية</w:t>
      </w:r>
      <w:r w:rsidRPr="00B03DCB">
        <w:rPr>
          <w:rFonts w:ascii="Simplified Arabic" w:hAnsi="Simplified Arabic" w:cs="Simplified Arabic"/>
          <w:sz w:val="28"/>
          <w:szCs w:val="28"/>
        </w:rPr>
        <w:t>.</w:t>
      </w:r>
    </w:p>
    <w:p w:rsidR="002316E0" w:rsidRPr="00B03DCB" w:rsidRDefault="002316E0" w:rsidP="002316E0">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lastRenderedPageBreak/>
        <w:t xml:space="preserve">ما ميز منهج الاستشرافي الفرنسي ربطه بالتخطيط الاقتصادي والاجتماعي؛وبالخصوص التخطيط لإعادة البناء، حيث لم يكن للتخطيط الأمني الدفاعي أي دور في الاستشراف الفرنسي؛ ومنه يمكن وصف الاستشراف الفرنسي بأنه أكثر اجتماعية وأكثر إنسانية وأكثر شمولية منه في الو.م.أ. </w:t>
      </w:r>
    </w:p>
    <w:p w:rsidR="002316E0" w:rsidRPr="00B03DCB" w:rsidRDefault="002316E0" w:rsidP="002316E0">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ومن مميزات منهج الاستشراف الفرنسي أيضا في بداياته قبل سنة 1960 ،وقبل انطلاق مشروع كان لا يملك أي منهج أو أسلوب واضح المعالم، بل كان يعتمد فقط على المبادئ، فالمستشرفين الفرنسيين لم يهتموا بتطوير مناهج الاستشراف وابتكار أساليب وأدوات خاصة بهم، فقد انصب اهتمامهم على تقديم آرائهم وتصوراتهم دون اللجوء إلى مناهج علمية</w:t>
      </w:r>
      <w:r w:rsidRPr="00B03DCB">
        <w:rPr>
          <w:rFonts w:ascii="Simplified Arabic" w:hAnsi="Simplified Arabic" w:cs="Simplified Arabic"/>
          <w:sz w:val="28"/>
          <w:szCs w:val="28"/>
        </w:rPr>
        <w:t>.</w:t>
      </w:r>
    </w:p>
    <w:p w:rsidR="002316E0" w:rsidRPr="00B03DCB" w:rsidRDefault="002316E0" w:rsidP="002316E0">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 xml:space="preserve">لكن وبعد تبني منهج السيناريوهات ضمن مشروع </w:t>
      </w:r>
      <w:r w:rsidRPr="00B03DCB">
        <w:rPr>
          <w:rFonts w:ascii="Simplified Arabic" w:hAnsi="Simplified Arabic" w:cs="Simplified Arabic"/>
          <w:sz w:val="28"/>
          <w:szCs w:val="28"/>
        </w:rPr>
        <w:t xml:space="preserve">DATAR </w:t>
      </w:r>
      <w:r w:rsidRPr="00B03DCB">
        <w:rPr>
          <w:rFonts w:ascii="Simplified Arabic" w:hAnsi="Simplified Arabic" w:cs="Simplified Arabic"/>
          <w:sz w:val="28"/>
          <w:szCs w:val="28"/>
          <w:rtl/>
        </w:rPr>
        <w:t xml:space="preserve"> سنة 1963 بقيادة</w:t>
      </w:r>
      <w:r w:rsidRPr="00B03DCB">
        <w:rPr>
          <w:rFonts w:ascii="Simplified Arabic" w:hAnsi="Simplified Arabic" w:cs="Simplified Arabic"/>
          <w:sz w:val="28"/>
          <w:szCs w:val="28"/>
        </w:rPr>
        <w:t xml:space="preserve">Massé Pierre </w:t>
      </w:r>
      <w:r w:rsidRPr="00B03DCB">
        <w:rPr>
          <w:rFonts w:ascii="Simplified Arabic" w:hAnsi="Simplified Arabic" w:cs="Simplified Arabic"/>
          <w:sz w:val="28"/>
          <w:szCs w:val="28"/>
          <w:rtl/>
        </w:rPr>
        <w:t xml:space="preserve"> وكان الهدف من دراساتهم هو "تغيير العالم" من خلال إعادة تصميم الإقليم أصبح منهج الاستشراف الفرنسي مبني على أسس علمية.</w:t>
      </w:r>
    </w:p>
    <w:p w:rsidR="002316E0" w:rsidRPr="00B03DCB" w:rsidRDefault="002316E0" w:rsidP="002316E0">
      <w:pPr>
        <w:pStyle w:val="Paragraphedeliste"/>
        <w:numPr>
          <w:ilvl w:val="1"/>
          <w:numId w:val="8"/>
        </w:numPr>
        <w:bidi/>
        <w:spacing w:before="60" w:after="60" w:line="276" w:lineRule="auto"/>
        <w:ind w:left="-2" w:firstLine="52"/>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 xml:space="preserve">في اليابان </w:t>
      </w:r>
      <w:r w:rsidRPr="00B03DCB">
        <w:rPr>
          <w:rFonts w:ascii="Simplified Arabic" w:hAnsi="Simplified Arabic" w:cs="Simplified Arabic"/>
          <w:sz w:val="28"/>
          <w:szCs w:val="28"/>
          <w:rtl/>
        </w:rPr>
        <w:t>التخطيط والاستشراف أخذ مكانة مهمة في اليابان لدى كل من الإدارات العمومية والمؤسسات؛ كما نجد أن اليابانيين سواء كانوا أفرادا أو صناع قرار أو مؤسسات فإنهم يهتمون كثيرا بمسالة الأفق الزمني الطويل؛ فكما تمتد حضارتهم لقرون طويلة من الزمن فإنهم يعالجون المستقبل بنفس الطريقة(أي بعد النظر</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 xml:space="preserve">إن ما يميز أكثر منهج الاستشراف الياباني هو نظرتهم للمستقبل؛ فهم يوفقون بين آفاق المستقبل الثلاثة </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المستقبل القريب؛ المستقبل المتوسط والمستقبل البعيد) حيث بعد نهاية الحرب العالمية الثانية وضع اليابانيون هدف إعادة بناء اليابان نصب أعينهم؛ ففرضوا على أي حكومة جديدة ضرورة تقديم خطة متوسطة الأجل )5-4 سنوات( تصف إستراتيجيتها نحو المستقبل.</w:t>
      </w:r>
    </w:p>
    <w:p w:rsidR="002316E0" w:rsidRPr="00B03DCB" w:rsidRDefault="002316E0" w:rsidP="002316E0">
      <w:pPr>
        <w:bidi/>
        <w:spacing w:before="60" w:after="60" w:line="276" w:lineRule="auto"/>
        <w:jc w:val="both"/>
        <w:rPr>
          <w:rFonts w:ascii="Simplified Arabic" w:hAnsi="Simplified Arabic" w:cs="Simplified Arabic"/>
          <w:sz w:val="28"/>
          <w:szCs w:val="28"/>
          <w:rtl/>
        </w:rPr>
      </w:pPr>
      <w:r w:rsidRPr="00B03DCB">
        <w:rPr>
          <w:rFonts w:ascii="Simplified Arabic" w:hAnsi="Simplified Arabic" w:cs="Simplified Arabic"/>
          <w:sz w:val="28"/>
          <w:szCs w:val="28"/>
          <w:rtl/>
        </w:rPr>
        <w:t>كما تلعب وزارة الصناعة، التكنولوجيا والاقتصاد</w:t>
      </w:r>
      <w:r w:rsidRPr="00B03DCB">
        <w:rPr>
          <w:rFonts w:ascii="Simplified Arabic" w:hAnsi="Simplified Arabic" w:cs="Simplified Arabic"/>
          <w:sz w:val="28"/>
          <w:szCs w:val="28"/>
        </w:rPr>
        <w:t xml:space="preserve">  </w:t>
      </w:r>
      <w:r w:rsidRPr="00B03DCB">
        <w:rPr>
          <w:rFonts w:ascii="Simplified Arabic" w:hAnsi="Simplified Arabic" w:cs="Simplified Arabic"/>
          <w:sz w:val="28"/>
          <w:szCs w:val="28"/>
          <w:rtl/>
        </w:rPr>
        <w:t>دور مستشار الحكومة اليابانية فيما يخص بناء السياسات الاقتصادية والاستراتيجيات الصناعية؛ وهي تعد مرجع أساسي للتزود بالدراسات الاستشرافية الدقيقة والفعالة</w:t>
      </w:r>
      <w:r w:rsidRPr="00B03DCB">
        <w:rPr>
          <w:rFonts w:ascii="Simplified Arabic" w:hAnsi="Simplified Arabic" w:cs="Simplified Arabic"/>
          <w:sz w:val="28"/>
          <w:szCs w:val="28"/>
        </w:rPr>
        <w:t>.</w:t>
      </w:r>
    </w:p>
    <w:p w:rsidR="002316E0" w:rsidRPr="00B03DCB" w:rsidRDefault="002316E0" w:rsidP="002316E0">
      <w:pPr>
        <w:bidi/>
        <w:spacing w:before="60" w:after="60" w:line="276" w:lineRule="auto"/>
        <w:jc w:val="both"/>
        <w:rPr>
          <w:rFonts w:ascii="Simplified Arabic" w:hAnsi="Simplified Arabic" w:cs="Simplified Arabic"/>
          <w:sz w:val="28"/>
          <w:szCs w:val="28"/>
        </w:rPr>
      </w:pPr>
      <w:r w:rsidRPr="00B03DCB">
        <w:rPr>
          <w:rFonts w:ascii="Simplified Arabic" w:hAnsi="Simplified Arabic" w:cs="Simplified Arabic"/>
          <w:sz w:val="28"/>
          <w:szCs w:val="28"/>
          <w:rtl/>
        </w:rPr>
        <w:t>كما نجد أيضا أن الهيئات والمؤسسات اليابانية المختلفة تستعين بخدمات "مراكز التفكير</w:t>
      </w:r>
      <w:r w:rsidRPr="00B03DCB">
        <w:rPr>
          <w:rFonts w:ascii="Simplified Arabic" w:hAnsi="Simplified Arabic" w:cs="Simplified Arabic"/>
          <w:sz w:val="28"/>
          <w:szCs w:val="28"/>
        </w:rPr>
        <w:t xml:space="preserve"> Tanks Think" </w:t>
      </w:r>
      <w:r w:rsidRPr="00B03DCB">
        <w:rPr>
          <w:rFonts w:ascii="Simplified Arabic" w:hAnsi="Simplified Arabic" w:cs="Simplified Arabic"/>
          <w:sz w:val="28"/>
          <w:szCs w:val="28"/>
          <w:rtl/>
        </w:rPr>
        <w:t>المنتشرة بكثرة؛ ويعد "معهد البحث نوميرا</w:t>
      </w:r>
      <w:r w:rsidRPr="00B03DCB">
        <w:rPr>
          <w:rFonts w:ascii="Simplified Arabic" w:hAnsi="Simplified Arabic" w:cs="Simplified Arabic"/>
          <w:sz w:val="28"/>
          <w:szCs w:val="28"/>
        </w:rPr>
        <w:t xml:space="preserve"> Institute Research Nomura "</w:t>
      </w:r>
      <w:r w:rsidRPr="00B03DCB">
        <w:rPr>
          <w:rFonts w:ascii="Simplified Arabic" w:hAnsi="Simplified Arabic" w:cs="Simplified Arabic"/>
          <w:sz w:val="28"/>
          <w:szCs w:val="28"/>
          <w:rtl/>
        </w:rPr>
        <w:t xml:space="preserve">أشهرها، تأسس هذا المركز سنة </w:t>
      </w:r>
      <w:r w:rsidRPr="00B03DCB">
        <w:rPr>
          <w:rFonts w:ascii="Simplified Arabic" w:hAnsi="Simplified Arabic" w:cs="Simplified Arabic"/>
          <w:sz w:val="28"/>
          <w:szCs w:val="28"/>
        </w:rPr>
        <w:t xml:space="preserve">1965 </w:t>
      </w:r>
      <w:r w:rsidRPr="00B03DCB">
        <w:rPr>
          <w:rFonts w:ascii="Simplified Arabic" w:hAnsi="Simplified Arabic" w:cs="Simplified Arabic"/>
          <w:sz w:val="28"/>
          <w:szCs w:val="28"/>
          <w:rtl/>
        </w:rPr>
        <w:t xml:space="preserve">م، وهو مكتب دراسات متخصص في معالجة المعلومات؛ وهناك أيضا "معهد تكنولوجيات المستقبل وهو يعرف اليوم تحت اسم </w:t>
      </w:r>
      <w:r w:rsidRPr="00B03DCB">
        <w:rPr>
          <w:rFonts w:ascii="Simplified Arabic" w:hAnsi="Simplified Arabic" w:cs="Simplified Arabic"/>
          <w:sz w:val="28"/>
          <w:szCs w:val="28"/>
        </w:rPr>
        <w:t xml:space="preserve">" Institute for the Technologies of the Future (IFTF) </w:t>
      </w:r>
      <w:r w:rsidRPr="00B03DCB">
        <w:rPr>
          <w:rFonts w:ascii="Simplified Arabic" w:hAnsi="Simplified Arabic" w:cs="Simplified Arabic"/>
          <w:sz w:val="28"/>
          <w:szCs w:val="28"/>
        </w:rPr>
        <w:lastRenderedPageBreak/>
        <w:t xml:space="preserve">Future the for Institute </w:t>
      </w:r>
      <w:r w:rsidRPr="00B03DCB">
        <w:rPr>
          <w:rFonts w:ascii="Simplified Arabic" w:hAnsi="Simplified Arabic" w:cs="Simplified Arabic"/>
          <w:sz w:val="28"/>
          <w:szCs w:val="28"/>
          <w:rtl/>
        </w:rPr>
        <w:t>،</w:t>
      </w:r>
      <w:r w:rsidRPr="00B03DCB">
        <w:rPr>
          <w:rFonts w:ascii="Simplified Arabic" w:hAnsi="Simplified Arabic" w:cs="Simplified Arabic"/>
          <w:sz w:val="28"/>
          <w:szCs w:val="28"/>
        </w:rPr>
        <w:t>"</w:t>
      </w:r>
      <w:r w:rsidRPr="00B03DCB">
        <w:rPr>
          <w:rFonts w:ascii="Simplified Arabic" w:hAnsi="Simplified Arabic" w:cs="Simplified Arabic"/>
          <w:sz w:val="28"/>
          <w:szCs w:val="28"/>
          <w:rtl/>
        </w:rPr>
        <w:t>تم تأسيسه سنة 1972 م، ويقوم بتحليل أثر تطور التكنولوجيات الممكنة أو المحتملة</w:t>
      </w:r>
      <w:r w:rsidRPr="00B03DCB">
        <w:rPr>
          <w:rFonts w:ascii="Simplified Arabic" w:hAnsi="Simplified Arabic" w:cs="Simplified Arabic"/>
          <w:sz w:val="28"/>
          <w:szCs w:val="28"/>
        </w:rPr>
        <w:t xml:space="preserve">. </w:t>
      </w:r>
    </w:p>
    <w:p w:rsidR="002316E0" w:rsidRPr="00B03DCB" w:rsidRDefault="002316E0" w:rsidP="002316E0">
      <w:pPr>
        <w:pStyle w:val="Paragraphedeliste"/>
        <w:numPr>
          <w:ilvl w:val="0"/>
          <w:numId w:val="8"/>
        </w:numPr>
        <w:tabs>
          <w:tab w:val="right" w:pos="423"/>
        </w:tabs>
        <w:bidi/>
        <w:spacing w:before="60" w:after="60" w:line="276" w:lineRule="auto"/>
        <w:contextualSpacing w:val="0"/>
        <w:jc w:val="both"/>
        <w:rPr>
          <w:rFonts w:ascii="Simplified Arabic" w:hAnsi="Simplified Arabic" w:cs="Simplified Arabic"/>
          <w:b/>
          <w:bCs/>
          <w:color w:val="000000"/>
          <w:sz w:val="28"/>
          <w:szCs w:val="28"/>
        </w:rPr>
      </w:pPr>
      <w:r w:rsidRPr="00B03DCB">
        <w:rPr>
          <w:rFonts w:ascii="Simplified Arabic" w:hAnsi="Simplified Arabic" w:cs="Simplified Arabic"/>
          <w:b/>
          <w:bCs/>
          <w:sz w:val="28"/>
          <w:szCs w:val="28"/>
          <w:rtl/>
          <w:lang w:bidi="ar-DZ"/>
        </w:rPr>
        <w:t>ت</w:t>
      </w:r>
      <w:r w:rsidRPr="00B03DCB">
        <w:rPr>
          <w:rFonts w:ascii="Simplified Arabic" w:hAnsi="Simplified Arabic" w:cs="Simplified Arabic"/>
          <w:b/>
          <w:bCs/>
          <w:color w:val="000000"/>
          <w:sz w:val="28"/>
          <w:szCs w:val="28"/>
          <w:rtl/>
        </w:rPr>
        <w:t>عريف استشراف المهن والكفاءات</w:t>
      </w:r>
    </w:p>
    <w:p w:rsidR="002316E0" w:rsidRPr="00B03DCB" w:rsidRDefault="002316E0" w:rsidP="002316E0">
      <w:pPr>
        <w:pStyle w:val="Corpsdetexte2"/>
        <w:numPr>
          <w:ilvl w:val="1"/>
          <w:numId w:val="8"/>
        </w:numPr>
        <w:tabs>
          <w:tab w:val="right" w:pos="423"/>
          <w:tab w:val="right" w:pos="706"/>
          <w:tab w:val="right" w:pos="848"/>
        </w:tabs>
        <w:bidi/>
        <w:spacing w:before="60" w:after="60" w:line="276" w:lineRule="auto"/>
        <w:ind w:left="139" w:firstLine="52"/>
        <w:rPr>
          <w:rFonts w:ascii="Simplified Arabic" w:hAnsi="Simplified Arabic" w:cs="Simplified Arabic"/>
          <w:sz w:val="28"/>
          <w:szCs w:val="28"/>
          <w:rtl/>
          <w:lang w:val="en-US" w:bidi="ar-DZ"/>
        </w:rPr>
      </w:pPr>
      <w:r w:rsidRPr="00B03DCB">
        <w:rPr>
          <w:rFonts w:ascii="Simplified Arabic" w:hAnsi="Simplified Arabic" w:cs="Simplified Arabic"/>
          <w:b/>
          <w:bCs/>
          <w:sz w:val="28"/>
          <w:szCs w:val="28"/>
          <w:rtl/>
          <w:lang w:val="fr-FR"/>
        </w:rPr>
        <w:t>مفهوم الاستشراف</w:t>
      </w:r>
      <w:r w:rsidRPr="00B03DCB">
        <w:rPr>
          <w:rFonts w:ascii="Simplified Arabic" w:hAnsi="Simplified Arabic" w:cs="Simplified Arabic"/>
          <w:b/>
          <w:bCs/>
          <w:color w:val="000000"/>
          <w:sz w:val="28"/>
          <w:szCs w:val="28"/>
          <w:rtl/>
        </w:rPr>
        <w:t>:</w:t>
      </w:r>
      <w:r w:rsidRPr="00B03DCB">
        <w:rPr>
          <w:rFonts w:ascii="Simplified Arabic" w:hAnsi="Simplified Arabic" w:cs="Simplified Arabic"/>
          <w:sz w:val="28"/>
          <w:szCs w:val="28"/>
          <w:rtl/>
          <w:lang w:val="fr-FR"/>
        </w:rPr>
        <w:t xml:space="preserve"> </w:t>
      </w:r>
      <w:r w:rsidRPr="00B03DCB">
        <w:rPr>
          <w:rFonts w:ascii="Simplified Arabic" w:hAnsi="Simplified Arabic" w:cs="Simplified Arabic"/>
          <w:sz w:val="28"/>
          <w:szCs w:val="28"/>
          <w:rtl/>
        </w:rPr>
        <w:t xml:space="preserve">يمكن تعريفه </w:t>
      </w:r>
      <w:r w:rsidRPr="00B03DCB">
        <w:rPr>
          <w:rFonts w:ascii="Simplified Arabic" w:hAnsi="Simplified Arabic" w:cs="Simplified Arabic"/>
          <w:sz w:val="28"/>
          <w:szCs w:val="28"/>
          <w:rtl/>
          <w:lang w:val="en-US" w:bidi="ar-DZ"/>
        </w:rPr>
        <w:t>هو استباق يستعد للفعل ،ينير العمل الحاضر على ضوء المستقبلات الممكنة و المأمولة ،فهو ينير العمل الحاضر على ضوء المستقبلات الممكنة و المأمولة .</w:t>
      </w:r>
    </w:p>
    <w:p w:rsidR="002316E0" w:rsidRPr="00B03DCB" w:rsidRDefault="002316E0" w:rsidP="002316E0">
      <w:pPr>
        <w:bidi/>
        <w:spacing w:before="60" w:after="60" w:line="276" w:lineRule="auto"/>
        <w:jc w:val="both"/>
        <w:rPr>
          <w:rFonts w:ascii="Simplified Arabic" w:hAnsi="Simplified Arabic" w:cs="Simplified Arabic"/>
          <w:b/>
          <w:bCs/>
          <w:color w:val="000000"/>
          <w:sz w:val="28"/>
          <w:szCs w:val="28"/>
          <w:rtl/>
        </w:rPr>
      </w:pPr>
      <w:r>
        <w:rPr>
          <w:rFonts w:ascii="Simplified Arabic" w:hAnsi="Simplified Arabic" w:cs="Simplified Arabic" w:hint="cs"/>
          <w:color w:val="000000"/>
          <w:sz w:val="28"/>
          <w:szCs w:val="28"/>
          <w:rtl/>
          <w:lang w:bidi="ar-DZ"/>
        </w:rPr>
        <w:t>ا</w:t>
      </w:r>
      <w:r w:rsidRPr="00B03DCB">
        <w:rPr>
          <w:rFonts w:ascii="Simplified Arabic" w:hAnsi="Simplified Arabic" w:cs="Simplified Arabic"/>
          <w:color w:val="000000"/>
          <w:sz w:val="28"/>
          <w:szCs w:val="28"/>
          <w:rtl/>
        </w:rPr>
        <w:t>ن الاستشراف هو محصلة لكل من:</w:t>
      </w:r>
      <w:r w:rsidRPr="00B03DCB">
        <w:rPr>
          <w:rFonts w:ascii="Simplified Arabic" w:hAnsi="Simplified Arabic" w:cs="Simplified Arabic"/>
          <w:color w:val="000000"/>
          <w:sz w:val="28"/>
          <w:szCs w:val="28"/>
        </w:rPr>
        <w:t xml:space="preserve"> </w:t>
      </w:r>
      <w:r w:rsidRPr="00B03DCB">
        <w:rPr>
          <w:rFonts w:ascii="Simplified Arabic" w:hAnsi="Simplified Arabic" w:cs="Simplified Arabic"/>
          <w:b/>
          <w:bCs/>
          <w:color w:val="000000"/>
          <w:sz w:val="28"/>
          <w:szCs w:val="28"/>
          <w:rtl/>
        </w:rPr>
        <w:t>التوقع، الاستباق، اليقظة الوظيفية الوظيفية، التخطيط.</w:t>
      </w:r>
    </w:p>
    <w:p w:rsidR="002316E0" w:rsidRPr="00B03DCB" w:rsidRDefault="002316E0" w:rsidP="002316E0">
      <w:pPr>
        <w:pStyle w:val="Paragraphedeliste"/>
        <w:numPr>
          <w:ilvl w:val="0"/>
          <w:numId w:val="4"/>
        </w:numPr>
        <w:bidi/>
        <w:spacing w:before="60" w:after="60" w:line="276" w:lineRule="auto"/>
        <w:contextualSpacing w:val="0"/>
        <w:jc w:val="both"/>
        <w:rPr>
          <w:rFonts w:ascii="Simplified Arabic" w:hAnsi="Simplified Arabic" w:cs="Simplified Arabic"/>
          <w:b/>
          <w:bCs/>
          <w:sz w:val="28"/>
          <w:szCs w:val="28"/>
          <w:lang w:val="en-US" w:bidi="ar-DZ"/>
        </w:rPr>
      </w:pPr>
      <w:r w:rsidRPr="00B03DCB">
        <w:rPr>
          <w:rFonts w:ascii="Simplified Arabic" w:hAnsi="Simplified Arabic" w:cs="Simplified Arabic"/>
          <w:b/>
          <w:bCs/>
          <w:sz w:val="28"/>
          <w:szCs w:val="28"/>
          <w:rtl/>
          <w:lang w:val="en-US" w:bidi="ar-DZ"/>
        </w:rPr>
        <w:t xml:space="preserve">تعريف التخطيط :عرفه أكوف على أنه تصور مستقبل مرغوب ،و كذا تصور الوسائل الفعلية التي تؤدي إليه :"الإستشراف يدور حول دائرتين و يشتغل عليهما هي دائرة تهيئة ظروف الفعل ،دائرة استحداث الفعل . ،كل من الإستشراف و الإستراتيجية إلى معنى الذكاء في استحداث التصورات الذكية حول المستقبل من خلال استحداث أبجديات الراهن وفق تصورات المستقبل </w:t>
      </w:r>
      <w:sdt>
        <w:sdtPr>
          <w:rPr>
            <w:rFonts w:ascii="Simplified Arabic" w:hAnsi="Simplified Arabic" w:cs="Simplified Arabic"/>
            <w:sz w:val="28"/>
            <w:szCs w:val="28"/>
            <w:rtl/>
            <w:lang w:val="en-US" w:bidi="ar-DZ"/>
          </w:rPr>
          <w:id w:val="58747225"/>
          <w:citation/>
        </w:sdtPr>
        <w:sdtContent>
          <w:r w:rsidRPr="00B03DCB">
            <w:rPr>
              <w:rFonts w:ascii="Simplified Arabic" w:hAnsi="Simplified Arabic" w:cs="Simplified Arabic"/>
              <w:sz w:val="28"/>
              <w:szCs w:val="28"/>
              <w:rtl/>
              <w:lang w:val="en-US" w:bidi="ar-DZ"/>
            </w:rPr>
            <w:fldChar w:fldCharType="begin"/>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lang w:val="en-US" w:bidi="ar-DZ"/>
            </w:rPr>
            <w:instrText>CITATION</w:instrText>
          </w:r>
          <w:r w:rsidRPr="00B03DCB">
            <w:rPr>
              <w:rFonts w:ascii="Simplified Arabic" w:hAnsi="Simplified Arabic" w:cs="Simplified Arabic"/>
              <w:sz w:val="28"/>
              <w:szCs w:val="28"/>
              <w:rtl/>
              <w:lang w:val="en-US" w:bidi="ar-DZ"/>
            </w:rPr>
            <w:instrText xml:space="preserve"> غود \</w:instrText>
          </w:r>
          <w:r w:rsidRPr="00B03DCB">
            <w:rPr>
              <w:rFonts w:ascii="Simplified Arabic" w:hAnsi="Simplified Arabic" w:cs="Simplified Arabic"/>
              <w:sz w:val="28"/>
              <w:szCs w:val="28"/>
              <w:lang w:val="en-US" w:bidi="ar-DZ"/>
            </w:rPr>
            <w:instrText>p 15 \l 5121</w:instrText>
          </w:r>
          <w:r w:rsidRPr="00B03DCB">
            <w:rPr>
              <w:rFonts w:ascii="Simplified Arabic" w:hAnsi="Simplified Arabic" w:cs="Simplified Arabic"/>
              <w:sz w:val="28"/>
              <w:szCs w:val="28"/>
              <w:rtl/>
              <w:lang w:val="en-US" w:bidi="ar-DZ"/>
            </w:rPr>
            <w:instrText xml:space="preserve">  </w:instrText>
          </w:r>
          <w:r w:rsidRPr="00B03DCB">
            <w:rPr>
              <w:rFonts w:ascii="Simplified Arabic" w:hAnsi="Simplified Arabic" w:cs="Simplified Arabic"/>
              <w:sz w:val="28"/>
              <w:szCs w:val="28"/>
              <w:rtl/>
              <w:lang w:val="en-US" w:bidi="ar-DZ"/>
            </w:rPr>
            <w:fldChar w:fldCharType="separate"/>
          </w:r>
          <w:r w:rsidRPr="00B03DCB">
            <w:rPr>
              <w:rFonts w:ascii="Simplified Arabic" w:hAnsi="Simplified Arabic" w:cs="Simplified Arabic"/>
              <w:noProof/>
              <w:sz w:val="28"/>
              <w:szCs w:val="28"/>
              <w:rtl/>
              <w:lang w:val="en-US" w:bidi="ar-DZ"/>
            </w:rPr>
            <w:t>(غوديه و دوران، 2011، صفحة 15)</w:t>
          </w:r>
          <w:r w:rsidRPr="00B03DCB">
            <w:rPr>
              <w:rFonts w:ascii="Simplified Arabic" w:hAnsi="Simplified Arabic" w:cs="Simplified Arabic"/>
              <w:sz w:val="28"/>
              <w:szCs w:val="28"/>
              <w:rtl/>
              <w:lang w:val="en-US" w:bidi="ar-DZ"/>
            </w:rPr>
            <w:fldChar w:fldCharType="end"/>
          </w:r>
        </w:sdtContent>
      </w:sdt>
      <w:r w:rsidRPr="00B03DCB">
        <w:rPr>
          <w:rFonts w:ascii="Simplified Arabic" w:hAnsi="Simplified Arabic" w:cs="Simplified Arabic"/>
          <w:b/>
          <w:bCs/>
          <w:sz w:val="28"/>
          <w:szCs w:val="28"/>
          <w:rtl/>
          <w:lang w:val="en-US" w:bidi="ar-DZ"/>
        </w:rPr>
        <w:t>.</w:t>
      </w:r>
    </w:p>
    <w:p w:rsidR="002316E0" w:rsidRPr="00B03DCB" w:rsidRDefault="002316E0" w:rsidP="002316E0">
      <w:pPr>
        <w:pStyle w:val="Paragraphedeliste"/>
        <w:numPr>
          <w:ilvl w:val="0"/>
          <w:numId w:val="4"/>
        </w:numPr>
        <w:tabs>
          <w:tab w:val="right" w:pos="990"/>
        </w:tabs>
        <w:bidi/>
        <w:spacing w:before="60" w:after="60" w:line="276" w:lineRule="auto"/>
        <w:ind w:left="706"/>
        <w:contextualSpacing w:val="0"/>
        <w:jc w:val="both"/>
        <w:rPr>
          <w:rFonts w:ascii="Simplified Arabic" w:hAnsi="Simplified Arabic" w:cs="Simplified Arabic"/>
          <w:sz w:val="28"/>
          <w:szCs w:val="28"/>
          <w:rtl/>
        </w:rPr>
      </w:pPr>
      <w:r w:rsidRPr="00B03DCB">
        <w:rPr>
          <w:rFonts w:ascii="Simplified Arabic" w:hAnsi="Simplified Arabic" w:cs="Simplified Arabic"/>
          <w:b/>
          <w:bCs/>
          <w:sz w:val="28"/>
          <w:szCs w:val="28"/>
          <w:rtl/>
        </w:rPr>
        <w:t xml:space="preserve">التوقع </w:t>
      </w:r>
      <w:r w:rsidRPr="00B03DCB">
        <w:rPr>
          <w:rFonts w:ascii="Simplified Arabic" w:hAnsi="Simplified Arabic" w:cs="Simplified Arabic"/>
          <w:b/>
          <w:bCs/>
          <w:sz w:val="28"/>
          <w:szCs w:val="28"/>
          <w:rtl/>
          <w:lang w:val="en-US" w:bidi="ar-DZ"/>
        </w:rPr>
        <w:t>:</w:t>
      </w:r>
      <w:r w:rsidRPr="00B03DCB">
        <w:rPr>
          <w:rFonts w:ascii="Simplified Arabic" w:hAnsi="Simplified Arabic" w:cs="Simplified Arabic"/>
          <w:sz w:val="28"/>
          <w:szCs w:val="28"/>
          <w:rtl/>
        </w:rPr>
        <w:t>هو تقدير للمستقبل مصحوب بقدر من الثقة.</w:t>
      </w:r>
    </w:p>
    <w:p w:rsidR="002316E0" w:rsidRPr="00B03DCB" w:rsidRDefault="002316E0" w:rsidP="002316E0">
      <w:pPr>
        <w:pStyle w:val="Paragraphedeliste"/>
        <w:numPr>
          <w:ilvl w:val="0"/>
          <w:numId w:val="4"/>
        </w:numPr>
        <w:tabs>
          <w:tab w:val="right" w:pos="990"/>
        </w:tabs>
        <w:bidi/>
        <w:spacing w:before="60" w:after="60" w:line="276" w:lineRule="auto"/>
        <w:ind w:left="281" w:firstLine="0"/>
        <w:contextualSpacing w:val="0"/>
        <w:jc w:val="both"/>
        <w:rPr>
          <w:rFonts w:ascii="Simplified Arabic" w:hAnsi="Simplified Arabic" w:cs="Simplified Arabic"/>
          <w:b/>
          <w:bCs/>
          <w:sz w:val="28"/>
          <w:szCs w:val="28"/>
        </w:rPr>
      </w:pPr>
      <w:r w:rsidRPr="00B03DCB">
        <w:rPr>
          <w:rFonts w:ascii="Simplified Arabic" w:hAnsi="Simplified Arabic" w:cs="Simplified Arabic"/>
          <w:b/>
          <w:bCs/>
          <w:sz w:val="28"/>
          <w:szCs w:val="28"/>
          <w:rtl/>
        </w:rPr>
        <w:t>اليقظة الوظيفية</w:t>
      </w:r>
      <w:r w:rsidRPr="00B03DCB">
        <w:rPr>
          <w:rFonts w:ascii="Simplified Arabic" w:hAnsi="Simplified Arabic" w:cs="Simplified Arabic"/>
          <w:sz w:val="28"/>
          <w:szCs w:val="28"/>
          <w:rtl/>
          <w:lang w:val="en-US" w:bidi="ar-DZ"/>
        </w:rPr>
        <w:t xml:space="preserve">: </w:t>
      </w:r>
      <w:r w:rsidRPr="00B03DCB">
        <w:rPr>
          <w:rFonts w:ascii="Simplified Arabic" w:hAnsi="Simplified Arabic" w:cs="Simplified Arabic"/>
          <w:sz w:val="28"/>
          <w:szCs w:val="28"/>
          <w:rtl/>
          <w:lang w:val="en-US"/>
        </w:rPr>
        <w:t xml:space="preserve">في نطاق هذه الدراسة النشاط المندمج و المتواصل الذي يهدف إلى متابعة تطور المهن و الوظائف ـ حالا و مستقبلا ـ في المحيط الخارجي للمنظمة، و دراسة واقع الوظائف داخليا ثم العمل على الارتقاء بها إلى مستوى التطورات الحاصلة. يشكل "الإنصات" </w:t>
      </w:r>
      <w:r w:rsidRPr="00B03DCB">
        <w:rPr>
          <w:rFonts w:ascii="Simplified Arabic" w:hAnsi="Simplified Arabic" w:cs="Simplified Arabic"/>
          <w:i/>
          <w:iCs/>
          <w:sz w:val="28"/>
          <w:szCs w:val="28"/>
          <w:lang w:bidi="ar-DZ"/>
        </w:rPr>
        <w:t>L’écoute</w:t>
      </w:r>
      <w:r w:rsidRPr="00B03DCB">
        <w:rPr>
          <w:rFonts w:ascii="Simplified Arabic" w:hAnsi="Simplified Arabic" w:cs="Simplified Arabic"/>
          <w:sz w:val="28"/>
          <w:szCs w:val="28"/>
          <w:rtl/>
          <w:lang w:val="en-US"/>
        </w:rPr>
        <w:t xml:space="preserve"> أحد أهم مقومات اليقظة، و لئن كانت أنواع اليقظة الأخرى تقتصر على بعد واحد من الإنصات ـ الداخلي أو الخارجي ـ فإن اليقظة الوظيفية تعتمد أساسا على البعدين معا </w:t>
      </w:r>
      <w:r w:rsidRPr="00B03DCB">
        <w:rPr>
          <w:rFonts w:ascii="Simplified Arabic" w:hAnsi="Simplified Arabic" w:cs="Simplified Arabic"/>
          <w:sz w:val="28"/>
          <w:szCs w:val="28"/>
          <w:rtl/>
          <w:lang w:val="en-US" w:bidi="ar-DZ"/>
        </w:rPr>
        <w:t xml:space="preserve">و </w:t>
      </w:r>
      <w:r w:rsidRPr="00B03DCB">
        <w:rPr>
          <w:rFonts w:ascii="Simplified Arabic" w:hAnsi="Simplified Arabic" w:cs="Simplified Arabic"/>
          <w:sz w:val="28"/>
          <w:szCs w:val="28"/>
          <w:rtl/>
          <w:lang w:val="en-US"/>
        </w:rPr>
        <w:t>بشكل مندمج</w:t>
      </w:r>
      <w:r w:rsidRPr="00B03DCB">
        <w:rPr>
          <w:rFonts w:ascii="Simplified Arabic" w:hAnsi="Simplified Arabic" w:cs="Simplified Arabic"/>
          <w:sz w:val="28"/>
          <w:szCs w:val="28"/>
          <w:rtl/>
          <w:lang w:val="en-US" w:bidi="ar-DZ"/>
        </w:rPr>
        <w:t>.</w:t>
      </w:r>
    </w:p>
    <w:p w:rsidR="002316E0" w:rsidRPr="00B03DCB" w:rsidRDefault="002316E0" w:rsidP="002316E0">
      <w:pPr>
        <w:pStyle w:val="Paragraphedeliste"/>
        <w:numPr>
          <w:ilvl w:val="0"/>
          <w:numId w:val="4"/>
        </w:numPr>
        <w:tabs>
          <w:tab w:val="right" w:pos="990"/>
        </w:tabs>
        <w:bidi/>
        <w:spacing w:before="60" w:after="60" w:line="276" w:lineRule="auto"/>
        <w:ind w:left="706"/>
        <w:contextualSpacing w:val="0"/>
        <w:jc w:val="both"/>
        <w:rPr>
          <w:rFonts w:ascii="Simplified Arabic" w:hAnsi="Simplified Arabic" w:cs="Simplified Arabic"/>
          <w:sz w:val="28"/>
          <w:szCs w:val="28"/>
        </w:rPr>
      </w:pPr>
      <w:r w:rsidRPr="00B03DCB">
        <w:rPr>
          <w:rFonts w:ascii="Simplified Arabic" w:hAnsi="Simplified Arabic" w:cs="Simplified Arabic"/>
          <w:b/>
          <w:bCs/>
          <w:sz w:val="28"/>
          <w:szCs w:val="28"/>
          <w:rtl/>
        </w:rPr>
        <w:t>الاستباق</w:t>
      </w:r>
      <w:r w:rsidRPr="00B03DCB">
        <w:rPr>
          <w:rFonts w:ascii="Simplified Arabic" w:hAnsi="Simplified Arabic" w:cs="Simplified Arabic"/>
          <w:sz w:val="28"/>
          <w:szCs w:val="28"/>
          <w:rtl/>
          <w:lang w:val="en-US" w:bidi="ar-DZ"/>
        </w:rPr>
        <w:t>: هو القدرة على استشعار ورصد مختلف الإشارات الضعيفة التي يصدرها المحيط قبل حصول الحدث.</w:t>
      </w:r>
    </w:p>
    <w:p w:rsidR="002316E0" w:rsidRPr="00B03DCB" w:rsidRDefault="002316E0" w:rsidP="002316E0">
      <w:pPr>
        <w:bidi/>
        <w:spacing w:before="60" w:after="60" w:line="276" w:lineRule="auto"/>
        <w:jc w:val="both"/>
        <w:rPr>
          <w:rFonts w:ascii="Simplified Arabic" w:hAnsi="Simplified Arabic" w:cs="Simplified Arabic"/>
          <w:color w:val="000000"/>
          <w:sz w:val="28"/>
          <w:szCs w:val="28"/>
          <w:rtl/>
        </w:rPr>
      </w:pPr>
      <w:r w:rsidRPr="00B03DCB">
        <w:rPr>
          <w:rFonts w:ascii="Simplified Arabic" w:hAnsi="Simplified Arabic" w:cs="Simplified Arabic"/>
          <w:b/>
          <w:bCs/>
          <w:color w:val="000000"/>
          <w:sz w:val="28"/>
          <w:szCs w:val="28"/>
          <w:rtl/>
          <w:lang w:bidi="ar-DZ"/>
        </w:rPr>
        <w:t>2-2-</w:t>
      </w:r>
      <w:r w:rsidRPr="00B03DCB">
        <w:rPr>
          <w:rFonts w:ascii="Simplified Arabic" w:hAnsi="Simplified Arabic" w:cs="Simplified Arabic"/>
          <w:b/>
          <w:bCs/>
          <w:color w:val="000000"/>
          <w:sz w:val="28"/>
          <w:szCs w:val="28"/>
          <w:rtl/>
        </w:rPr>
        <w:t>استشراف المهن والكفاءات:</w:t>
      </w:r>
      <w:r w:rsidRPr="00B03DCB">
        <w:rPr>
          <w:rFonts w:ascii="Simplified Arabic" w:hAnsi="Simplified Arabic" w:cs="Simplified Arabic"/>
          <w:color w:val="000000"/>
          <w:sz w:val="28"/>
          <w:szCs w:val="28"/>
          <w:rtl/>
        </w:rPr>
        <w:t xml:space="preserve"> هي عبارة على منهجية لتوقع المستقبل المحتمل من منظور المهارات والأنشطة والمسؤوليات الحالية لمهنة ما، كما يسمح بتصور المعارف الممكنة والمؤهلات والخبرات والسلوكيات التي من شأنها أن تكون غدا قادرة على خدمة</w:t>
      </w:r>
      <w:r w:rsidRPr="00B03DCB">
        <w:rPr>
          <w:rFonts w:ascii="Simplified Arabic" w:hAnsi="Simplified Arabic" w:cs="Simplified Arabic"/>
          <w:color w:val="000000"/>
          <w:sz w:val="28"/>
          <w:szCs w:val="28"/>
        </w:rPr>
        <w:t xml:space="preserve"> </w:t>
      </w:r>
      <w:r w:rsidRPr="00B03DCB">
        <w:rPr>
          <w:rFonts w:ascii="Simplified Arabic" w:hAnsi="Simplified Arabic" w:cs="Simplified Arabic"/>
          <w:color w:val="000000"/>
          <w:sz w:val="28"/>
          <w:szCs w:val="28"/>
          <w:rtl/>
        </w:rPr>
        <w:t>الفرد والمنظمة</w:t>
      </w:r>
      <w:sdt>
        <w:sdtPr>
          <w:rPr>
            <w:rFonts w:ascii="Simplified Arabic" w:hAnsi="Simplified Arabic" w:cs="Simplified Arabic"/>
            <w:sz w:val="28"/>
            <w:szCs w:val="28"/>
            <w:rtl/>
          </w:rPr>
          <w:id w:val="58747249"/>
          <w:citation/>
        </w:sdtPr>
        <w:sdtContent>
          <w:r w:rsidRPr="00B03DCB">
            <w:rPr>
              <w:rFonts w:ascii="Simplified Arabic" w:hAnsi="Simplified Arabic" w:cs="Simplified Arabic"/>
              <w:color w:val="000000"/>
              <w:sz w:val="28"/>
              <w:szCs w:val="28"/>
              <w:rtl/>
            </w:rPr>
            <w:fldChar w:fldCharType="begin"/>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lang w:bidi="ar-DZ"/>
            </w:rPr>
            <w:instrText>CITATION Boy02 \p 365 \l 5121</w:instrText>
          </w:r>
          <w:r w:rsidRPr="00B03DCB">
            <w:rPr>
              <w:rFonts w:ascii="Simplified Arabic" w:hAnsi="Simplified Arabic" w:cs="Simplified Arabic"/>
              <w:color w:val="000000"/>
              <w:sz w:val="28"/>
              <w:szCs w:val="28"/>
              <w:rtl/>
              <w:lang w:bidi="ar-DZ"/>
            </w:rPr>
            <w:instrText xml:space="preserve">  </w:instrText>
          </w:r>
          <w:r w:rsidRPr="00B03DCB">
            <w:rPr>
              <w:rFonts w:ascii="Simplified Arabic" w:hAnsi="Simplified Arabic" w:cs="Simplified Arabic"/>
              <w:color w:val="000000"/>
              <w:sz w:val="28"/>
              <w:szCs w:val="28"/>
              <w:rtl/>
            </w:rPr>
            <w:fldChar w:fldCharType="separate"/>
          </w:r>
          <w:r w:rsidRPr="00B03DCB">
            <w:rPr>
              <w:rFonts w:ascii="Simplified Arabic" w:hAnsi="Simplified Arabic" w:cs="Simplified Arabic"/>
              <w:noProof/>
              <w:color w:val="000000"/>
              <w:sz w:val="28"/>
              <w:szCs w:val="28"/>
              <w:rtl/>
              <w:lang w:bidi="ar-DZ"/>
            </w:rPr>
            <w:t xml:space="preserve"> (</w:t>
          </w:r>
          <w:r w:rsidRPr="00B03DCB">
            <w:rPr>
              <w:rFonts w:ascii="Simplified Arabic" w:hAnsi="Simplified Arabic" w:cs="Simplified Arabic"/>
              <w:noProof/>
              <w:color w:val="000000"/>
              <w:sz w:val="28"/>
              <w:szCs w:val="28"/>
              <w:lang w:bidi="ar-DZ"/>
            </w:rPr>
            <w:t>Scouarnec</w:t>
          </w:r>
          <w:r w:rsidRPr="00B03DCB">
            <w:rPr>
              <w:rFonts w:ascii="Simplified Arabic" w:hAnsi="Simplified Arabic" w:cs="Simplified Arabic"/>
              <w:noProof/>
              <w:color w:val="000000"/>
              <w:sz w:val="28"/>
              <w:szCs w:val="28"/>
              <w:rtl/>
              <w:lang w:bidi="ar-DZ"/>
            </w:rPr>
            <w:t>، 2002، صفحة 365)</w:t>
          </w:r>
          <w:r w:rsidRPr="00B03DCB">
            <w:rPr>
              <w:rFonts w:ascii="Simplified Arabic" w:hAnsi="Simplified Arabic" w:cs="Simplified Arabic"/>
              <w:color w:val="000000"/>
              <w:sz w:val="28"/>
              <w:szCs w:val="28"/>
              <w:rtl/>
            </w:rPr>
            <w:fldChar w:fldCharType="end"/>
          </w:r>
        </w:sdtContent>
      </w:sdt>
      <w:r w:rsidRPr="00B03DCB">
        <w:rPr>
          <w:rFonts w:ascii="Simplified Arabic" w:hAnsi="Simplified Arabic" w:cs="Simplified Arabic"/>
          <w:color w:val="000000"/>
          <w:sz w:val="28"/>
          <w:szCs w:val="28"/>
          <w:rtl/>
        </w:rPr>
        <w:t>.</w:t>
      </w:r>
    </w:p>
    <w:p w:rsidR="002316E0" w:rsidRPr="00B03DCB" w:rsidRDefault="002316E0" w:rsidP="002316E0">
      <w:pPr>
        <w:bidi/>
        <w:spacing w:before="60" w:after="60" w:line="276" w:lineRule="auto"/>
        <w:jc w:val="both"/>
        <w:rPr>
          <w:rFonts w:ascii="Simplified Arabic" w:hAnsi="Simplified Arabic" w:cs="Simplified Arabic"/>
          <w:sz w:val="28"/>
          <w:szCs w:val="28"/>
          <w:shd w:val="clear" w:color="auto" w:fill="FFFFFF"/>
          <w:rtl/>
        </w:rPr>
      </w:pPr>
      <w:r w:rsidRPr="00B03DCB">
        <w:rPr>
          <w:rFonts w:ascii="Simplified Arabic" w:hAnsi="Simplified Arabic" w:cs="Simplified Arabic"/>
          <w:b/>
          <w:bCs/>
          <w:sz w:val="28"/>
          <w:szCs w:val="28"/>
          <w:shd w:val="clear" w:color="auto" w:fill="FFFFFF"/>
          <w:rtl/>
          <w:lang w:bidi="ar-DZ"/>
        </w:rPr>
        <w:t>6- الفرق بين الاستشراف والإستراتيجية والتخطيط الاستراتيجي:</w:t>
      </w:r>
      <w:r w:rsidRPr="00B03DCB">
        <w:rPr>
          <w:rFonts w:ascii="Simplified Arabic" w:hAnsi="Simplified Arabic" w:cs="Simplified Arabic"/>
          <w:sz w:val="28"/>
          <w:szCs w:val="28"/>
          <w:shd w:val="clear" w:color="auto" w:fill="FFFFFF"/>
          <w:rtl/>
          <w:lang w:bidi="ar-DZ"/>
        </w:rPr>
        <w:t xml:space="preserve"> </w:t>
      </w:r>
      <w:r w:rsidRPr="00B03DCB">
        <w:rPr>
          <w:rFonts w:ascii="Simplified Arabic" w:hAnsi="Simplified Arabic" w:cs="Simplified Arabic"/>
          <w:sz w:val="28"/>
          <w:szCs w:val="28"/>
          <w:shd w:val="clear" w:color="auto" w:fill="FFFFFF"/>
          <w:rtl/>
        </w:rPr>
        <w:t xml:space="preserve">إن الاستشراف وإن كان داخلاً في مجال التخطيط الاستراتيجي إلا أنه يختلف عنه، فالأول يعنى بالتعرف على احتمالات ما سوف يكون في </w:t>
      </w:r>
      <w:r w:rsidRPr="00B03DCB">
        <w:rPr>
          <w:rFonts w:ascii="Simplified Arabic" w:hAnsi="Simplified Arabic" w:cs="Simplified Arabic"/>
          <w:sz w:val="28"/>
          <w:szCs w:val="28"/>
          <w:shd w:val="clear" w:color="auto" w:fill="FFFFFF"/>
          <w:rtl/>
        </w:rPr>
        <w:lastRenderedPageBreak/>
        <w:t>المستقبل، أي أن نتائجه متعددة الاحتمالات مع محاولة ترجيح إحداهما دون أن تكون معنية بالوصول لنتيجة معينة.</w:t>
      </w:r>
    </w:p>
    <w:p w:rsidR="002316E0" w:rsidRPr="00B03DCB" w:rsidRDefault="002316E0" w:rsidP="002316E0">
      <w:pPr>
        <w:pStyle w:val="Paragraphedeliste"/>
        <w:numPr>
          <w:ilvl w:val="0"/>
          <w:numId w:val="8"/>
        </w:numPr>
        <w:bidi/>
        <w:spacing w:before="60" w:after="60" w:line="276" w:lineRule="auto"/>
        <w:ind w:left="-2" w:firstLine="0"/>
        <w:contextualSpacing w:val="0"/>
        <w:jc w:val="both"/>
        <w:rPr>
          <w:rFonts w:ascii="Simplified Arabic" w:hAnsi="Simplified Arabic" w:cs="Simplified Arabic"/>
          <w:sz w:val="28"/>
          <w:szCs w:val="28"/>
          <w:shd w:val="clear" w:color="auto" w:fill="FFFFFF"/>
          <w:rtl/>
        </w:rPr>
      </w:pPr>
      <w:r w:rsidRPr="00B03DCB">
        <w:rPr>
          <w:rFonts w:ascii="Simplified Arabic" w:hAnsi="Simplified Arabic" w:cs="Simplified Arabic"/>
          <w:sz w:val="28"/>
          <w:szCs w:val="28"/>
          <w:shd w:val="clear" w:color="auto" w:fill="FFFFFF"/>
          <w:rtl/>
        </w:rPr>
        <w:t>بينما يعنى الثاني (التخطيط الاستراتيجي) بتحديد هدف معين مسبقاً ومحاولة الوصول إليه، وبالتالي فإن الاستشراف يساعد بشكل كبير في توجيه التخطيط الاستراتيجي، أما الإستراتيجية فتستدعي الاستشراف ولو لمجرد توضيح الخيارات التي تلزم المستقبل</w:t>
      </w:r>
      <w:r w:rsidRPr="00B03DCB">
        <w:rPr>
          <w:rFonts w:ascii="Simplified Arabic" w:hAnsi="Simplified Arabic" w:cs="Simplified Arabic"/>
          <w:sz w:val="28"/>
          <w:szCs w:val="28"/>
          <w:shd w:val="clear" w:color="auto" w:fill="FFFFFF"/>
        </w:rPr>
        <w:t>.</w:t>
      </w:r>
    </w:p>
    <w:sectPr w:rsidR="002316E0" w:rsidRPr="00B03DCB" w:rsidSect="0081262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F5C" w:rsidRDefault="00335F5C" w:rsidP="002316E0">
      <w:r>
        <w:separator/>
      </w:r>
    </w:p>
  </w:endnote>
  <w:endnote w:type="continuationSeparator" w:id="1">
    <w:p w:rsidR="00335F5C" w:rsidRDefault="00335F5C" w:rsidP="0023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67842"/>
      <w:docPartObj>
        <w:docPartGallery w:val="Page Numbers (Bottom of Page)"/>
        <w:docPartUnique/>
      </w:docPartObj>
    </w:sdtPr>
    <w:sdtContent>
      <w:p w:rsidR="002316E0" w:rsidRDefault="002316E0">
        <w:pPr>
          <w:pStyle w:val="Pieddepage"/>
          <w:jc w:val="center"/>
        </w:pPr>
        <w:fldSimple w:instr=" PAGE   \* MERGEFORMAT ">
          <w:r w:rsidR="006E4251">
            <w:rPr>
              <w:noProof/>
            </w:rPr>
            <w:t>1</w:t>
          </w:r>
        </w:fldSimple>
      </w:p>
    </w:sdtContent>
  </w:sdt>
  <w:p w:rsidR="002316E0" w:rsidRDefault="002316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F5C" w:rsidRDefault="00335F5C" w:rsidP="002316E0">
      <w:r>
        <w:separator/>
      </w:r>
    </w:p>
  </w:footnote>
  <w:footnote w:type="continuationSeparator" w:id="1">
    <w:p w:rsidR="00335F5C" w:rsidRDefault="00335F5C" w:rsidP="00231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67EC"/>
    <w:multiLevelType w:val="hybridMultilevel"/>
    <w:tmpl w:val="2CDC7D50"/>
    <w:lvl w:ilvl="0" w:tplc="76A4F4E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994564"/>
    <w:multiLevelType w:val="multilevel"/>
    <w:tmpl w:val="90908A2A"/>
    <w:lvl w:ilvl="0">
      <w:start w:val="1"/>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
    <w:nsid w:val="065D4D14"/>
    <w:multiLevelType w:val="hybridMultilevel"/>
    <w:tmpl w:val="8E5E3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331981"/>
    <w:multiLevelType w:val="hybridMultilevel"/>
    <w:tmpl w:val="D7E4F1D4"/>
    <w:lvl w:ilvl="0" w:tplc="A62C7DF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FD4EA7"/>
    <w:multiLevelType w:val="hybridMultilevel"/>
    <w:tmpl w:val="FDB815C2"/>
    <w:lvl w:ilvl="0" w:tplc="2FAAF3FE">
      <w:start w:val="5"/>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F473CB0"/>
    <w:multiLevelType w:val="hybridMultilevel"/>
    <w:tmpl w:val="C690035C"/>
    <w:lvl w:ilvl="0" w:tplc="4754C97C">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830A3B"/>
    <w:multiLevelType w:val="hybridMultilevel"/>
    <w:tmpl w:val="9E12973A"/>
    <w:lvl w:ilvl="0" w:tplc="1D500FCA">
      <w:start w:val="1"/>
      <w:numFmt w:val="arabicAlpha"/>
      <w:lvlText w:val="%1-"/>
      <w:lvlJc w:val="left"/>
      <w:pPr>
        <w:ind w:left="720" w:hanging="360"/>
      </w:pPr>
      <w:rPr>
        <w:rFonts w:hint="default"/>
        <w:b/>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1E39E8"/>
    <w:multiLevelType w:val="hybridMultilevel"/>
    <w:tmpl w:val="DBB671CC"/>
    <w:lvl w:ilvl="0" w:tplc="354C1F66">
      <w:start w:val="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A380680"/>
    <w:multiLevelType w:val="hybridMultilevel"/>
    <w:tmpl w:val="B2722BBC"/>
    <w:lvl w:ilvl="0" w:tplc="0E5E75B8">
      <w:start w:val="1"/>
      <w:numFmt w:val="bullet"/>
      <w:lvlText w:val=""/>
      <w:lvlJc w:val="left"/>
      <w:pPr>
        <w:ind w:left="720" w:hanging="360"/>
      </w:pPr>
      <w:rPr>
        <w:rFonts w:ascii="Symbol" w:eastAsiaTheme="minorEastAsia"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503B1A"/>
    <w:multiLevelType w:val="multilevel"/>
    <w:tmpl w:val="17AEE0F8"/>
    <w:lvl w:ilvl="0">
      <w:start w:val="7"/>
      <w:numFmt w:val="bullet"/>
      <w:lvlText w:val="-"/>
      <w:lvlJc w:val="left"/>
      <w:pPr>
        <w:tabs>
          <w:tab w:val="num" w:pos="720"/>
        </w:tabs>
        <w:ind w:left="720" w:hanging="360"/>
      </w:pPr>
      <w:rPr>
        <w:rFonts w:ascii="Traditional Arabic" w:eastAsiaTheme="minorHAnsi" w:hAnsi="Traditional Arabic" w:cs="Traditional Arabic"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0C77BA"/>
    <w:multiLevelType w:val="hybridMultilevel"/>
    <w:tmpl w:val="F5B85604"/>
    <w:lvl w:ilvl="0" w:tplc="354C1F66">
      <w:start w:val="7"/>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A708EE"/>
    <w:multiLevelType w:val="hybridMultilevel"/>
    <w:tmpl w:val="ABA0CB34"/>
    <w:lvl w:ilvl="0" w:tplc="694019F8">
      <w:start w:val="1"/>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90F7010"/>
    <w:multiLevelType w:val="multilevel"/>
    <w:tmpl w:val="D60C23FC"/>
    <w:lvl w:ilvl="0">
      <w:start w:val="1"/>
      <w:numFmt w:val="decimal"/>
      <w:lvlText w:val="%1-"/>
      <w:lvlJc w:val="left"/>
      <w:pPr>
        <w:ind w:left="720" w:hanging="720"/>
      </w:pPr>
      <w:rPr>
        <w:rFonts w:hint="default"/>
        <w:b/>
      </w:rPr>
    </w:lvl>
    <w:lvl w:ilvl="1">
      <w:start w:val="1"/>
      <w:numFmt w:val="decimal"/>
      <w:lvlText w:val="%1-%2-"/>
      <w:lvlJc w:val="left"/>
      <w:pPr>
        <w:ind w:left="1080" w:hanging="108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880" w:hanging="2880"/>
      </w:pPr>
      <w:rPr>
        <w:rFonts w:hint="default"/>
        <w:b/>
      </w:rPr>
    </w:lvl>
    <w:lvl w:ilvl="8">
      <w:start w:val="1"/>
      <w:numFmt w:val="decimal"/>
      <w:lvlText w:val="%1-%2-%3.%4.%5.%6.%7.%8.%9."/>
      <w:lvlJc w:val="left"/>
      <w:pPr>
        <w:ind w:left="2880" w:hanging="2880"/>
      </w:pPr>
      <w:rPr>
        <w:rFonts w:hint="default"/>
        <w:b/>
      </w:rPr>
    </w:lvl>
  </w:abstractNum>
  <w:abstractNum w:abstractNumId="13">
    <w:nsid w:val="304A50B7"/>
    <w:multiLevelType w:val="hybridMultilevel"/>
    <w:tmpl w:val="9E521AC8"/>
    <w:lvl w:ilvl="0" w:tplc="5CDE3312">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F74B65"/>
    <w:multiLevelType w:val="multilevel"/>
    <w:tmpl w:val="17AEE0F8"/>
    <w:lvl w:ilvl="0">
      <w:start w:val="7"/>
      <w:numFmt w:val="bullet"/>
      <w:lvlText w:val="-"/>
      <w:lvlJc w:val="left"/>
      <w:pPr>
        <w:tabs>
          <w:tab w:val="num" w:pos="720"/>
        </w:tabs>
        <w:ind w:left="720" w:hanging="360"/>
      </w:pPr>
      <w:rPr>
        <w:rFonts w:ascii="Traditional Arabic" w:eastAsiaTheme="minorHAnsi" w:hAnsi="Traditional Arabic" w:cs="Traditional Arabic"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442E60"/>
    <w:multiLevelType w:val="hybridMultilevel"/>
    <w:tmpl w:val="FC027330"/>
    <w:lvl w:ilvl="0" w:tplc="8780DD64">
      <w:start w:val="3"/>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50721C"/>
    <w:multiLevelType w:val="hybridMultilevel"/>
    <w:tmpl w:val="9E82566C"/>
    <w:lvl w:ilvl="0" w:tplc="30A20D3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5A96FB6"/>
    <w:multiLevelType w:val="hybridMultilevel"/>
    <w:tmpl w:val="ADE0D656"/>
    <w:lvl w:ilvl="0" w:tplc="4754C97C">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0F0B12"/>
    <w:multiLevelType w:val="hybridMultilevel"/>
    <w:tmpl w:val="D38EAC00"/>
    <w:lvl w:ilvl="0" w:tplc="3E5A88C0">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F3B5FEA"/>
    <w:multiLevelType w:val="hybridMultilevel"/>
    <w:tmpl w:val="97087A88"/>
    <w:lvl w:ilvl="0" w:tplc="541642A6">
      <w:start w:val="1"/>
      <w:numFmt w:val="decimal"/>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15"/>
  </w:num>
  <w:num w:numId="4">
    <w:abstractNumId w:val="6"/>
  </w:num>
  <w:num w:numId="5">
    <w:abstractNumId w:val="2"/>
  </w:num>
  <w:num w:numId="6">
    <w:abstractNumId w:val="7"/>
  </w:num>
  <w:num w:numId="7">
    <w:abstractNumId w:val="0"/>
  </w:num>
  <w:num w:numId="8">
    <w:abstractNumId w:val="12"/>
  </w:num>
  <w:num w:numId="9">
    <w:abstractNumId w:val="10"/>
  </w:num>
  <w:num w:numId="10">
    <w:abstractNumId w:val="17"/>
  </w:num>
  <w:num w:numId="11">
    <w:abstractNumId w:val="5"/>
  </w:num>
  <w:num w:numId="12">
    <w:abstractNumId w:val="9"/>
  </w:num>
  <w:num w:numId="13">
    <w:abstractNumId w:val="14"/>
  </w:num>
  <w:num w:numId="14">
    <w:abstractNumId w:val="13"/>
  </w:num>
  <w:num w:numId="15">
    <w:abstractNumId w:val="18"/>
  </w:num>
  <w:num w:numId="16">
    <w:abstractNumId w:val="11"/>
  </w:num>
  <w:num w:numId="17">
    <w:abstractNumId w:val="19"/>
  </w:num>
  <w:num w:numId="18">
    <w:abstractNumId w:val="16"/>
  </w:num>
  <w:num w:numId="19">
    <w:abstractNumId w:val="8"/>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16E0"/>
    <w:rsid w:val="001A42C3"/>
    <w:rsid w:val="002316E0"/>
    <w:rsid w:val="00335F5C"/>
    <w:rsid w:val="006E4251"/>
    <w:rsid w:val="008126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E0"/>
    <w:pPr>
      <w:spacing w:after="0" w:line="240" w:lineRule="auto"/>
    </w:pPr>
    <w:rPr>
      <w:rFonts w:ascii="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316E0"/>
    <w:pPr>
      <w:ind w:left="720"/>
      <w:contextualSpacing/>
    </w:pPr>
  </w:style>
  <w:style w:type="paragraph" w:styleId="NormalWeb">
    <w:name w:val="Normal (Web)"/>
    <w:basedOn w:val="Normal"/>
    <w:uiPriority w:val="99"/>
    <w:unhideWhenUsed/>
    <w:rsid w:val="002316E0"/>
    <w:pPr>
      <w:spacing w:before="100" w:beforeAutospacing="1" w:after="100" w:afterAutospacing="1"/>
    </w:pPr>
    <w:rPr>
      <w:rFonts w:eastAsia="Times New Roman" w:cs="Times New Roman"/>
    </w:rPr>
  </w:style>
  <w:style w:type="character" w:styleId="lev">
    <w:name w:val="Strong"/>
    <w:basedOn w:val="Policepardfaut"/>
    <w:uiPriority w:val="22"/>
    <w:qFormat/>
    <w:rsid w:val="002316E0"/>
    <w:rPr>
      <w:b/>
      <w:bCs/>
    </w:rPr>
  </w:style>
  <w:style w:type="paragraph" w:styleId="Corpsdetexte2">
    <w:name w:val="Body Text 2"/>
    <w:basedOn w:val="Normal"/>
    <w:link w:val="Corpsdetexte2Car"/>
    <w:rsid w:val="002316E0"/>
    <w:pPr>
      <w:spacing w:after="240" w:line="480" w:lineRule="auto"/>
      <w:jc w:val="both"/>
    </w:pPr>
    <w:rPr>
      <w:rFonts w:eastAsia="Times New Roman" w:cs="Times New Roman"/>
      <w:lang w:val="en-GB" w:eastAsia="en-US"/>
    </w:rPr>
  </w:style>
  <w:style w:type="character" w:customStyle="1" w:styleId="Corpsdetexte2Car">
    <w:name w:val="Corps de texte 2 Car"/>
    <w:basedOn w:val="Policepardfaut"/>
    <w:link w:val="Corpsdetexte2"/>
    <w:rsid w:val="002316E0"/>
    <w:rPr>
      <w:rFonts w:ascii="Times New Roman" w:eastAsia="Times New Roman" w:hAnsi="Times New Roman" w:cs="Times New Roman"/>
      <w:sz w:val="24"/>
      <w:szCs w:val="24"/>
      <w:lang w:val="en-GB"/>
    </w:rPr>
  </w:style>
  <w:style w:type="paragraph" w:styleId="Textedebulles">
    <w:name w:val="Balloon Text"/>
    <w:basedOn w:val="Normal"/>
    <w:link w:val="TextedebullesCar"/>
    <w:uiPriority w:val="99"/>
    <w:semiHidden/>
    <w:unhideWhenUsed/>
    <w:rsid w:val="002316E0"/>
    <w:rPr>
      <w:rFonts w:ascii="Tahoma" w:hAnsi="Tahoma" w:cs="Tahoma"/>
      <w:sz w:val="16"/>
      <w:szCs w:val="16"/>
    </w:rPr>
  </w:style>
  <w:style w:type="character" w:customStyle="1" w:styleId="TextedebullesCar">
    <w:name w:val="Texte de bulles Car"/>
    <w:basedOn w:val="Policepardfaut"/>
    <w:link w:val="Textedebulles"/>
    <w:uiPriority w:val="99"/>
    <w:semiHidden/>
    <w:rsid w:val="002316E0"/>
    <w:rPr>
      <w:rFonts w:ascii="Tahoma" w:hAnsi="Tahoma" w:cs="Tahoma"/>
      <w:sz w:val="16"/>
      <w:szCs w:val="16"/>
      <w:lang w:eastAsia="fr-FR"/>
    </w:rPr>
  </w:style>
  <w:style w:type="paragraph" w:styleId="En-tte">
    <w:name w:val="header"/>
    <w:basedOn w:val="Normal"/>
    <w:link w:val="En-tteCar"/>
    <w:uiPriority w:val="99"/>
    <w:semiHidden/>
    <w:unhideWhenUsed/>
    <w:rsid w:val="002316E0"/>
    <w:pPr>
      <w:tabs>
        <w:tab w:val="center" w:pos="4536"/>
        <w:tab w:val="right" w:pos="9072"/>
      </w:tabs>
    </w:pPr>
  </w:style>
  <w:style w:type="character" w:customStyle="1" w:styleId="En-tteCar">
    <w:name w:val="En-tête Car"/>
    <w:basedOn w:val="Policepardfaut"/>
    <w:link w:val="En-tte"/>
    <w:uiPriority w:val="99"/>
    <w:semiHidden/>
    <w:rsid w:val="002316E0"/>
    <w:rPr>
      <w:rFonts w:ascii="Times New Roman" w:hAnsi="Times New Roman"/>
      <w:sz w:val="24"/>
      <w:szCs w:val="24"/>
      <w:lang w:eastAsia="fr-FR"/>
    </w:rPr>
  </w:style>
  <w:style w:type="paragraph" w:styleId="Pieddepage">
    <w:name w:val="footer"/>
    <w:basedOn w:val="Normal"/>
    <w:link w:val="PieddepageCar"/>
    <w:uiPriority w:val="99"/>
    <w:unhideWhenUsed/>
    <w:rsid w:val="002316E0"/>
    <w:pPr>
      <w:tabs>
        <w:tab w:val="center" w:pos="4536"/>
        <w:tab w:val="right" w:pos="9072"/>
      </w:tabs>
    </w:pPr>
  </w:style>
  <w:style w:type="character" w:customStyle="1" w:styleId="PieddepageCar">
    <w:name w:val="Pied de page Car"/>
    <w:basedOn w:val="Policepardfaut"/>
    <w:link w:val="Pieddepage"/>
    <w:uiPriority w:val="99"/>
    <w:rsid w:val="002316E0"/>
    <w:rPr>
      <w:rFonts w:ascii="Times New Roman"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عوي18</b:Tag>
    <b:SourceType>Book</b:SourceType>
    <b:Guid>{9BCA1F0F-7858-489C-8D9F-074A115B694C}</b:Guid>
    <b:LCID>0</b:LCID>
    <b:Author>
      <b:Author>
        <b:NameList>
          <b:Person>
            <b:Last>عويسي</b:Last>
            <b:First>امين</b:First>
          </b:Person>
        </b:NameList>
      </b:Author>
    </b:Author>
    <b:Title>اساسيات مناهج الاستشراف مطبوعة موجهة الى طلبةالسنةالثالثة: علوم اقتصادية؛ تخصص: "تحليل واستشراف اقتصادي".</b:Title>
    <b:Year>2018</b:Year>
    <b:JournalName>2018</b:JournalName>
    <b:City>سطيف</b:City>
    <b:Publisher>جامعة فرحات عباس كلية العلوم الاقتصادية والتجارية وعلوم التسيير</b:Publisher>
    <b:RefOrder>49</b:RefOrder>
  </b:Source>
  <b:Source>
    <b:Tag>Boy02</b:Tag>
    <b:SourceType>Book</b:SourceType>
    <b:Guid>{2C0A887D-EB56-47A5-AB17-AFAED37A23C1}</b:Guid>
    <b:LCID>0</b:LCID>
    <b:Author>
      <b:Author>
        <b:NameList>
          <b:Person>
            <b:Last>Scouarnec</b:Last>
            <b:First>Aline</b:First>
          </b:Person>
        </b:NameList>
      </b:Author>
    </b:Author>
    <b:Title>la prospective métier définition et méthodologie</b:Title>
    <b:Year>2002</b:Year>
    <b:Publisher>Cahier de recherche DMSP</b:Publisher>
    <b:RefOrder>50</b:RefOrder>
  </b:Source>
  <b:Source>
    <b:Tag>غود</b:Tag>
    <b:SourceType>Book</b:SourceType>
    <b:Guid>{A0875B84-8F33-4904-BCBA-8326B0219C6D}</b:Guid>
    <b:LCID>0</b:LCID>
    <b:Author>
      <b:Author>
        <b:NameList>
          <b:Person>
            <b:Last>غوديه</b:Last>
            <b:First>ميشال</b:First>
          </b:Person>
          <b:Person>
            <b:Last>دوران</b:Last>
            <b:First>فليب</b:First>
          </b:Person>
        </b:NameList>
      </b:Author>
    </b:Author>
    <b:Title>الاستشراف الاستراتيجي للمؤسسات والاقاليم ترجمة الهمامي قيس ومحمد سليم قلالة</b:Title>
    <b:Publisher>منظمة الامم المتحدة للتربية والعلم والثقافة</b:Publisher>
    <b:Year>2011</b:Year>
    <b:City>باريس</b:City>
    <b:RefOrder>51</b:RefOrder>
  </b:Source>
  <b:Source>
    <b:Tag>حسو19</b:Tag>
    <b:SourceType>Book</b:SourceType>
    <b:Guid>{F10BCDD2-A8AD-42AF-ABA4-AD7B078AA2DB}</b:Guid>
    <b:LCID>0</b:LCID>
    <b:Author>
      <b:Author>
        <b:NameList>
          <b:Person>
            <b:Last>حسون حربي</b:Last>
            <b:First>انسام</b:First>
          </b:Person>
          <b:Person>
            <b:Last>مؤيد</b:Last>
            <b:First>سماح</b:First>
            <b:Middle>محمود</b:Middle>
          </b:Person>
        </b:NameList>
      </b:Author>
    </b:Author>
    <b:Title>تاثير الوضوح الاستراتيجي في تعزيز الاستشراف المستقبلي دراسة حالة استطلاعية في وزارة التخطيط</b:Title>
    <b:Year>2019</b:Year>
    <b:Publisher>مجلة الادارة والاقتصاد</b:Publisher>
    <b:Volume>42</b:Volume>
    <b:NumberVolumes>118</b:NumberVolumes>
    <b:RefOrder>52</b:RefOrder>
  </b:Source>
  <b:Source>
    <b:Tag>Espace_réservé1</b:Tag>
    <b:SourceType>Book</b:SourceType>
    <b:Guid>{161A5B04-E493-44C2-83C8-A0E7B74216D4}</b:Guid>
    <b:LCID>5121</b:LCID>
    <b:Author>
      <b:Author>
        <b:NameList>
          <b:Person>
            <b:Last>ثابتي</b:Last>
            <b:First>الحبيب</b:First>
          </b:Person>
          <b:Person>
            <b:Last>آخرون</b:Last>
          </b:Person>
        </b:NameList>
      </b:Author>
    </b:Author>
    <b:Title>المدخل الى الهندسة الوظيفية</b:Title>
    <b:Year>2017</b:Year>
    <b:City>غرداية</b:City>
    <b:Publisher>دار صبحي للطباعة والنشر</b:Publisher>
    <b:RefOrder>36</b:RefOrder>
  </b:Source>
  <b:Source>
    <b:Tag>Ann</b:Tag>
    <b:SourceType>Book</b:SourceType>
    <b:Guid>{73DE70E6-E354-4B1D-9CCF-C4DD9FBCF9E4}</b:Guid>
    <b:LCID>0</b:LCID>
    <b:Author>
      <b:Author>
        <b:NameList>
          <b:Person>
            <b:Last>Annabelle</b:Last>
            <b:First>Hulin</b:First>
          </b:Person>
        </b:NameList>
      </b:Author>
    </b:Author>
    <b:Title>Les pratiques de transmission du métier : de l’individu au collectif,  Une application au Une application au compagnonnage</b:Title>
    <b:Year>2010</b:Year>
    <b:City>Tours</b:City>
    <b:Publisher>Université François Rabelais</b:Publisher>
    <b:RefOrder>53</b:RefOrder>
  </b:Source>
  <b:Source>
    <b:Tag>سما17</b:Tag>
    <b:SourceType>Book</b:SourceType>
    <b:Guid>{300E4ECD-68AA-4DBA-89DF-45FBABF837F0}</b:Guid>
    <b:LCID>0</b:LCID>
    <b:Author>
      <b:Author>
        <b:NameList>
          <b:Person>
            <b:Last>سماش</b:Last>
            <b:First>امينة</b:First>
          </b:Person>
          <b:Person>
            <b:Last>بن حواء</b:Last>
            <b:First>زهور</b:First>
          </b:Person>
          <b:Person>
            <b:Last>ثابتي</b:Last>
            <b:First>الحبيب</b:First>
          </b:Person>
        </b:NameList>
      </b:Author>
    </b:Author>
    <b:Title>مساهمة استشراف المهن في الإبداع الوظيفي دراسة حالة: اتصالات الجزائر، معسكر</b:Title>
    <b:Year>2017</b:Year>
    <b:City>معسكر</b:City>
    <b:Publisher>مجلـة التنـظـيم و العمل</b:Publisher>
    <b:Volume>7</b:Volume>
    <b:NumberVolumes>12</b:NumberVolumes>
    <b:RefOrder>54</b:RefOrder>
  </b:Source>
  <b:Source>
    <b:Tag>قدو18</b:Tag>
    <b:SourceType>Book</b:SourceType>
    <b:Guid>{05356DD5-2141-445E-B182-72F56508A07B}</b:Guid>
    <b:LCID>0</b:LCID>
    <b:Author>
      <b:Author>
        <b:NameList>
          <b:Person>
            <b:Last>شاكر</b:Last>
            <b:First>عواطف</b:First>
            <b:Middle>محمود</b:Middle>
          </b:Person>
        </b:NameList>
      </b:Author>
    </b:Author>
    <b:Title>دور استشراف المستقبل في التخطيط الناجح للمنظمة دراسة تحليلية نظرية</b:Title>
    <b:Year>2010</b:Year>
    <b:City>تكريت</b:City>
    <b:Publisher>مجلة تكريت للعلوم الاقتصادية والادارية</b:Publisher>
    <b:Volume>6</b:Volume>
    <b:NumberVolumes>19</b:NumberVolumes>
    <b:RefOrder>55</b:RefOrder>
  </b:Source>
  <b:Source>
    <b:Tag>است</b:Tag>
    <b:SourceType>Book</b:SourceType>
    <b:Guid>{9FB3454E-6588-474A-AE28-F66D62F134D3}</b:Guid>
    <b:LCID>0</b:LCID>
    <b:Title>استشراف مستقبل التعليم بمنطقة المدينة المنورة</b:Title>
    <b:Author>
      <b:Author>
        <b:NameList>
          <b:Person>
            <b:Last>المحيسن</b:Last>
            <b:First>إبراهيم</b:First>
            <b:Middle>بن عبدالله</b:Middle>
          </b:Person>
        </b:NameList>
      </b:Author>
    </b:Author>
    <b:Year>2014</b:Year>
    <b:City>المدينة المنورة</b:City>
    <b:Publisher>مطبوعات جامعة طيبة بالمدينة المنورة</b:Publisher>
    <b:RefOrder>56</b:RefOrder>
  </b:Source>
  <b:Source>
    <b:Tag>ميش05</b:Tag>
    <b:SourceType>Book</b:SourceType>
    <b:Guid>{4701EF49-76F3-4713-8484-C8F3DE118C66}</b:Guid>
    <b:LCID>0</b:LCID>
    <b:Author>
      <b:Author>
        <b:NameList>
          <b:Person>
            <b:Last>ميشال</b:Last>
            <b:First>غودي</b:First>
          </b:Person>
          <b:Person>
            <b:Last>الهمامي</b:Last>
            <b:First>قيس</b:First>
          </b:Person>
        </b:NameList>
      </b:Author>
    </b:Author>
    <b:Title>الاستشراف الاستراتيجي المشاكل والمناهج</b:Title>
    <b:Year>2005</b:Year>
    <b:City>باريس</b:City>
    <b:Publisher>معهد ليسبور </b:Publisher>
    <b:RefOrder>57</b:RefOrder>
  </b:Source>
  <b:Source>
    <b:Tag>لعل1</b:Tag>
    <b:SourceType>Book</b:SourceType>
    <b:Guid>{EDB6EDF2-8749-40A8-838B-5D9912137A50}</b:Guid>
    <b:LCID>0</b:LCID>
    <b:Author>
      <b:Author>
        <b:NameList>
          <b:Person>
            <b:Last>لعلى</b:Last>
            <b:First>نورية</b:First>
          </b:Person>
        </b:NameList>
      </b:Author>
    </b:Author>
    <b:Title>مرجعيات الوظائف والكفاءات كاداة للتسيير التقديري للموارد البشرية</b:Title>
    <b:City>معسكر</b:City>
    <b:Publisher>مجلة التنمية وادارة الموارد البشرية</b:Publisher>
    <b:Volume>3</b:Volume>
    <b:NumberVolumes>9</b:NumberVolumes>
    <b:Year>2017</b:Year>
    <b:RefOrder>37</b:RefOrder>
  </b:Source>
  <b:Source>
    <b:Tag>دور16</b:Tag>
    <b:SourceType>Book</b:SourceType>
    <b:Guid>{22102E51-BDE3-47A3-BBD0-FE4C9E882406}</b:Guid>
    <b:LCID>0</b:LCID>
    <b:Title>دور التسيير التقديري للوظائف والكفاءات في المحافظة عبى راس مال الفكري كميزة- شهادة الدكتوراه في علوم التسيير</b:Title>
    <b:Year>2015-2016</b:Year>
    <b:City>تلمسان</b:City>
    <b:Publisher>كلية العلوم الاقتصادية والتسيير جامعة - جامعة ابي بكر بلقايد تلمسان</b:Publisher>
    <b:Author>
      <b:Author>
        <b:NameList>
          <b:Person>
            <b:Last>موساوي</b:Last>
            <b:First>زهية</b:First>
          </b:Person>
        </b:NameList>
      </b:Author>
    </b:Author>
    <b:RefOrder>6</b:RefOrder>
  </b:Source>
</b:Sources>
</file>

<file path=customXml/itemProps1.xml><?xml version="1.0" encoding="utf-8"?>
<ds:datastoreItem xmlns:ds="http://schemas.openxmlformats.org/officeDocument/2006/customXml" ds:itemID="{E5572A6D-BB37-43D0-AD77-6CEE49DD0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1645</Words>
  <Characters>9052</Characters>
  <Application>Microsoft Office Word</Application>
  <DocSecurity>0</DocSecurity>
  <Lines>75</Lines>
  <Paragraphs>21</Paragraphs>
  <ScaleCrop>false</ScaleCrop>
  <Company/>
  <LinksUpToDate>false</LinksUpToDate>
  <CharactersWithSpaces>10676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MOUSSI</dc:creator>
  <cp:lastModifiedBy>MOUSSI</cp:lastModifiedBy>
  <cp:revision>3</cp:revision>
  <dcterms:created xsi:type="dcterms:W3CDTF">2023-12-01T06:34:00Z</dcterms:created>
  <dcterms:modified xsi:type="dcterms:W3CDTF">2023-12-01T06:41:00Z</dcterms:modified>
</cp:coreProperties>
</file>