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0" w:line="240"/>
        <w:ind w:right="0" w:left="0" w:firstLine="0"/>
        <w:jc w:val="both"/>
        <w:rPr>
          <w:rFonts w:ascii="Simplified Arabic" w:hAnsi="Simplified Arabic" w:cs="Simplified Arabic" w:eastAsia="Simplified Arabic"/>
          <w:b/>
          <w:color w:val="auto"/>
          <w:spacing w:val="0"/>
          <w:position w:val="0"/>
          <w:sz w:val="32"/>
          <w:u w:val="thick"/>
          <w:shd w:fill="FFFFFF" w:val="clear"/>
        </w:rPr>
      </w:pPr>
      <w:r>
        <w:rPr>
          <w:rFonts w:ascii="Simplified Arabic" w:hAnsi="Simplified Arabic" w:cs="Simplified Arabic" w:eastAsia="Simplified Arabic"/>
          <w:b/>
          <w:color w:val="FFFFFF"/>
          <w:spacing w:val="0"/>
          <w:position w:val="0"/>
          <w:sz w:val="32"/>
          <w:u w:val="thick"/>
          <w:shd w:fill="FFFFFF" w:val="clear"/>
        </w:rPr>
        <w:t xml:space="preserve">المنهج</w:t>
      </w:r>
      <w:r>
        <w:rPr>
          <w:rFonts w:ascii="Simplified Arabic" w:hAnsi="Simplified Arabic" w:cs="Simplified Arabic" w:eastAsia="Simplified Arabic"/>
          <w:b/>
          <w:color w:val="FFFFFF"/>
          <w:spacing w:val="0"/>
          <w:position w:val="0"/>
          <w:sz w:val="32"/>
          <w:u w:val="thick"/>
          <w:shd w:fill="FFFFFF" w:val="clear"/>
        </w:rPr>
        <w:t xml:space="preserve">3</w:t>
      </w:r>
      <w:r>
        <w:rPr>
          <w:rFonts w:ascii="Simplified Arabic" w:hAnsi="Simplified Arabic" w:cs="Simplified Arabic" w:eastAsia="Simplified Arabic"/>
          <w:b/>
          <w:color w:val="FFFFFF"/>
          <w:spacing w:val="0"/>
          <w:position w:val="0"/>
          <w:sz w:val="32"/>
          <w:u w:val="thick"/>
          <w:shd w:fill="FFFFFF" w:val="clear"/>
        </w:rPr>
        <w:t xml:space="preserve">-</w:t>
      </w:r>
      <w:r>
        <w:rPr>
          <w:rFonts w:ascii="Simplified Arabic" w:hAnsi="Simplified Arabic" w:cs="Simplified Arabic" w:eastAsia="Simplified Arabic"/>
          <w:b/>
          <w:color w:val="auto"/>
          <w:spacing w:val="0"/>
          <w:position w:val="0"/>
          <w:sz w:val="32"/>
          <w:u w:val="thick"/>
          <w:shd w:fill="FFFFFF" w:val="clear"/>
        </w:rPr>
        <w:t xml:space="preserve"> </w:t>
      </w:r>
      <w:r>
        <w:rPr>
          <w:rFonts w:ascii="Simplified Arabic" w:hAnsi="Simplified Arabic" w:cs="Simplified Arabic" w:eastAsia="Simplified Arabic"/>
          <w:b/>
          <w:color w:val="auto"/>
          <w:spacing w:val="0"/>
          <w:position w:val="0"/>
          <w:sz w:val="32"/>
          <w:u w:val="thick"/>
          <w:shd w:fill="FFFFFF" w:val="clear"/>
        </w:rPr>
        <w:t xml:space="preserve">المنهج الفلسفي</w:t>
      </w:r>
      <w:r>
        <w:rPr>
          <w:rFonts w:ascii="Simplified Arabic" w:hAnsi="Simplified Arabic" w:cs="Simplified Arabic" w:eastAsia="Simplified Arabic"/>
          <w:b/>
          <w:color w:val="auto"/>
          <w:spacing w:val="0"/>
          <w:position w:val="0"/>
          <w:sz w:val="32"/>
          <w:u w:val="thick"/>
          <w:shd w:fill="FFFFFF" w:val="clear"/>
        </w:rPr>
        <w:t xml:space="preserve">:</w:t>
      </w:r>
    </w:p>
    <w:p>
      <w:pPr>
        <w:bidi w:val="true"/>
        <w:spacing w:before="0" w:after="0" w:line="240"/>
        <w:ind w:right="0" w:left="0" w:firstLine="0"/>
        <w:jc w:val="left"/>
        <w:rPr>
          <w:rFonts w:ascii="Simplified Arabic" w:hAnsi="Simplified Arabic" w:cs="Simplified Arabic" w:eastAsia="Simplified Arabic"/>
          <w:b/>
          <w:color w:val="auto"/>
          <w:spacing w:val="0"/>
          <w:position w:val="0"/>
          <w:sz w:val="32"/>
          <w:shd w:fill="FFFFFF" w:val="clear"/>
        </w:rPr>
      </w:pPr>
      <w:r>
        <w:rPr>
          <w:rFonts w:ascii="Simplified Arabic" w:hAnsi="Simplified Arabic" w:cs="Simplified Arabic" w:eastAsia="Simplified Arabic"/>
          <w:b/>
          <w:color w:val="auto"/>
          <w:spacing w:val="0"/>
          <w:position w:val="0"/>
          <w:sz w:val="32"/>
          <w:shd w:fill="FFFFFF" w:val="clear"/>
        </w:rPr>
        <w:t xml:space="preserve">      ينطوي على خمس معطيات على النحو الآتي</w:t>
      </w:r>
      <w:r>
        <w:rPr>
          <w:rFonts w:ascii="Simplified Arabic" w:hAnsi="Simplified Arabic" w:cs="Simplified Arabic" w:eastAsia="Simplified Arabic"/>
          <w:b/>
          <w:color w:val="auto"/>
          <w:spacing w:val="0"/>
          <w:position w:val="0"/>
          <w:sz w:val="32"/>
          <w:shd w:fill="FFFFFF" w:val="clear"/>
        </w:rPr>
        <w:t xml:space="preserve">: </w:t>
      </w:r>
      <w:r>
        <w:rPr>
          <w:rFonts w:ascii="Simplified Arabic" w:hAnsi="Simplified Arabic" w:cs="Simplified Arabic" w:eastAsia="Simplified Arabic"/>
          <w:b/>
          <w:color w:val="auto"/>
          <w:spacing w:val="0"/>
          <w:position w:val="0"/>
          <w:sz w:val="32"/>
          <w:shd w:fill="FFFFFF" w:val="clear"/>
        </w:rPr>
        <w:t xml:space="preserve">الحدس</w:t>
      </w:r>
      <w:r>
        <w:rPr>
          <w:rFonts w:ascii="Simplified Arabic" w:hAnsi="Simplified Arabic" w:cs="Simplified Arabic" w:eastAsia="Simplified Arabic"/>
          <w:b/>
          <w:color w:val="auto"/>
          <w:spacing w:val="0"/>
          <w:position w:val="0"/>
          <w:sz w:val="32"/>
          <w:shd w:fill="FFFFFF" w:val="clear"/>
        </w:rPr>
        <w:t xml:space="preserve">/</w:t>
      </w:r>
      <w:r>
        <w:rPr>
          <w:rFonts w:ascii="Simplified Arabic" w:hAnsi="Simplified Arabic" w:cs="Simplified Arabic" w:eastAsia="Simplified Arabic"/>
          <w:b/>
          <w:color w:val="auto"/>
          <w:spacing w:val="0"/>
          <w:position w:val="0"/>
          <w:sz w:val="32"/>
          <w:shd w:fill="FFFFFF" w:val="clear"/>
        </w:rPr>
        <w:t xml:space="preserve">الفينومينوجية</w:t>
      </w:r>
      <w:r>
        <w:rPr>
          <w:rFonts w:ascii="Simplified Arabic" w:hAnsi="Simplified Arabic" w:cs="Simplified Arabic" w:eastAsia="Simplified Arabic"/>
          <w:b/>
          <w:color w:val="auto"/>
          <w:spacing w:val="0"/>
          <w:position w:val="0"/>
          <w:sz w:val="32"/>
          <w:shd w:fill="FFFFFF" w:val="clear"/>
        </w:rPr>
        <w:t xml:space="preserve">/</w:t>
      </w:r>
      <w:r>
        <w:rPr>
          <w:rFonts w:ascii="Simplified Arabic" w:hAnsi="Simplified Arabic" w:cs="Simplified Arabic" w:eastAsia="Simplified Arabic"/>
          <w:b/>
          <w:color w:val="auto"/>
          <w:spacing w:val="0"/>
          <w:position w:val="0"/>
          <w:sz w:val="32"/>
          <w:shd w:fill="FFFFFF" w:val="clear"/>
        </w:rPr>
        <w:t xml:space="preserve">الجينيالوجيا</w:t>
      </w:r>
      <w:r>
        <w:rPr>
          <w:rFonts w:ascii="Simplified Arabic" w:hAnsi="Simplified Arabic" w:cs="Simplified Arabic" w:eastAsia="Simplified Arabic"/>
          <w:b/>
          <w:color w:val="auto"/>
          <w:spacing w:val="0"/>
          <w:position w:val="0"/>
          <w:sz w:val="32"/>
          <w:shd w:fill="FFFFFF" w:val="clear"/>
        </w:rPr>
        <w:t xml:space="preserve">/ </w:t>
      </w:r>
      <w:r>
        <w:rPr>
          <w:rFonts w:ascii="Simplified Arabic" w:hAnsi="Simplified Arabic" w:cs="Simplified Arabic" w:eastAsia="Simplified Arabic"/>
          <w:b/>
          <w:color w:val="auto"/>
          <w:spacing w:val="0"/>
          <w:position w:val="0"/>
          <w:sz w:val="32"/>
          <w:shd w:fill="FFFFFF" w:val="clear"/>
        </w:rPr>
        <w:t xml:space="preserve">البنيوية</w:t>
      </w:r>
      <w:r>
        <w:rPr>
          <w:rFonts w:ascii="Simplified Arabic" w:hAnsi="Simplified Arabic" w:cs="Simplified Arabic" w:eastAsia="Simplified Arabic"/>
          <w:b/>
          <w:color w:val="auto"/>
          <w:spacing w:val="0"/>
          <w:position w:val="0"/>
          <w:sz w:val="32"/>
          <w:shd w:fill="FFFFFF" w:val="clear"/>
        </w:rPr>
        <w:t xml:space="preserve">/ </w:t>
      </w:r>
      <w:r>
        <w:rPr>
          <w:rFonts w:ascii="Simplified Arabic" w:hAnsi="Simplified Arabic" w:cs="Simplified Arabic" w:eastAsia="Simplified Arabic"/>
          <w:b/>
          <w:color w:val="auto"/>
          <w:spacing w:val="0"/>
          <w:position w:val="0"/>
          <w:sz w:val="32"/>
          <w:shd w:fill="FFFFFF" w:val="clear"/>
        </w:rPr>
        <w:t xml:space="preserve">التأويلية</w:t>
      </w:r>
    </w:p>
    <w:p>
      <w:pPr>
        <w:bidi w:val="true"/>
        <w:spacing w:before="0" w:after="0" w:line="240"/>
        <w:ind w:right="0" w:left="0" w:firstLine="0"/>
        <w:jc w:val="both"/>
        <w:rPr>
          <w:rFonts w:ascii="Simplified Arabic" w:hAnsi="Simplified Arabic" w:cs="Simplified Arabic" w:eastAsia="Simplified Arabic"/>
          <w:color w:val="auto"/>
          <w:spacing w:val="0"/>
          <w:position w:val="0"/>
          <w:sz w:val="32"/>
          <w:shd w:fill="FFFFFF" w:val="clear"/>
        </w:rPr>
      </w:pPr>
      <w:r>
        <w:rPr>
          <w:rFonts w:ascii="Simplified Arabic" w:hAnsi="Simplified Arabic" w:cs="Simplified Arabic" w:eastAsia="Simplified Arabic"/>
          <w:b/>
          <w:color w:val="auto"/>
          <w:spacing w:val="0"/>
          <w:position w:val="0"/>
          <w:sz w:val="32"/>
          <w:u w:val="thick"/>
          <w:shd w:fill="FFFFFF" w:val="clear"/>
        </w:rPr>
        <w:t xml:space="preserve">أولا</w:t>
      </w:r>
      <w:r>
        <w:rPr>
          <w:rFonts w:ascii="Simplified Arabic" w:hAnsi="Simplified Arabic" w:cs="Simplified Arabic" w:eastAsia="Simplified Arabic"/>
          <w:b/>
          <w:color w:val="auto"/>
          <w:spacing w:val="0"/>
          <w:position w:val="0"/>
          <w:sz w:val="32"/>
          <w:u w:val="thick"/>
          <w:shd w:fill="FFFFFF" w:val="clear"/>
        </w:rPr>
        <w:t xml:space="preserve">: </w:t>
      </w:r>
      <w:r>
        <w:rPr>
          <w:rFonts w:ascii="Simplified Arabic" w:hAnsi="Simplified Arabic" w:cs="Simplified Arabic" w:eastAsia="Simplified Arabic"/>
          <w:b/>
          <w:color w:val="auto"/>
          <w:spacing w:val="0"/>
          <w:position w:val="0"/>
          <w:sz w:val="32"/>
          <w:u w:val="thick"/>
          <w:shd w:fill="FFFFFF" w:val="clear"/>
        </w:rPr>
        <w:t xml:space="preserve">الحدس</w:t>
      </w:r>
      <w:r>
        <w:rPr>
          <w:rFonts w:ascii="Simplified Arabic" w:hAnsi="Simplified Arabic" w:cs="Simplified Arabic" w:eastAsia="Simplified Arabic"/>
          <w:color w:val="auto"/>
          <w:spacing w:val="0"/>
          <w:position w:val="0"/>
          <w:sz w:val="32"/>
          <w:shd w:fill="FFFFFF" w:val="clear"/>
        </w:rPr>
        <w:t xml:space="preserve">: </w:t>
      </w: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auto" w:val="clear"/>
        </w:rPr>
      </w:pPr>
      <w:r>
        <w:rPr>
          <w:rFonts w:ascii="Simplified Arabic" w:hAnsi="Simplified Arabic" w:cs="Simplified Arabic" w:eastAsia="Simplified Arabic"/>
          <w:color w:val="auto"/>
          <w:spacing w:val="0"/>
          <w:position w:val="0"/>
          <w:sz w:val="32"/>
          <w:shd w:fill="FFFFFF" w:val="clear"/>
        </w:rPr>
        <w:t xml:space="preserve">   هو منهج البرغسونية  نسبة إلى </w:t>
      </w:r>
      <w:r>
        <w:rPr>
          <w:rFonts w:ascii="Simplified Arabic" w:hAnsi="Simplified Arabic" w:cs="Simplified Arabic" w:eastAsia="Simplified Arabic"/>
          <w:color w:val="auto"/>
          <w:spacing w:val="0"/>
          <w:position w:val="0"/>
          <w:sz w:val="32"/>
          <w:shd w:fill="FFFFFF" w:val="clear"/>
        </w:rPr>
        <w:t xml:space="preserve">(</w:t>
      </w:r>
      <w:r>
        <w:rPr>
          <w:rFonts w:ascii="Simplified Arabic" w:hAnsi="Simplified Arabic" w:cs="Simplified Arabic" w:eastAsia="Simplified Arabic"/>
          <w:color w:val="auto"/>
          <w:spacing w:val="0"/>
          <w:position w:val="0"/>
          <w:sz w:val="32"/>
          <w:shd w:fill="FFFFFF" w:val="clear"/>
        </w:rPr>
        <w:t xml:space="preserve">هنري برغسون</w:t>
      </w:r>
      <w:r>
        <w:rPr>
          <w:rFonts w:ascii="Simplified Arabic" w:hAnsi="Simplified Arabic" w:cs="Simplified Arabic" w:eastAsia="Simplified Arabic"/>
          <w:color w:val="auto"/>
          <w:spacing w:val="0"/>
          <w:position w:val="0"/>
          <w:sz w:val="32"/>
          <w:shd w:fill="FFFFFF" w:val="clear"/>
        </w:rPr>
        <w:t xml:space="preserve">)</w:t>
      </w:r>
      <w:r>
        <w:rPr>
          <w:rFonts w:ascii="Simplified Arabic" w:hAnsi="Simplified Arabic" w:cs="Simplified Arabic" w:eastAsia="Simplified Arabic"/>
          <w:color w:val="auto"/>
          <w:spacing w:val="0"/>
          <w:position w:val="0"/>
          <w:sz w:val="32"/>
          <w:shd w:fill="FFFFFF" w:val="clear"/>
        </w:rPr>
        <w:t xml:space="preserve">، هو ليس عاطفة ولا إلهاما أو انجذابا مشوشا، بل هو منهج معد، وهو أحد مناهج الفلسفة الأكثر اعدادا بقواعد الصارمة التي تشكل ما يسميه برغسون </w:t>
      </w:r>
      <w:r>
        <w:rPr>
          <w:rFonts w:ascii="Simplified Arabic" w:hAnsi="Simplified Arabic" w:cs="Simplified Arabic" w:eastAsia="Simplified Arabic"/>
          <w:color w:val="auto"/>
          <w:spacing w:val="0"/>
          <w:position w:val="0"/>
          <w:sz w:val="32"/>
          <w:shd w:fill="FFFFFF" w:val="clear"/>
        </w:rPr>
        <w:t xml:space="preserve">(</w:t>
      </w:r>
      <w:r>
        <w:rPr>
          <w:rFonts w:ascii="Simplified Arabic" w:hAnsi="Simplified Arabic" w:cs="Simplified Arabic" w:eastAsia="Simplified Arabic"/>
          <w:color w:val="auto"/>
          <w:spacing w:val="0"/>
          <w:position w:val="0"/>
          <w:sz w:val="32"/>
          <w:shd w:fill="FFFFFF" w:val="clear"/>
        </w:rPr>
        <w:t xml:space="preserve">الزمان</w:t>
      </w:r>
      <w:r>
        <w:rPr>
          <w:rFonts w:ascii="Simplified Arabic" w:hAnsi="Simplified Arabic" w:cs="Simplified Arabic" w:eastAsia="Simplified Arabic"/>
          <w:color w:val="auto"/>
          <w:spacing w:val="0"/>
          <w:position w:val="0"/>
          <w:sz w:val="32"/>
          <w:shd w:fill="FFFFFF" w:val="clear"/>
        </w:rPr>
        <w:t xml:space="preserve">) </w:t>
      </w:r>
      <w:r>
        <w:rPr>
          <w:rFonts w:ascii="Simplified Arabic" w:hAnsi="Simplified Arabic" w:cs="Simplified Arabic" w:eastAsia="Simplified Arabic"/>
          <w:color w:val="auto"/>
          <w:spacing w:val="0"/>
          <w:position w:val="0"/>
          <w:sz w:val="32"/>
          <w:shd w:fill="FFFFFF" w:val="clear"/>
        </w:rPr>
        <w:t xml:space="preserve">في الفلسفة</w:t>
      </w:r>
      <w:r>
        <w:rPr>
          <w:rFonts w:ascii="Simplified Arabic" w:hAnsi="Simplified Arabic" w:cs="Simplified Arabic" w:eastAsia="Simplified Arabic"/>
          <w:color w:val="auto"/>
          <w:spacing w:val="0"/>
          <w:position w:val="0"/>
          <w:sz w:val="32"/>
          <w:shd w:fill="FFFFFF" w:val="clear"/>
        </w:rPr>
        <w:t xml:space="preserve">.</w:t>
      </w: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auto" w:val="clear"/>
        </w:rPr>
      </w:pPr>
      <w:r>
        <w:rPr>
          <w:rFonts w:ascii="Simplified Arabic" w:hAnsi="Simplified Arabic" w:cs="Simplified Arabic" w:eastAsia="Simplified Arabic"/>
          <w:b/>
          <w:color w:val="auto"/>
          <w:spacing w:val="0"/>
          <w:position w:val="0"/>
          <w:sz w:val="32"/>
          <w:u w:val="single"/>
          <w:shd w:fill="auto" w:val="clear"/>
        </w:rPr>
        <w:t xml:space="preserve">ثانيا</w:t>
      </w:r>
      <w:r>
        <w:rPr>
          <w:rFonts w:ascii="Simplified Arabic" w:hAnsi="Simplified Arabic" w:cs="Simplified Arabic" w:eastAsia="Simplified Arabic"/>
          <w:b/>
          <w:color w:val="auto"/>
          <w:spacing w:val="0"/>
          <w:position w:val="0"/>
          <w:sz w:val="32"/>
          <w:u w:val="single"/>
          <w:shd w:fill="auto" w:val="clear"/>
        </w:rPr>
        <w:t xml:space="preserve">:</w:t>
      </w:r>
      <w:r>
        <w:rPr>
          <w:rFonts w:ascii="Simplified Arabic" w:hAnsi="Simplified Arabic" w:cs="Simplified Arabic" w:eastAsia="Simplified Arabic"/>
          <w:b/>
          <w:color w:val="auto"/>
          <w:spacing w:val="0"/>
          <w:position w:val="0"/>
          <w:sz w:val="32"/>
          <w:u w:val="single"/>
          <w:shd w:fill="auto" w:val="clear"/>
        </w:rPr>
        <w:t xml:space="preserve">المنهج الحدسي</w:t>
      </w:r>
      <w:r>
        <w:rPr>
          <w:rFonts w:ascii="Simplified Arabic" w:hAnsi="Simplified Arabic" w:cs="Simplified Arabic" w:eastAsia="Simplified Arabic"/>
          <w:b/>
          <w:color w:val="auto"/>
          <w:spacing w:val="0"/>
          <w:position w:val="0"/>
          <w:sz w:val="32"/>
          <w:u w:val="single"/>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ان الحدس هو منهج البرغسونية والحدس ليس عاطفة ولا الهاما او انجذابا مشوشا بل هو منهج محدد</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وهو أحد مناهج الفلسفة الأكثر اعدادا بقواعد صارمة التي تشكل ما يسميه برغسون </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الزمان</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في الفلسفة</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عبارة دولوز هذه المعرفة للحدس البرغسوني تدفعنا الى ان نعيد النظر كليا في التعريف الشائع لمفهوم الحدس على انه الادراك المباشر للأشياء دون توسطات، غير ان المنهج تشكله مجموعة علائق عقلية وحتى إجرائية تهدف الى بلوغ المعرفة وتحقيق الذات الإنسانية او بتعبير ادق فالمنهج يسعى دوما لان يحقق العلاقة الترابطية بين الذات العارفة والموضوع المعروف، فكيف يمكن للحدس كقوة اختبار باطني ان يحل محل المناهج العلمية الصارمة مع مجاوزة مطلقة لوظيفة العقل كأداة في بلوغ المعرفة</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b/>
          <w:color w:val="auto"/>
          <w:spacing w:val="0"/>
          <w:position w:val="0"/>
          <w:sz w:val="32"/>
          <w:u w:val="single"/>
          <w:shd w:fill="auto" w:val="clear"/>
        </w:rPr>
      </w:pPr>
      <w:r>
        <w:rPr>
          <w:rFonts w:ascii="Simplified Arabic" w:hAnsi="Simplified Arabic" w:cs="Simplified Arabic" w:eastAsia="Simplified Arabic"/>
          <w:b/>
          <w:color w:val="auto"/>
          <w:spacing w:val="0"/>
          <w:position w:val="0"/>
          <w:sz w:val="32"/>
          <w:u w:val="single"/>
          <w:shd w:fill="auto" w:val="clear"/>
        </w:rPr>
        <w:t xml:space="preserve">الموقف الدولوزي</w:t>
      </w:r>
      <w:r>
        <w:rPr>
          <w:rFonts w:ascii="Simplified Arabic" w:hAnsi="Simplified Arabic" w:cs="Simplified Arabic" w:eastAsia="Simplified Arabic"/>
          <w:b/>
          <w:color w:val="auto"/>
          <w:spacing w:val="0"/>
          <w:position w:val="0"/>
          <w:sz w:val="32"/>
          <w:u w:val="single"/>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يقوم على مقارنة الثنائية </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حدس</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عقل</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مع الثنائية المقابلة لها </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روح</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مادة</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أي المنهج الحدسي لدى برغسون هو أحد تجليات الصراع المادي الروحاني في الفلسفة المعاصرة خصوصا، والتي اهتمت في فترة </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القرن </w:t>
      </w:r>
      <w:r>
        <w:rPr>
          <w:rFonts w:ascii="Simplified Arabic" w:hAnsi="Simplified Arabic" w:cs="Simplified Arabic" w:eastAsia="Simplified Arabic"/>
          <w:color w:val="auto"/>
          <w:spacing w:val="0"/>
          <w:position w:val="0"/>
          <w:sz w:val="32"/>
          <w:shd w:fill="auto" w:val="clear"/>
        </w:rPr>
        <w:t xml:space="preserve">19</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بالوجود المادي للموجودات منتفضة على فكرة المطلق الهيغلية التي اعلت من شأن الوجود الفردي العيني الخارجي على الماهيات الموجودة وجاءت فلسفة برغسون لتحدث ثورة مفاهيمية بإعادة صياغة بعض المفاهيم الوجودية وتحديد أطرها العامة كالقيم والحرية، الصيرورة والثبات، الكم والكيف، المادة والروح، المكان والزمان، الوجود والماهية وغيرها</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كل هذه المفاهيم تنطوي تحت التمايز الذي يقيمه برغسون بين مجال كل من الفلسفة والعلم، فإن كان العلم يبتغي طريق التحليل والتركيب يولي العقل دور بلوغ الحقيقة، وفي تحديد طبيعة الأشياء المادية والروحية على حد سواء</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ومن هنا يجعل برغسون الحدس الأداة الفعلية في إدراك حقائق الأشياء والكشف عن مكنونات ذواتنا بغية معرفة ولتفسير الظواهر الحالية في عالم المادة او ما يسميه برغسون بعالم المكان</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فالعالم المادي عاجز عن النفاذ الى مواطن الذات لأنه يعتمد الرموز كوسائط اصلية في بحث المشكلات القائمة والتي هي حد ذاتها مشكلات معروضة علنيا تنطوي على خلط دائم بين الكيف والكم فقد توجد في عالم المكان احوال مادية غير انه من غبر الممكن ان توجد احوال نفسية لان حياتنا الباطنة تدرك بالحدس فهي شبيهة باللحن الموسيقي المنفصل كلية عن فكرة العدد المكانية</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فلطالما نعبر عن شعورنا بالرموز فالشعور كثيرا ما يجد نفسه فريسة لتلك الرغبة الحادة في التمييز ولهذا يؤسس النمط البرغسوني لنمطية تفكير جديدة طبيعتها التغير الدائم والحركة المتواصلة اذ انها غير قادرة في الاطارات الثابتة التي تمنحها ايها اللغة والمجتمع والاعراف</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فالعالم حسب برغسون هو بناء من حركات خلاقة مبدعة متواصلة تقارب اشكالات الطبيعة وفق حركية الزمان المتصلة وعن طريق إدراك ماهيتها بقوة الحدس الباطني اذ ان الحدس هو تجربة ميتافيزيقية تتكشف ذواتنا من خلالها وتستجيب دوما لفعل التطور الخلاق في الحياة وتهيئ لنا أفضل السبل لإدراك ماهية الحقيقة المتمثلة اساسا بالشعور بالزمان المستمر فيما هو مطلق لا ينكشف الا عن طريق الحدس</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وما عداه فهو وليد التحليل وليس من الحدس المشاركة الوجدانية التي ننفذ بها الى باطن اي موضوع فهو مرتبط بالناحية التأملية للحياة بينما العقل مرتبط بجانبها العملي الاجرائي</w:t>
      </w:r>
      <w:r>
        <w:rPr>
          <w:rFonts w:ascii="Simplified Arabic" w:hAnsi="Simplified Arabic" w:cs="Simplified Arabic" w:eastAsia="Simplified Arabic"/>
          <w:color w:val="auto"/>
          <w:spacing w:val="0"/>
          <w:position w:val="0"/>
          <w:sz w:val="32"/>
          <w:shd w:fill="auto" w:val="clear"/>
        </w:rPr>
        <w:t xml:space="preserve">. </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فالحدس هو قوة مبدعة لمفاهيم الوجود في مجال الفلسفة لا أحد مناهجها الحامل لمعاني ودلالات الإشكالات الوجودية المستعصية أحيانا عن الفهم، وهو المنهج الأكثر اعدادا الذي من الممكن ان تعتمده الفلسفة في خلق مفاهيمها وإدراك المعنى الحقيقي للوجود، فالفلسفة مع هذا منهج قد تحمل تعريف دولوز لها بانها العقل المعرفي القادم على ابداع المفاهيم</w:t>
      </w:r>
      <w:r>
        <w:rPr>
          <w:rFonts w:ascii="Simplified Arabic" w:hAnsi="Simplified Arabic" w:cs="Simplified Arabic" w:eastAsia="Simplified Arabic"/>
          <w:color w:val="auto"/>
          <w:spacing w:val="0"/>
          <w:position w:val="0"/>
          <w:sz w:val="32"/>
          <w:shd w:fill="auto" w:val="clear"/>
        </w:rPr>
        <w:t xml:space="preserve">.</w:t>
      </w:r>
    </w:p>
    <w:p>
      <w:pPr>
        <w:numPr>
          <w:ilvl w:val="0"/>
          <w:numId w:val="5"/>
        </w:numPr>
        <w:bidi w:val="true"/>
        <w:spacing w:before="0" w:after="160" w:line="259"/>
        <w:ind w:right="0" w:left="720" w:hanging="360"/>
        <w:jc w:val="both"/>
        <w:rPr>
          <w:rFonts w:ascii="Simplified Arabic" w:hAnsi="Simplified Arabic" w:cs="Simplified Arabic" w:eastAsia="Simplified Arabic"/>
          <w:b/>
          <w:color w:val="auto"/>
          <w:spacing w:val="0"/>
          <w:position w:val="0"/>
          <w:sz w:val="32"/>
          <w:shd w:fill="auto" w:val="clear"/>
        </w:rPr>
      </w:pPr>
      <w:r>
        <w:rPr>
          <w:rFonts w:ascii="Simplified Arabic" w:hAnsi="Simplified Arabic" w:cs="Simplified Arabic" w:eastAsia="Simplified Arabic"/>
          <w:b/>
          <w:color w:val="auto"/>
          <w:spacing w:val="0"/>
          <w:position w:val="0"/>
          <w:sz w:val="32"/>
          <w:u w:val="single"/>
          <w:shd w:fill="auto" w:val="clear"/>
        </w:rPr>
        <w:t xml:space="preserve">الفينومينولوجية</w:t>
      </w:r>
      <w:r>
        <w:rPr>
          <w:rFonts w:ascii="Simplified Arabic" w:hAnsi="Simplified Arabic" w:cs="Simplified Arabic" w:eastAsia="Simplified Arabic"/>
          <w:b/>
          <w:color w:val="auto"/>
          <w:spacing w:val="0"/>
          <w:position w:val="0"/>
          <w:sz w:val="32"/>
          <w:u w:val="single"/>
          <w:shd w:fill="auto" w:val="clear"/>
        </w:rPr>
        <w:t xml:space="preserve">: </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يعود الفضل الكبير في اكتشاف الفكرة الأساسية لفلسفة الظواهرية او الفينومينولوجية الى </w:t>
      </w:r>
      <w:r>
        <w:rPr>
          <w:rFonts w:ascii="Simplified Arabic" w:hAnsi="Simplified Arabic" w:cs="Simplified Arabic" w:eastAsia="Simplified Arabic"/>
          <w:b/>
          <w:color w:val="auto"/>
          <w:spacing w:val="0"/>
          <w:position w:val="0"/>
          <w:sz w:val="32"/>
          <w:shd w:fill="auto" w:val="clear"/>
        </w:rPr>
        <w:t xml:space="preserve">فرانز برونتالو</w:t>
      </w:r>
      <w:r>
        <w:rPr>
          <w:rFonts w:ascii="Simplified Arabic" w:hAnsi="Simplified Arabic" w:cs="Simplified Arabic" w:eastAsia="Simplified Arabic"/>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Franz</w:t>
      </w: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Brentallo</w:t>
      </w:r>
      <w:r>
        <w:rPr>
          <w:rFonts w:ascii="Calibri" w:hAnsi="Calibri" w:cs="Calibri" w:eastAsia="Calibri"/>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وهي تعني فكرة القصدية </w:t>
      </w:r>
      <w:r>
        <w:rPr>
          <w:rFonts w:ascii="Simplified Arabic" w:hAnsi="Simplified Arabic" w:cs="Simplified Arabic" w:eastAsia="Simplified Arabic"/>
          <w:color w:val="auto"/>
          <w:spacing w:val="0"/>
          <w:position w:val="0"/>
          <w:sz w:val="32"/>
          <w:shd w:fill="auto" w:val="clear"/>
        </w:rPr>
        <w:t xml:space="preserve">l’intentionnalité</w:t>
      </w:r>
      <w:r>
        <w:rPr>
          <w:rFonts w:ascii="Simplified Arabic" w:hAnsi="Simplified Arabic" w:cs="Simplified Arabic" w:eastAsia="Simplified Arabic"/>
          <w:color w:val="auto"/>
          <w:spacing w:val="0"/>
          <w:position w:val="0"/>
          <w:sz w:val="32"/>
          <w:shd w:fill="auto" w:val="clear"/>
        </w:rPr>
        <w:t xml:space="preserve"> في التغلب على النزعة النفسية باعتبار ان للوعي طابعا قصديا وان الشعور هو دائما شعور بشيء</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وهذا ما يؤكده لاحقا </w:t>
      </w:r>
      <w:r>
        <w:rPr>
          <w:rFonts w:ascii="Simplified Arabic" w:hAnsi="Simplified Arabic" w:cs="Simplified Arabic" w:eastAsia="Simplified Arabic"/>
          <w:b/>
          <w:color w:val="auto"/>
          <w:spacing w:val="0"/>
          <w:position w:val="0"/>
          <w:sz w:val="32"/>
          <w:shd w:fill="auto" w:val="clear"/>
        </w:rPr>
        <w:t xml:space="preserve">إدموند هوسرل</w:t>
      </w:r>
      <w:r>
        <w:rPr>
          <w:rFonts w:ascii="Simplified Arabic" w:hAnsi="Simplified Arabic" w:cs="Simplified Arabic" w:eastAsia="Simplified Arabic"/>
          <w:color w:val="auto"/>
          <w:spacing w:val="0"/>
          <w:position w:val="0"/>
          <w:sz w:val="32"/>
          <w:shd w:fill="auto" w:val="clear"/>
        </w:rPr>
        <w:t xml:space="preserve"> في مباحثه المنطقية، حيث يرى ان الفينولوجية هي فلسفة المعنى ولا ترى في الماهيات أو الصورة </w:t>
      </w:r>
      <w:r>
        <w:rPr>
          <w:rFonts w:ascii="Calibri" w:hAnsi="Calibri" w:cs="Calibri" w:eastAsia="Calibri"/>
          <w:b/>
          <w:color w:val="auto"/>
          <w:spacing w:val="0"/>
          <w:position w:val="0"/>
          <w:sz w:val="32"/>
          <w:shd w:fill="auto" w:val="clear"/>
        </w:rPr>
        <w:t xml:space="preserve">Eidétique</w:t>
      </w:r>
      <w:r>
        <w:rPr>
          <w:rFonts w:ascii="Simplified Arabic" w:hAnsi="Simplified Arabic" w:cs="Simplified Arabic" w:eastAsia="Simplified Arabic"/>
          <w:color w:val="auto"/>
          <w:spacing w:val="0"/>
          <w:position w:val="0"/>
          <w:sz w:val="32"/>
          <w:shd w:fill="auto" w:val="clear"/>
        </w:rPr>
        <w:t xml:space="preserve"> سوى مجامع عينية او مدركات فعلية وهذا يعني في نظر هوسرل ان الوعي ليس موضوعا يقبل الملاحظة والمشاهدة الخارجية بل هو حقيقة نفسية تستلزم ضربا من التحليل القصدي لان الحياة الشعورية ليست قطعا فيزيائية يمكن دراستها بمناهج تجريبية، فالوعي الإنساني ينطوي على مبادرات ومسؤوليات وبالتالي فهو وحده الذي يضفي الدلالة الإنسانية والمعنى على الموضوع</w:t>
      </w:r>
      <w:r>
        <w:rPr>
          <w:rFonts w:ascii="Simplified Arabic" w:hAnsi="Simplified Arabic" w:cs="Simplified Arabic" w:eastAsia="Simplified Arabic"/>
          <w:color w:val="auto"/>
          <w:spacing w:val="0"/>
          <w:position w:val="0"/>
          <w:sz w:val="32"/>
          <w:shd w:fill="auto" w:val="clear"/>
        </w:rPr>
        <w:t xml:space="preserve">.</w:t>
      </w:r>
    </w:p>
    <w:p>
      <w:pPr>
        <w:numPr>
          <w:ilvl w:val="0"/>
          <w:numId w:val="7"/>
        </w:numPr>
        <w:bidi w:val="true"/>
        <w:spacing w:before="0" w:after="160" w:line="259"/>
        <w:ind w:right="0" w:left="720" w:hanging="36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b/>
          <w:color w:val="auto"/>
          <w:spacing w:val="0"/>
          <w:position w:val="0"/>
          <w:sz w:val="32"/>
          <w:u w:val="single"/>
          <w:shd w:fill="auto" w:val="clear"/>
        </w:rPr>
        <w:t xml:space="preserve">في كتابة الأفكار </w:t>
      </w:r>
      <w:r>
        <w:rPr>
          <w:rFonts w:ascii="Calibri" w:hAnsi="Calibri" w:cs="Calibri" w:eastAsia="Calibri"/>
          <w:b/>
          <w:color w:val="auto"/>
          <w:spacing w:val="0"/>
          <w:position w:val="0"/>
          <w:sz w:val="32"/>
          <w:u w:val="single"/>
          <w:shd w:fill="auto" w:val="clear"/>
        </w:rPr>
        <w:t xml:space="preserve">Idées directrices</w:t>
      </w:r>
      <w:r>
        <w:rPr>
          <w:rFonts w:ascii="Simplified Arabic" w:hAnsi="Simplified Arabic" w:cs="Simplified Arabic" w:eastAsia="Simplified Arabic"/>
          <w:color w:val="auto"/>
          <w:spacing w:val="0"/>
          <w:position w:val="0"/>
          <w:sz w:val="32"/>
          <w:u w:val="single"/>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يعرف هوسرل الفينولوجية بانه علم الماهيات بمعنى آخر انها منهج ينحصر في وصف الظاهرة او في وصف ما هو معطى على نحو مباشر، او هي وصف خالص لمجال الواقع المعاش عكس التصور الكانطي الذي يرى بان الظواهر تعرف وحدها دون الجوهر او الشيء في ذاته</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أي ان الوجود لا يعرف في ذاته وانما فقط ينبئ عن ذاته ببديل عنه هو الآثار الكيفية التي تطرق الحواس كمادة فيركب منها العقل النظري بصوره او قوانينه الظواهر التي هي الموضوع الوحيد الذي يعرف لان الظواهر كانت تعرف عند </w:t>
      </w:r>
      <w:r>
        <w:rPr>
          <w:rFonts w:ascii="Simplified Arabic" w:hAnsi="Simplified Arabic" w:cs="Simplified Arabic" w:eastAsia="Simplified Arabic"/>
          <w:b/>
          <w:color w:val="auto"/>
          <w:spacing w:val="0"/>
          <w:position w:val="0"/>
          <w:sz w:val="32"/>
          <w:shd w:fill="auto" w:val="clear"/>
        </w:rPr>
        <w:t xml:space="preserve">كانط </w:t>
      </w:r>
      <w:r>
        <w:rPr>
          <w:rFonts w:ascii="Simplified Arabic" w:hAnsi="Simplified Arabic" w:cs="Simplified Arabic" w:eastAsia="Simplified Arabic"/>
          <w:b/>
          <w:color w:val="auto"/>
          <w:spacing w:val="0"/>
          <w:position w:val="0"/>
          <w:sz w:val="32"/>
          <w:shd w:fill="auto" w:val="clear"/>
        </w:rPr>
        <w:t xml:space="preserve">Kant</w:t>
      </w:r>
      <w:r>
        <w:rPr>
          <w:rFonts w:ascii="Simplified Arabic" w:hAnsi="Simplified Arabic" w:cs="Simplified Arabic" w:eastAsia="Simplified Arabic"/>
          <w:color w:val="auto"/>
          <w:spacing w:val="0"/>
          <w:position w:val="0"/>
          <w:sz w:val="32"/>
          <w:shd w:fill="auto" w:val="clear"/>
        </w:rPr>
        <w:t xml:space="preserve"> من خلال الاحكام التي تنشئها كموضوع المعرفة</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وتعني الفينومينولوجية في اطارها الفلسفي الوجودي تحديد الظواهر أي معالجة مشكل ظهور وانبثاق أي ظاهرة كانت تتصل لأول وهلة اتصالا مباشرا بالوعي، بمعنى ان هذا الاتصال والالتقاء مع الوعي هو الذي يمثل صلب المسائل التي تهتم بها الفينولوجية</w:t>
      </w:r>
      <w:r>
        <w:rPr>
          <w:rFonts w:ascii="Simplified Arabic" w:hAnsi="Simplified Arabic" w:cs="Simplified Arabic" w:eastAsia="Simplified Arabic"/>
          <w:color w:val="auto"/>
          <w:spacing w:val="0"/>
          <w:position w:val="0"/>
          <w:sz w:val="32"/>
          <w:shd w:fill="auto" w:val="clear"/>
        </w:rPr>
        <w:t xml:space="preserve">.</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يسعى هوسرل على هذا النحو بمنهجه الفينولوجي الى التخلي عن كل نزعة تجريبية حيث اننا نرتد الى عالم المعطيات او عالم الأشياء لكي نتعرف على كل ما ندركه او نستشعره او نتعقله او نفكر فيه دون ان نعمد الى وضع فرضيات وتقديم تفسيرات</w:t>
      </w:r>
      <w:r>
        <w:rPr>
          <w:rFonts w:ascii="Simplified Arabic" w:hAnsi="Simplified Arabic" w:cs="Simplified Arabic" w:eastAsia="Simplified Arabic"/>
          <w:color w:val="auto"/>
          <w:spacing w:val="0"/>
          <w:position w:val="0"/>
          <w:sz w:val="32"/>
          <w:shd w:fill="auto" w:val="clear"/>
        </w:rPr>
        <w:t xml:space="preserve">. </w:t>
      </w:r>
    </w:p>
    <w:p>
      <w:pPr>
        <w:bidi w:val="true"/>
        <w:spacing w:before="0" w:after="160" w:line="259"/>
        <w:ind w:right="0" w:left="0" w:firstLine="0"/>
        <w:jc w:val="both"/>
        <w:rPr>
          <w:rFonts w:ascii="Simplified Arabic" w:hAnsi="Simplified Arabic" w:cs="Simplified Arabic" w:eastAsia="Simplified Arabic"/>
          <w:color w:val="auto"/>
          <w:spacing w:val="0"/>
          <w:position w:val="0"/>
          <w:sz w:val="32"/>
          <w:shd w:fill="auto" w:val="clear"/>
        </w:rPr>
      </w:pPr>
      <w:r>
        <w:rPr>
          <w:rFonts w:ascii="Simplified Arabic" w:hAnsi="Simplified Arabic" w:cs="Simplified Arabic" w:eastAsia="Simplified Arabic"/>
          <w:color w:val="auto"/>
          <w:spacing w:val="0"/>
          <w:position w:val="0"/>
          <w:sz w:val="32"/>
          <w:shd w:fill="auto" w:val="clear"/>
        </w:rPr>
        <w:t xml:space="preserve">     من هنا تهتم الفينولوجيا بتشكيل التجربة المعاشة كأول لقاء وجودي </w:t>
      </w:r>
      <w:r>
        <w:rPr>
          <w:rFonts w:ascii="Simplified Arabic" w:hAnsi="Simplified Arabic" w:cs="Simplified Arabic" w:eastAsia="Simplified Arabic"/>
          <w:color w:val="auto"/>
          <w:spacing w:val="0"/>
          <w:position w:val="0"/>
          <w:sz w:val="32"/>
          <w:shd w:fill="auto" w:val="clear"/>
        </w:rPr>
        <w:t xml:space="preserve">(</w:t>
      </w:r>
      <w:r>
        <w:rPr>
          <w:rFonts w:ascii="Simplified Arabic" w:hAnsi="Simplified Arabic" w:cs="Simplified Arabic" w:eastAsia="Simplified Arabic"/>
          <w:color w:val="auto"/>
          <w:spacing w:val="0"/>
          <w:position w:val="0"/>
          <w:sz w:val="32"/>
          <w:shd w:fill="auto" w:val="clear"/>
        </w:rPr>
        <w:t xml:space="preserve">انطولوجي</w:t>
      </w:r>
      <w:r>
        <w:rPr>
          <w:rFonts w:ascii="Simplified Arabic" w:hAnsi="Simplified Arabic" w:cs="Simplified Arabic" w:eastAsia="Simplified Arabic"/>
          <w:color w:val="auto"/>
          <w:spacing w:val="0"/>
          <w:position w:val="0"/>
          <w:sz w:val="32"/>
          <w:shd w:fill="auto" w:val="clear"/>
        </w:rPr>
        <w:t xml:space="preserve">) </w:t>
      </w:r>
      <w:r>
        <w:rPr>
          <w:rFonts w:ascii="Simplified Arabic" w:hAnsi="Simplified Arabic" w:cs="Simplified Arabic" w:eastAsia="Simplified Arabic"/>
          <w:color w:val="auto"/>
          <w:spacing w:val="0"/>
          <w:position w:val="0"/>
          <w:sz w:val="32"/>
          <w:shd w:fill="auto" w:val="clear"/>
        </w:rPr>
        <w:t xml:space="preserve">بين الوعي والعالم الذي يعتبر لقاءا سابقا على كل تفكير حول هذا العالم، وهذا ما يسميه هوسرل بفينولوجيا التأسيس</w:t>
      </w:r>
      <w:r>
        <w:rPr>
          <w:rFonts w:ascii="Simplified Arabic" w:hAnsi="Simplified Arabic" w:cs="Simplified Arabic" w:eastAsia="Simplified Arabic"/>
          <w:color w:val="auto"/>
          <w:spacing w:val="0"/>
          <w:position w:val="0"/>
          <w:sz w:val="3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
    <w:abstractNumId w:val="6"/>
  </w:num>
  <w:num w:numId="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