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6"/>
          <w:u w:val="single"/>
          <w:shd w:fill="auto" w:val="clear"/>
        </w:rPr>
        <w:t xml:space="preserve">الاتجاه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6"/>
          <w:u w:val="single"/>
          <w:shd w:fill="auto" w:val="clear"/>
        </w:rPr>
        <w:t xml:space="preserve"> 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6"/>
          <w:u w:val="single"/>
          <w:shd w:fill="auto" w:val="clear"/>
        </w:rPr>
        <w:t xml:space="preserve">النسقي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6"/>
          <w:u w:val="single"/>
          <w:shd w:fill="auto" w:val="clear"/>
        </w:rPr>
        <w:t xml:space="preserve">: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6"/>
          <w:u w:val="single"/>
          <w:shd w:fill="auto" w:val="clear"/>
        </w:rPr>
        <w:t xml:space="preserve">1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6"/>
          <w:u w:val="single"/>
          <w:shd w:fill="auto" w:val="clear"/>
        </w:rPr>
        <w:t xml:space="preserve">- 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6"/>
          <w:u w:val="single"/>
          <w:shd w:fill="auto" w:val="clear"/>
        </w:rPr>
        <w:t xml:space="preserve">تعريفات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6"/>
          <w:u w:val="single"/>
          <w:shd w:fill="auto" w:val="clear"/>
        </w:rPr>
        <w:t xml:space="preserve">: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567"/>
        <w:jc w:val="both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ab/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النسقية ظهرت في الو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.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م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.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الأمريكية في أوائل الخمسينات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 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حيث فتحت مسارا أصليا وواعدا للبحث والتفاعل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لقد أدت هذه المقاربة بالفعل الى تطور العديد من العلوم، سواء البيولوجيا او في علم البيئة والاقتصاد وعلم النفس وإدارة الاعمال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قامت النسقية على مفاهيم عدة مثل النظام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/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التفاعل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/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التغذية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/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التنظيم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/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الأهداف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/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العولمة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/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التطور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/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بناء النماذج الى بناء نماذج ديناميكية وكمية قابلة للتشغيل الحاسوبي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وتعد المقاربة النسقية واستخداماتها المختلفة هي سبيل الى التطور في الحياة العامة وفي الحياة العملية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وهذا الجمع بين العلم والتطبيق يستدعي دراسة عميقة وحثيثة تسهل لنا الانتقال بيسر بين المعرفة والممارسة المتلازمتين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numPr>
          <w:ilvl w:val="0"/>
          <w:numId w:val="4"/>
        </w:numPr>
        <w:tabs>
          <w:tab w:val="right" w:pos="5528" w:leader="none"/>
        </w:tabs>
        <w:bidi w:val="true"/>
        <w:spacing w:before="0" w:after="0" w:line="276"/>
        <w:ind w:right="0" w:left="720" w:hanging="360"/>
        <w:jc w:val="both"/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تعريف النسق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: 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واران 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Warren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1943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هو مجموعة من الأشياء او الوقائع المترابطة فيما بينها بالتفاعل او الاعتماد المتبادل</w:t>
      </w:r>
    </w:p>
    <w:p>
      <w:pPr>
        <w:numPr>
          <w:ilvl w:val="0"/>
          <w:numId w:val="6"/>
        </w:numPr>
        <w:tabs>
          <w:tab w:val="right" w:pos="5528" w:leader="none"/>
        </w:tabs>
        <w:bidi w:val="true"/>
        <w:spacing w:before="0" w:after="0" w:line="276"/>
        <w:ind w:right="0" w:left="720" w:hanging="360"/>
        <w:jc w:val="both"/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تعريف انجلز وانجلز 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English and English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النسق عبارة عن مجموعة أجزاء او عناصر الكل وهناك علاقات وتفاعلات قائمة بين هذه العناصر وهي تعمل معا لكي تؤدي وظيفة معينة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ويختلف النسق في مستوى تعقيده ودرجة شموليته من الاتساع الى الضيق وقد تكون اجزاءه كبيرة العدد او معدودة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numPr>
          <w:ilvl w:val="0"/>
          <w:numId w:val="8"/>
        </w:numPr>
        <w:tabs>
          <w:tab w:val="right" w:pos="5528" w:leader="none"/>
        </w:tabs>
        <w:bidi w:val="true"/>
        <w:spacing w:before="0" w:after="0" w:line="276"/>
        <w:ind w:right="0" w:left="720" w:hanging="360"/>
        <w:jc w:val="both"/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تعريف ولمان 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Wolman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1975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النسق هو مجموعة من العناصر لها نظام معين وتدخل في علاقات مع بعضها البعض لتؤدي وظيفة معينة بالنسبة للفرد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10"/>
        </w:numPr>
        <w:tabs>
          <w:tab w:val="right" w:pos="5528" w:leader="none"/>
        </w:tabs>
        <w:bidi w:val="true"/>
        <w:spacing w:before="0" w:after="0" w:line="276"/>
        <w:ind w:right="0" w:left="720" w:hanging="360"/>
        <w:jc w:val="both"/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تعريف عبد اللطيف محمد خليفة 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1987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النسق هو عبارة عن مجموعة من العناصر المتفاعلة فيما بينها لتؤدي وظيفة معينة، ويسهم كل منها بوزن معين حسب أهميته ودرجة فاعليته داخل النسق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numPr>
          <w:ilvl w:val="0"/>
          <w:numId w:val="12"/>
        </w:numPr>
        <w:tabs>
          <w:tab w:val="right" w:pos="5528" w:leader="none"/>
        </w:tabs>
        <w:bidi w:val="true"/>
        <w:spacing w:before="0" w:after="0" w:line="276"/>
        <w:ind w:right="0" w:left="720" w:hanging="360"/>
        <w:jc w:val="both"/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تعريف كوندياك 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Condillac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النسق هو نظام تتساند فيه الأجزاء بصورة متبادلة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u w:val="single"/>
          <w:shd w:fill="auto" w:val="clear"/>
        </w:rPr>
        <w:t xml:space="preserve">2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u w:val="single"/>
          <w:shd w:fill="auto" w:val="clear"/>
        </w:rPr>
        <w:t xml:space="preserve">- 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u w:val="single"/>
          <w:shd w:fill="auto" w:val="clear"/>
        </w:rPr>
        <w:t xml:space="preserve">النسقية كمنهج وعلم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u w:val="single"/>
          <w:shd w:fill="auto" w:val="clear"/>
        </w:rPr>
        <w:t xml:space="preserve">: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(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وصفت الرابطة الفرنسية لعلوم الأنظمة المعرفية والتقنية في المجلة العالمية للأنظمة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1994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)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تعريف للنسقية هي علم حديث يجمع بين الأساليب النظرية والممارسات والمناهج لدراسة ما تتصف بالتعقيد المرط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حتى تستطيع تحليله وتفسيره والاقتراب من جميع جوانبه ومعالجة علاقاته الداخلية والخارجية وبنيته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3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u w:val="single"/>
          <w:shd w:fill="auto" w:val="clear"/>
        </w:rPr>
        <w:t xml:space="preserve">/ 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u w:val="single"/>
          <w:shd w:fill="auto" w:val="clear"/>
        </w:rPr>
        <w:t xml:space="preserve">النسقية كمقاربة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u w:val="single"/>
          <w:shd w:fill="auto" w:val="clear"/>
        </w:rPr>
        <w:t xml:space="preserve">: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من اجل فهم النسقية لزم استدعاء العديد من المصطلحات في الشكل التالي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: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center"/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  النسقية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center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object w:dxaOrig="6707" w:dyaOrig="2499">
          <v:rect xmlns:o="urn:schemas-microsoft-com:office:office" xmlns:v="urn:schemas-microsoft-com:vml" id="rectole0000000000" style="width:335.350000pt;height:124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center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 </w:t>
      </w:r>
    </w:p>
    <w:p>
      <w:pPr>
        <w:numPr>
          <w:ilvl w:val="0"/>
          <w:numId w:val="15"/>
        </w:numPr>
        <w:tabs>
          <w:tab w:val="right" w:pos="5528" w:leader="none"/>
        </w:tabs>
        <w:bidi w:val="true"/>
        <w:spacing w:before="0" w:after="0" w:line="276"/>
        <w:ind w:right="0" w:left="720" w:hanging="360"/>
        <w:jc w:val="left"/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التعقيد 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la complexité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: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left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ان الوعي بالتعقيد يعد أحد الأسباب الرئيسية لظهور هذه المقاربة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left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17"/>
        </w:numPr>
        <w:tabs>
          <w:tab w:val="right" w:pos="5528" w:leader="none"/>
        </w:tabs>
        <w:bidi w:val="true"/>
        <w:spacing w:before="0" w:after="0" w:line="276"/>
        <w:ind w:right="0" w:left="720" w:hanging="360"/>
        <w:jc w:val="left"/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النسق 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le système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: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يعد هذا المفهوم العمود الفقري الذي تقوم عليه المفاهيم النسقية، من الناحية اللغوية تاتي الكلمة من اليونانية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Sustêma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 التي تعني الكل المتماسك يحمل العديد من التعريفات نوضحها هنا</w:t>
      </w:r>
    </w:p>
    <w:tbl>
      <w:tblPr>
        <w:bidiVisual w:val="true"/>
      </w:tblPr>
      <w:tblGrid>
        <w:gridCol w:w="4531"/>
        <w:gridCol w:w="4531"/>
      </w:tblGrid>
      <w:tr>
        <w:trPr>
          <w:trHeight w:val="1" w:hRule="atLeast"/>
          <w:jc w:val="left"/>
        </w:trPr>
        <w:tc>
          <w:tcPr>
            <w:tcW w:w="906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right" w:pos="5528" w:leader="none"/>
              </w:tabs>
              <w:bidi w:val="true"/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Simplified Arabic" w:hAnsi="Simplified Arabic" w:cs="Simplified Arabic" w:eastAsia="Simplified Arabic"/>
                <w:color w:val="000000"/>
                <w:spacing w:val="0"/>
                <w:position w:val="0"/>
                <w:sz w:val="32"/>
                <w:shd w:fill="auto" w:val="clear"/>
              </w:rPr>
              <w:t xml:space="preserve">Guillaumencaire</w:t>
            </w:r>
            <w:r>
              <w:rPr>
                <w:rFonts w:ascii="Simplified Arabic" w:hAnsi="Simplified Arabic" w:cs="Simplified Arabic" w:eastAsia="Simplified Arabic"/>
                <w:color w:val="000000"/>
                <w:spacing w:val="0"/>
                <w:position w:val="0"/>
                <w:sz w:val="32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right" w:pos="5528" w:leader="none"/>
              </w:tabs>
              <w:bidi w:val="true"/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Simplified Arabic" w:hAnsi="Simplified Arabic" w:cs="Simplified Arabic" w:eastAsia="Simplified Arabic"/>
                <w:color w:val="000000"/>
                <w:spacing w:val="0"/>
                <w:position w:val="0"/>
                <w:sz w:val="32"/>
                <w:shd w:fill="auto" w:val="clear"/>
              </w:rPr>
              <w:t xml:space="preserve">التعريف الواسع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right" w:pos="5528" w:leader="none"/>
              </w:tabs>
              <w:bidi w:val="true"/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Simplified Arabic" w:hAnsi="Simplified Arabic" w:cs="Simplified Arabic" w:eastAsia="Simplified Arabic"/>
                <w:color w:val="000000"/>
                <w:spacing w:val="0"/>
                <w:position w:val="0"/>
                <w:sz w:val="32"/>
                <w:shd w:fill="auto" w:val="clear"/>
              </w:rPr>
              <w:t xml:space="preserve">التعريف المحدد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right" w:pos="5528" w:leader="none"/>
              </w:tabs>
              <w:bidi w:val="true"/>
              <w:spacing w:before="0" w:after="0" w:line="240"/>
              <w:ind w:right="0" w:left="0" w:firstLine="0"/>
              <w:jc w:val="left"/>
              <w:rPr>
                <w:rFonts w:ascii="Simplified Arabic" w:hAnsi="Simplified Arabic" w:cs="Simplified Arabic" w:eastAsia="Simplified Arabic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Simplified Arabic" w:hAnsi="Simplified Arabic" w:cs="Simplified Arabic" w:eastAsia="Simplified Arabic"/>
                <w:color w:val="000000"/>
                <w:spacing w:val="0"/>
                <w:position w:val="0"/>
                <w:sz w:val="32"/>
                <w:shd w:fill="auto" w:val="clear"/>
              </w:rPr>
              <w:t xml:space="preserve">قدمه جاك ليسورن</w:t>
            </w:r>
            <w:r>
              <w:rPr>
                <w:rFonts w:ascii="Simplified Arabic" w:hAnsi="Simplified Arabic" w:cs="Simplified Arabic" w:eastAsia="Simplified Arabic"/>
                <w:color w:val="000000"/>
                <w:spacing w:val="0"/>
                <w:position w:val="0"/>
                <w:sz w:val="32"/>
                <w:shd w:fill="auto" w:val="clear"/>
              </w:rPr>
              <w:t xml:space="preserve"> </w:t>
            </w:r>
            <w:r>
              <w:rPr>
                <w:rFonts w:ascii="Simplified Arabic" w:hAnsi="Simplified Arabic" w:cs="Simplified Arabic" w:eastAsia="Simplified Arabic"/>
                <w:color w:val="000000"/>
                <w:spacing w:val="0"/>
                <w:position w:val="0"/>
                <w:sz w:val="32"/>
                <w:shd w:fill="auto" w:val="clear"/>
              </w:rPr>
              <w:t xml:space="preserve">Jaque Lesaurne</w:t>
            </w:r>
          </w:p>
          <w:p>
            <w:pPr>
              <w:tabs>
                <w:tab w:val="right" w:pos="5528" w:leader="none"/>
              </w:tabs>
              <w:bidi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implified Arabic" w:hAnsi="Simplified Arabic" w:cs="Simplified Arabic" w:eastAsia="Simplified Arabic"/>
                <w:color w:val="000000"/>
                <w:spacing w:val="0"/>
                <w:position w:val="0"/>
                <w:sz w:val="32"/>
                <w:shd w:fill="auto" w:val="clear"/>
              </w:rPr>
              <w:t xml:space="preserve">على انه مجموعة من العناصر المتفاعلة ديناميكيا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right" w:pos="5528" w:leader="none"/>
              </w:tabs>
              <w:bidi w:val="true"/>
              <w:spacing w:before="0" w:after="0" w:line="240"/>
              <w:ind w:right="0" w:left="0" w:firstLine="0"/>
              <w:jc w:val="left"/>
              <w:rPr>
                <w:rFonts w:ascii="Simplified Arabic" w:hAnsi="Simplified Arabic" w:cs="Simplified Arabic" w:eastAsia="Simplified Arabic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Simplified Arabic" w:hAnsi="Simplified Arabic" w:cs="Simplified Arabic" w:eastAsia="Simplified Arabic"/>
                <w:color w:val="000000"/>
                <w:spacing w:val="0"/>
                <w:position w:val="0"/>
                <w:sz w:val="32"/>
                <w:shd w:fill="auto" w:val="clear"/>
              </w:rPr>
              <w:t xml:space="preserve">قدمه جويل</w:t>
            </w:r>
            <w:r>
              <w:rPr>
                <w:rFonts w:ascii="Simplified Arabic" w:hAnsi="Simplified Arabic" w:cs="Simplified Arabic" w:eastAsia="Simplified Arabic"/>
                <w:color w:val="000000"/>
                <w:spacing w:val="0"/>
                <w:position w:val="0"/>
                <w:sz w:val="32"/>
                <w:shd w:fill="auto" w:val="clear"/>
              </w:rPr>
              <w:t xml:space="preserve"> </w:t>
            </w:r>
            <w:r>
              <w:rPr>
                <w:rFonts w:ascii="Simplified Arabic" w:hAnsi="Simplified Arabic" w:cs="Simplified Arabic" w:eastAsia="Simplified Arabic"/>
                <w:color w:val="000000"/>
                <w:spacing w:val="0"/>
                <w:position w:val="0"/>
                <w:sz w:val="32"/>
                <w:shd w:fill="auto" w:val="clear"/>
              </w:rPr>
              <w:t xml:space="preserve">دوروزني</w:t>
            </w:r>
            <w:r>
              <w:rPr>
                <w:rFonts w:ascii="Simplified Arabic" w:hAnsi="Simplified Arabic" w:cs="Simplified Arabic" w:eastAsia="Simplified Arabic"/>
                <w:color w:val="000000"/>
                <w:spacing w:val="0"/>
                <w:position w:val="0"/>
                <w:sz w:val="32"/>
                <w:shd w:fill="auto" w:val="clear"/>
              </w:rPr>
              <w:t xml:space="preserve"> </w:t>
            </w:r>
            <w:r>
              <w:rPr>
                <w:rFonts w:ascii="Simplified Arabic" w:hAnsi="Simplified Arabic" w:cs="Simplified Arabic" w:eastAsia="Simplified Arabic"/>
                <w:color w:val="000000"/>
                <w:spacing w:val="0"/>
                <w:position w:val="0"/>
                <w:sz w:val="32"/>
                <w:shd w:fill="auto" w:val="clear"/>
              </w:rPr>
              <w:t xml:space="preserve">Joël de Rosnay</w:t>
            </w:r>
          </w:p>
          <w:p>
            <w:pPr>
              <w:tabs>
                <w:tab w:val="right" w:pos="5528" w:leader="none"/>
              </w:tabs>
              <w:bidi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implified Arabic" w:hAnsi="Simplified Arabic" w:cs="Simplified Arabic" w:eastAsia="Simplified Arabic"/>
                <w:color w:val="000000"/>
                <w:spacing w:val="0"/>
                <w:position w:val="0"/>
                <w:sz w:val="32"/>
                <w:shd w:fill="auto" w:val="clear"/>
              </w:rPr>
              <w:t xml:space="preserve">على انه مجموعة من العناصر في تفاعل ديناميكي منظمة وفقا لهدف</w:t>
            </w:r>
            <w:r>
              <w:rPr>
                <w:rFonts w:ascii="Simplified Arabic" w:hAnsi="Simplified Arabic" w:cs="Simplified Arabic" w:eastAsia="Simplified Arabic"/>
                <w:color w:val="000000"/>
                <w:spacing w:val="0"/>
                <w:position w:val="0"/>
                <w:sz w:val="32"/>
                <w:shd w:fill="auto" w:val="clear"/>
              </w:rPr>
              <w:t xml:space="preserve">. </w:t>
            </w:r>
            <w:r>
              <w:rPr>
                <w:rFonts w:ascii="Simplified Arabic" w:hAnsi="Simplified Arabic" w:cs="Simplified Arabic" w:eastAsia="Simplified Arabic"/>
                <w:color w:val="000000"/>
                <w:spacing w:val="0"/>
                <w:position w:val="0"/>
                <w:sz w:val="32"/>
                <w:shd w:fill="auto" w:val="clear"/>
              </w:rPr>
              <w:t xml:space="preserve">حمل هذا التعريف </w:t>
            </w:r>
            <w:r>
              <w:rPr>
                <w:rFonts w:ascii="Simplified Arabic" w:hAnsi="Simplified Arabic" w:cs="Simplified Arabic" w:eastAsia="Simplified Arabic"/>
                <w:color w:val="000000"/>
                <w:spacing w:val="0"/>
                <w:position w:val="0"/>
                <w:sz w:val="32"/>
                <w:shd w:fill="auto" w:val="clear"/>
              </w:rPr>
              <w:t xml:space="preserve">(</w:t>
            </w:r>
            <w:r>
              <w:rPr>
                <w:rFonts w:ascii="Simplified Arabic" w:hAnsi="Simplified Arabic" w:cs="Simplified Arabic" w:eastAsia="Simplified Arabic"/>
                <w:color w:val="000000"/>
                <w:spacing w:val="0"/>
                <w:position w:val="0"/>
                <w:sz w:val="32"/>
                <w:shd w:fill="auto" w:val="clear"/>
              </w:rPr>
              <w:t xml:space="preserve">الهدف</w:t>
            </w:r>
            <w:r>
              <w:rPr>
                <w:rFonts w:ascii="Simplified Arabic" w:hAnsi="Simplified Arabic" w:cs="Simplified Arabic" w:eastAsia="Simplified Arabic"/>
                <w:color w:val="000000"/>
                <w:spacing w:val="0"/>
                <w:position w:val="0"/>
                <w:sz w:val="32"/>
                <w:shd w:fill="auto" w:val="clear"/>
              </w:rPr>
              <w:t xml:space="preserve">) </w:t>
            </w:r>
            <w:r>
              <w:rPr>
                <w:rFonts w:ascii="Simplified Arabic" w:hAnsi="Simplified Arabic" w:cs="Simplified Arabic" w:eastAsia="Simplified Arabic"/>
                <w:color w:val="000000"/>
                <w:spacing w:val="0"/>
                <w:position w:val="0"/>
                <w:sz w:val="32"/>
                <w:shd w:fill="auto" w:val="clear"/>
              </w:rPr>
              <w:t xml:space="preserve">او الغاية المراد الوصول اليها من طرف النسق</w:t>
            </w:r>
          </w:p>
        </w:tc>
      </w:tr>
    </w:tbl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left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هناك العديد من </w:t>
      </w:r>
      <w:r>
        <w:rPr>
          <w:rFonts w:ascii="Simplified Arabic" w:hAnsi="Simplified Arabic" w:cs="Simplified Arabic" w:eastAsia="Simplified Arabic"/>
          <w:color w:val="FF0000"/>
          <w:spacing w:val="0"/>
          <w:position w:val="0"/>
          <w:sz w:val="32"/>
          <w:shd w:fill="auto" w:val="clear"/>
        </w:rPr>
        <w:t xml:space="preserve">طوبولوجيا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الأنساق من طرف الباحثين</w:t>
      </w:r>
    </w:p>
    <w:p>
      <w:pPr>
        <w:numPr>
          <w:ilvl w:val="0"/>
          <w:numId w:val="28"/>
        </w:numPr>
        <w:tabs>
          <w:tab w:val="right" w:pos="5528" w:leader="none"/>
        </w:tabs>
        <w:bidi w:val="true"/>
        <w:spacing w:before="0" w:after="0" w:line="276"/>
        <w:ind w:right="0" w:left="720" w:hanging="360"/>
        <w:jc w:val="left"/>
        <w:rPr>
          <w:rFonts w:ascii="Simplified Arabic" w:hAnsi="Simplified Arabic" w:cs="Simplified Arabic" w:eastAsia="Simplified Arabic"/>
          <w:color w:val="FF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الأنساق المفتوحة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/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الأنساق المغلقة على محيطها</w:t>
      </w:r>
    </w:p>
    <w:p>
      <w:pPr>
        <w:numPr>
          <w:ilvl w:val="0"/>
          <w:numId w:val="28"/>
        </w:numPr>
        <w:tabs>
          <w:tab w:val="right" w:pos="5528" w:leader="none"/>
        </w:tabs>
        <w:bidi w:val="true"/>
        <w:spacing w:before="0" w:after="0" w:line="276"/>
        <w:ind w:right="0" w:left="720" w:hanging="360"/>
        <w:jc w:val="left"/>
        <w:rPr>
          <w:rFonts w:ascii="Simplified Arabic" w:hAnsi="Simplified Arabic" w:cs="Simplified Arabic" w:eastAsia="Simplified Arabic"/>
          <w:color w:val="FF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الأنساق الطبيعية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/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الاصطناعية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/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الاجتماعية</w:t>
      </w:r>
    </w:p>
    <w:p>
      <w:pPr>
        <w:numPr>
          <w:ilvl w:val="0"/>
          <w:numId w:val="28"/>
        </w:numPr>
        <w:tabs>
          <w:tab w:val="right" w:pos="5528" w:leader="none"/>
        </w:tabs>
        <w:bidi w:val="true"/>
        <w:spacing w:before="0" w:after="0" w:line="276"/>
        <w:ind w:right="0" w:left="720" w:hanging="360"/>
        <w:jc w:val="left"/>
        <w:rPr>
          <w:rFonts w:ascii="Simplified Arabic" w:hAnsi="Simplified Arabic" w:cs="Simplified Arabic" w:eastAsia="Simplified Arabic"/>
          <w:color w:val="FF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الأنساق المنظمة 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/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الأنساق الشبكية</w:t>
      </w:r>
    </w:p>
    <w:p>
      <w:pPr>
        <w:numPr>
          <w:ilvl w:val="0"/>
          <w:numId w:val="28"/>
        </w:numPr>
        <w:tabs>
          <w:tab w:val="right" w:pos="5528" w:leader="none"/>
        </w:tabs>
        <w:bidi w:val="true"/>
        <w:spacing w:before="0" w:after="0" w:line="276"/>
        <w:ind w:right="0" w:left="720" w:hanging="360"/>
        <w:jc w:val="left"/>
        <w:rPr>
          <w:rFonts w:ascii="Simplified Arabic" w:hAnsi="Simplified Arabic" w:cs="Simplified Arabic" w:eastAsia="Simplified Arabic"/>
          <w:color w:val="FF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الطوبولوجيا المثيرة للاهتمام هي التي اتى بها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M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Burge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  وهي المتمثلة في الشكل التالي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:</w:t>
      </w:r>
    </w:p>
    <w:p>
      <w:pPr>
        <w:tabs>
          <w:tab w:val="right" w:pos="5528" w:leader="none"/>
        </w:tabs>
        <w:bidi w:val="true"/>
        <w:spacing w:before="0" w:after="0" w:line="240"/>
        <w:ind w:right="0" w:left="360" w:firstLine="0"/>
        <w:jc w:val="center"/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أنواع الأنساق</w:t>
      </w:r>
    </w:p>
    <w:p>
      <w:pPr>
        <w:tabs>
          <w:tab w:val="right" w:pos="5528" w:leader="none"/>
        </w:tabs>
        <w:bidi w:val="true"/>
        <w:spacing w:before="0" w:after="0" w:line="240"/>
        <w:ind w:right="0" w:left="360" w:firstLine="0"/>
        <w:jc w:val="center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الأنساق الاجتماعية</w:t>
      </w:r>
    </w:p>
    <w:p>
      <w:pPr>
        <w:tabs>
          <w:tab w:val="right" w:pos="5528" w:leader="none"/>
        </w:tabs>
        <w:bidi w:val="true"/>
        <w:spacing w:before="0" w:after="0" w:line="240"/>
        <w:ind w:right="0" w:left="360" w:firstLine="0"/>
        <w:jc w:val="left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الأنساق الرمزية                                                  الأنساق الاصطناعية</w:t>
      </w:r>
    </w:p>
    <w:p>
      <w:pPr>
        <w:tabs>
          <w:tab w:val="right" w:pos="5528" w:leader="none"/>
        </w:tabs>
        <w:bidi w:val="true"/>
        <w:spacing w:before="0" w:after="0" w:line="240"/>
        <w:ind w:right="0" w:left="0" w:firstLine="0"/>
        <w:jc w:val="center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النسق الاجتماعي</w:t>
      </w:r>
    </w:p>
    <w:p>
      <w:pPr>
        <w:tabs>
          <w:tab w:val="right" w:pos="5528" w:leader="none"/>
        </w:tabs>
        <w:bidi w:val="true"/>
        <w:spacing w:before="0" w:after="0" w:line="240"/>
        <w:ind w:right="0" w:left="0" w:firstLine="0"/>
        <w:jc w:val="center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نسق الاحياء</w:t>
      </w:r>
    </w:p>
    <w:p>
      <w:pPr>
        <w:tabs>
          <w:tab w:val="right" w:pos="5528" w:leader="none"/>
        </w:tabs>
        <w:bidi w:val="true"/>
        <w:spacing w:before="0" w:after="0" w:line="240"/>
        <w:ind w:right="0" w:left="0" w:firstLine="0"/>
        <w:jc w:val="center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الأنساق الكيميائية</w:t>
      </w:r>
    </w:p>
    <w:p>
      <w:pPr>
        <w:tabs>
          <w:tab w:val="right" w:pos="5528" w:leader="none"/>
        </w:tabs>
        <w:bidi w:val="true"/>
        <w:spacing w:before="0" w:after="0" w:line="240"/>
        <w:ind w:right="0" w:left="0" w:firstLine="0"/>
        <w:jc w:val="center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الأنساق الفيزيائية</w:t>
      </w:r>
    </w:p>
    <w:p>
      <w:pPr>
        <w:numPr>
          <w:ilvl w:val="0"/>
          <w:numId w:val="32"/>
        </w:numPr>
        <w:tabs>
          <w:tab w:val="right" w:pos="5528" w:leader="none"/>
        </w:tabs>
        <w:bidi w:val="true"/>
        <w:spacing w:before="0" w:after="0" w:line="276"/>
        <w:ind w:right="0" w:left="720" w:hanging="360"/>
        <w:jc w:val="left"/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الشمولية 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La Globalité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: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وهي خاصية مميزة للنسق تبرزها مقولة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(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الكل أكبر من مجموع اجزائه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)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والذي وفقا له لا يمكن للمرء ان يتعرف عليها دون اعتبارها ككل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وتعتبر هذه الخاصية مدخلا رئيسيا للمقاربة النسقية الا انه يقتصر في التعبير عنها بمقولة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(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الكل في الكل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)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تحت مسمى المقاربة الشاملة ويقصد من خلال هذا المفهوم التعامل مع جوانب المشكلة بشكل تدريجي، غير متسلسل وبنظرة عامة تفصيلية والمراجعة لإكمال وتصحيح الرؤية الأولية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numPr>
          <w:ilvl w:val="0"/>
          <w:numId w:val="34"/>
        </w:numPr>
        <w:tabs>
          <w:tab w:val="right" w:pos="5528" w:leader="none"/>
        </w:tabs>
        <w:bidi w:val="true"/>
        <w:spacing w:before="0" w:after="0" w:line="276"/>
        <w:ind w:right="0" w:left="720" w:hanging="360"/>
        <w:jc w:val="both"/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التفاعل 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L’interaction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:  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هو من اغنى المصطلحات في النسقية يوضح المفاهيم ويحلل العلاقة بين العناصر المرتبطة مثنى مثنى مكملا بذلك خاصية الشمولية التي تقوم بتحليل الظواهر الى أجزاء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وانبثقت هذه الخاصية من علم الميكانيكا والتي ترجمت فيما بعد الى مجموعة من القوى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 غالبا تنعكس العلاقة بين المكونات في أنظمة معقدة من خلال علاقة التأثر والتبادل المتعلق بتدفقات المادة او الطاقة او المعلومات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. 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* 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مفهوم التغذية الراجعة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  <w:t xml:space="preserve">: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هي التحليل النسقي للنصوص الأدبية 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</w:pP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u w:val="single"/>
          <w:shd w:fill="auto" w:val="clear"/>
        </w:rPr>
        <w:t xml:space="preserve">4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u w:val="single"/>
          <w:shd w:fill="auto" w:val="clear"/>
        </w:rPr>
        <w:t xml:space="preserve">-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u w:val="single"/>
          <w:shd w:fill="auto" w:val="clear"/>
        </w:rPr>
        <w:t xml:space="preserve">النسقية كمنهج</w:t>
      </w:r>
      <w:r>
        <w:rPr>
          <w:rFonts w:ascii="Simplified Arabic" w:hAnsi="Simplified Arabic" w:cs="Simplified Arabic" w:eastAsia="Simplified Arabic"/>
          <w:b/>
          <w:color w:val="000000"/>
          <w:spacing w:val="0"/>
          <w:position w:val="0"/>
          <w:sz w:val="32"/>
          <w:u w:val="single"/>
          <w:shd w:fill="auto" w:val="clear"/>
        </w:rPr>
        <w:t xml:space="preserve">:</w:t>
      </w:r>
    </w:p>
    <w:p>
      <w:pPr>
        <w:tabs>
          <w:tab w:val="right" w:pos="5528" w:leader="none"/>
        </w:tabs>
        <w:bidi w:val="true"/>
        <w:spacing w:before="0" w:after="0" w:line="276"/>
        <w:ind w:right="0" w:left="0" w:firstLine="0"/>
        <w:jc w:val="both"/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</w:pP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    لا يقتصر مفهوم النسقية على كونها مجال معرفي فقط، بل هي أيضا ممارسة وسببا للدخول في التعقيد</w:t>
      </w:r>
      <w:r>
        <w:rPr>
          <w:rFonts w:ascii="Simplified Arabic" w:hAnsi="Simplified Arabic" w:cs="Simplified Arabic" w:eastAsia="Simplified Arabic"/>
          <w:color w:val="000000"/>
          <w:spacing w:val="0"/>
          <w:position w:val="0"/>
          <w:sz w:val="32"/>
          <w:shd w:fill="auto" w:val="clear"/>
        </w:rPr>
        <w:t xml:space="preserve">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num w:numId="4">
    <w:abstractNumId w:val="54"/>
  </w:num>
  <w:num w:numId="6">
    <w:abstractNumId w:val="48"/>
  </w:num>
  <w:num w:numId="8">
    <w:abstractNumId w:val="42"/>
  </w:num>
  <w:num w:numId="10">
    <w:abstractNumId w:val="36"/>
  </w:num>
  <w:num w:numId="12">
    <w:abstractNumId w:val="30"/>
  </w:num>
  <w:num w:numId="15">
    <w:abstractNumId w:val="24"/>
  </w:num>
  <w:num w:numId="17">
    <w:abstractNumId w:val="18"/>
  </w:num>
  <w:num w:numId="28">
    <w:abstractNumId w:val="12"/>
  </w:num>
  <w:num w:numId="32">
    <w:abstractNumId w:val="6"/>
  </w:num>
  <w:num w:numId="3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