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الاتجاه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النسقي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1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-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تعريفات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567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ab/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النسقية ظهرت في الو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م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الأمريكية في أوائل الخمسينات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 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حيث فتحت مسارا أصليا وواعدا للبحث والتفاعل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لقد أدت هذه المقاربة بالفعل الى تطور العديد من العلوم، سواء البيولوجيا او في علم البيئة والاقتصاد وعلم النفس وإدارة الاعمال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قامت النسقية على مفاهيم عدة مثل النظام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التفاعل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التغذية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التنظيم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الأهداف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العولمة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التطور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بناء النماذج الى بناء نماذج ديناميكية وكمية قابلة للتشغيل الحاسوبي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وتعد المقاربة النسقية واستخداماتها المختلفة هي سبيل الى التطور في الحياة العامة وفي الحياة العملية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وهذا الجمع بين العلم والتطبيق يستدعي دراسة عميقة وحثيثة تسهل لنا الانتقال بيسر بين المعرفة والممارسة المتلازمتين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numPr>
          <w:ilvl w:val="0"/>
          <w:numId w:val="4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تعريف النسق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واران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Warren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1943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هو مجموعة من الأشياء او الوقائع المترابطة فيما بينها بالتفاعل او الاعتماد المتبادل</w:t>
      </w:r>
    </w:p>
    <w:p>
      <w:pPr>
        <w:numPr>
          <w:ilvl w:val="0"/>
          <w:numId w:val="6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تعريف انجلز وانجلز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English and English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النسق عبارة عن مجموعة أجزاء او عناصر الكل وهناك علاقات وتفاعلات قائمة بين هذه العناصر وهي تعمل معا لكي تؤدي وظيفة معينة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ويختلف النسق في مستوى تعقيده ودرجة شموليته من الاتساع الى الضيق وقد تكون اجزاءه كبيرة العدد او معدودة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numPr>
          <w:ilvl w:val="0"/>
          <w:numId w:val="8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تعريف ولمان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Wolman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1975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النسق هو مجموعة من العناصر لها نظام معين وتدخل في علاقات مع بعضها البعض لتؤدي وظيفة معينة بالنسبة للفرد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10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تعريف عبد اللطيف محمد خليفة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1987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النسق هو عبارة عن مجموعة من العناصر المتفاعلة فيما بينها لتؤدي وظيفة معينة، ويسهم كل منها بوزن معين حسب أهميته ودرجة فاعليته داخل النسق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numPr>
          <w:ilvl w:val="0"/>
          <w:numId w:val="12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تعريف كوندياك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Condillac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النسق هو نظام تتساند فيه الأجزاء بصورة متبادلة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2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-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النسقية كمنهج وعلم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(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وصفت الرابطة الفرنسية لعلوم الأنظمة المعرفية والتقنية في المجلة العالمية للأنظمة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1994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)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تعريف للنسقية هي علم حديث يجمع بين الأساليب النظرية والممارسات والمناهج لدراسة ما تتصف بالتعقيد المرط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حتى تستطيع تحليله وتفسيره والاقتراب من جميع جوانبه ومعالجة علاقاته الداخلية والخارجية وبنيته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3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النسقية كمقاربة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من اجل فهم النسقية لزم استدعاء العديد من المصطلحات في الشكل التالي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center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  النسقية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center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object w:dxaOrig="6707" w:dyaOrig="2499">
          <v:rect xmlns:o="urn:schemas-microsoft-com:office:office" xmlns:v="urn:schemas-microsoft-com:vml" id="rectole0000000000" style="width:335.350000pt;height:124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center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numPr>
          <w:ilvl w:val="0"/>
          <w:numId w:val="15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left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التعقيد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la complexité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ان الوعي بالتعقيد يعد أحد الأسباب الرئيسية لظهور هذه المقاربة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17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left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النسق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le système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يعد هذا المفهوم العمود الفقري الذي تقوم عليه المفاهيم النسقية، من الناحية اللغوية تاتي الكلمة من اليونانية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Sustêma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 التي تعني الكل المتماسك يحمل العديد من التعريفات نوضحها هنا</w:t>
      </w:r>
    </w:p>
    <w:tbl>
      <w:tblPr>
        <w:bidiVisual w:val="true"/>
      </w:tblPr>
      <w:tblGrid>
        <w:gridCol w:w="4531"/>
        <w:gridCol w:w="4531"/>
      </w:tblGrid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5528" w:leader="none"/>
              </w:tabs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Guillaumencaire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5528" w:leader="none"/>
              </w:tabs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التعريف الواسع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5528" w:leader="none"/>
              </w:tabs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التعريف المحدد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5528" w:leader="none"/>
              </w:tabs>
              <w:bidi w:val="true"/>
              <w:spacing w:before="0" w:after="0" w:line="240"/>
              <w:ind w:right="0" w:left="0" w:firstLine="0"/>
              <w:jc w:val="left"/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قدمه جاك ليسورن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Jaque Lesaurne</w:t>
            </w:r>
          </w:p>
          <w:p>
            <w:pPr>
              <w:tabs>
                <w:tab w:val="right" w:pos="5528" w:leader="none"/>
              </w:tabs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على انه مجموعة من العناصر المتفاعلة ديناميكيا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5528" w:leader="none"/>
              </w:tabs>
              <w:bidi w:val="true"/>
              <w:spacing w:before="0" w:after="0" w:line="240"/>
              <w:ind w:right="0" w:left="0" w:firstLine="0"/>
              <w:jc w:val="left"/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قدمه جويل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دوروزني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Joël de Rosnay</w:t>
            </w:r>
          </w:p>
          <w:p>
            <w:pPr>
              <w:tabs>
                <w:tab w:val="right" w:pos="5528" w:leader="none"/>
              </w:tabs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على انه مجموعة من العناصر في تفاعل ديناميكي منظمة وفقا لهدف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. 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حمل هذا التعريف 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الهدف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) </w:t>
            </w:r>
            <w:r>
              <w:rPr>
                <w:rFonts w:ascii="Simplified Arabic" w:hAnsi="Simplified Arabic" w:cs="Simplified Arabic" w:eastAsia="Simplified Arabic"/>
                <w:color w:val="000000"/>
                <w:spacing w:val="0"/>
                <w:position w:val="0"/>
                <w:sz w:val="32"/>
                <w:shd w:fill="auto" w:val="clear"/>
              </w:rPr>
              <w:t xml:space="preserve">او الغاية المراد الوصول اليها من طرف النسق</w:t>
            </w:r>
          </w:p>
        </w:tc>
      </w:tr>
    </w:tbl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هناك العديد من </w:t>
      </w:r>
      <w:r>
        <w:rPr>
          <w:rFonts w:ascii="Simplified Arabic" w:hAnsi="Simplified Arabic" w:cs="Simplified Arabic" w:eastAsia="Simplified Arabic"/>
          <w:color w:val="FF0000"/>
          <w:spacing w:val="0"/>
          <w:position w:val="0"/>
          <w:sz w:val="32"/>
          <w:shd w:fill="auto" w:val="clear"/>
        </w:rPr>
        <w:t xml:space="preserve">طوبولوجيا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من طرف الباحثين</w:t>
      </w:r>
    </w:p>
    <w:p>
      <w:pPr>
        <w:numPr>
          <w:ilvl w:val="0"/>
          <w:numId w:val="28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left"/>
        <w:rPr>
          <w:rFonts w:ascii="Simplified Arabic" w:hAnsi="Simplified Arabic" w:cs="Simplified Arabic" w:eastAsia="Simplified Arabic"/>
          <w:color w:val="FF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المفتوحة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المغلقة على محيطها</w:t>
      </w:r>
    </w:p>
    <w:p>
      <w:pPr>
        <w:numPr>
          <w:ilvl w:val="0"/>
          <w:numId w:val="28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left"/>
        <w:rPr>
          <w:rFonts w:ascii="Simplified Arabic" w:hAnsi="Simplified Arabic" w:cs="Simplified Arabic" w:eastAsia="Simplified Arabic"/>
          <w:color w:val="FF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الطبيعية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الاصطناعية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الاجتماعية</w:t>
      </w:r>
    </w:p>
    <w:p>
      <w:pPr>
        <w:numPr>
          <w:ilvl w:val="0"/>
          <w:numId w:val="28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left"/>
        <w:rPr>
          <w:rFonts w:ascii="Simplified Arabic" w:hAnsi="Simplified Arabic" w:cs="Simplified Arabic" w:eastAsia="Simplified Arabic"/>
          <w:color w:val="FF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المنظمة 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/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الشبكية</w:t>
      </w:r>
    </w:p>
    <w:p>
      <w:pPr>
        <w:numPr>
          <w:ilvl w:val="0"/>
          <w:numId w:val="28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left"/>
        <w:rPr>
          <w:rFonts w:ascii="Simplified Arabic" w:hAnsi="Simplified Arabic" w:cs="Simplified Arabic" w:eastAsia="Simplified Arabic"/>
          <w:color w:val="FF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الطوبولوجيا المثيرة للاهتمام هي التي اتى بها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M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Burge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  وهي المتمثلة في الشكل التالي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40"/>
        <w:ind w:right="0" w:left="360" w:firstLine="0"/>
        <w:jc w:val="center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أنواع الأنساق</w:t>
      </w:r>
    </w:p>
    <w:p>
      <w:pPr>
        <w:tabs>
          <w:tab w:val="right" w:pos="5528" w:leader="none"/>
        </w:tabs>
        <w:bidi w:val="true"/>
        <w:spacing w:before="0" w:after="0" w:line="240"/>
        <w:ind w:right="0" w:left="360" w:firstLine="0"/>
        <w:jc w:val="center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الاجتماعية</w:t>
      </w:r>
    </w:p>
    <w:p>
      <w:pPr>
        <w:tabs>
          <w:tab w:val="right" w:pos="5528" w:leader="none"/>
        </w:tabs>
        <w:bidi w:val="true"/>
        <w:spacing w:before="0" w:after="0" w:line="240"/>
        <w:ind w:right="0" w:left="360" w:firstLine="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الرمزية                                                  الأنساق الاصطناعية</w:t>
      </w:r>
    </w:p>
    <w:p>
      <w:pPr>
        <w:tabs>
          <w:tab w:val="right" w:pos="5528" w:leader="none"/>
        </w:tabs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النسق الاجتماعي</w:t>
      </w:r>
    </w:p>
    <w:p>
      <w:pPr>
        <w:tabs>
          <w:tab w:val="right" w:pos="5528" w:leader="none"/>
        </w:tabs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نسق الاحياء</w:t>
      </w:r>
    </w:p>
    <w:p>
      <w:pPr>
        <w:tabs>
          <w:tab w:val="right" w:pos="5528" w:leader="none"/>
        </w:tabs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الكيميائية</w:t>
      </w:r>
    </w:p>
    <w:p>
      <w:pPr>
        <w:tabs>
          <w:tab w:val="right" w:pos="5528" w:leader="none"/>
        </w:tabs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الأنساق الفيزيائية</w:t>
      </w:r>
    </w:p>
    <w:p>
      <w:pPr>
        <w:numPr>
          <w:ilvl w:val="0"/>
          <w:numId w:val="32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left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الشمولية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La Globalité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وهي خاصية مميزة للنسق تبرزها مقولة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(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الكل أكبر من مجموع اجزائه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)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والذي وفقا له لا يمكن للمرء ان يتعرف عليها دون اعتبارها ككل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وتعتبر هذه الخاصية مدخلا رئيسيا للمقاربة النسقية الا انه يقتصر في التعبير عنها بمقولة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(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الكل في الكل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)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تحت مسمى المقاربة الشاملة ويقصد من خلال هذا المفهوم التعامل مع جوانب المشكلة بشكل تدريجي، غير متسلسل وبنظرة عامة تفصيلية والمراجعة لإكمال وتصحيح الرؤية الأولية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numPr>
          <w:ilvl w:val="0"/>
          <w:numId w:val="34"/>
        </w:numPr>
        <w:tabs>
          <w:tab w:val="right" w:pos="5528" w:leader="none"/>
        </w:tabs>
        <w:bidi w:val="true"/>
        <w:spacing w:before="0" w:after="0" w:line="276"/>
        <w:ind w:right="0" w:left="720" w:hanging="36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التفاعل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L’interaction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:  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هو من اغنى المصطلحات في النسقية يوضح المفاهيم ويحلل العلاقة بين العناصر المرتبطة مثنى مثنى مكملا بذلك خاصية الشمولية التي تقوم بتحليل الظواهر الى أجزاء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وانبثقت هذه الخاصية من علم الميكانيكا والتي ترجمت فيما بعد الى مجموعة من القوى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 غالبا تنعكس العلاقة بين المكونات في أنظمة معقدة من خلال علاقة التأثر والتبادل المتعلق بتدفقات المادة او الطاقة او المعلومات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 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*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مفهوم التغذية الراجعة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هي التحليل النسقي للنصوص الأدبية 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4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-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النسقية كمنهج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tabs>
          <w:tab w:val="right" w:pos="5528" w:leader="none"/>
        </w:tabs>
        <w:bidi w:val="true"/>
        <w:spacing w:before="0" w:after="0" w:line="276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    لا يقتصر مفهوم النسقية على كونها مجال معرفي فقط، بل هي أيضا ممارسة وسببا للدخول في التعقيد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32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4">
    <w:abstractNumId w:val="54"/>
  </w:num>
  <w:num w:numId="6">
    <w:abstractNumId w:val="48"/>
  </w:num>
  <w:num w:numId="8">
    <w:abstractNumId w:val="42"/>
  </w:num>
  <w:num w:numId="10">
    <w:abstractNumId w:val="36"/>
  </w:num>
  <w:num w:numId="12">
    <w:abstractNumId w:val="30"/>
  </w:num>
  <w:num w:numId="15">
    <w:abstractNumId w:val="24"/>
  </w:num>
  <w:num w:numId="17">
    <w:abstractNumId w:val="18"/>
  </w:num>
  <w:num w:numId="28">
    <w:abstractNumId w:val="12"/>
  </w:num>
  <w:num w:numId="32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