
<file path=[Content_Types].xml><?xml version="1.0" encoding="utf-8"?>
<Types xmlns="http://schemas.openxmlformats.org/package/2006/content-types">
  <Default Extension="xml" ContentType="application/xml"/>
  <Default Extension="wmf" ContentType="image/x-wmf"/>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jc w:val="center"/>
        <w:rPr>
          <w:rFonts w:ascii="Times New Roman" w:hAnsi="Times New Roman" w:eastAsia="Calibri"/>
          <w:b/>
          <w:bCs/>
        </w:rPr>
      </w:pPr>
      <w:r>
        <w:rPr>
          <w:rFonts w:ascii="Times New Roman" w:hAnsi="Times New Roman" w:eastAsia="Calibri"/>
          <w:b/>
          <w:bCs/>
        </w:rPr>
        <w:t>Université de Biskra/ Département des sciences de la nature et de la vie/ Master 1 Parasitologie- Module : Parasitologie générale</w:t>
      </w:r>
    </w:p>
    <w:p>
      <w:pPr>
        <w:jc w:val="center"/>
        <w:rPr>
          <w:rFonts w:ascii="Times New Roman" w:hAnsi="Times New Roman" w:eastAsia="Calibri"/>
          <w:b/>
          <w:bCs/>
        </w:rPr>
      </w:pPr>
      <w:r>
        <w:rPr>
          <w:rFonts w:ascii="Times New Roman" w:hAnsi="Times New Roman" w:eastAsia="Calibri"/>
          <w:b/>
          <w:bCs/>
        </w:rPr>
        <w:t>TP N 01 : Recherche des Monogènes trématodes branchiaux</w:t>
      </w:r>
    </w:p>
    <w:p>
      <w:pPr>
        <w:pStyle w:val="9"/>
        <w:numPr>
          <w:ilvl w:val="0"/>
          <w:numId w:val="1"/>
        </w:numPr>
        <w:rPr>
          <w:rFonts w:ascii="Times New Roman" w:hAnsi="Times New Roman" w:eastAsia="Calibri"/>
          <w:b/>
          <w:bCs/>
        </w:rPr>
      </w:pPr>
      <w:r>
        <w:rPr>
          <w:rFonts w:ascii="Times New Roman" w:hAnsi="Times New Roman" w:eastAsia="Calibri"/>
          <w:b/>
          <w:bCs/>
        </w:rPr>
        <w:t xml:space="preserve">Introduction </w:t>
      </w:r>
    </w:p>
    <w:p>
      <w:pPr>
        <w:jc w:val="both"/>
        <w:rPr>
          <w:rFonts w:ascii="Times New Roman" w:hAnsi="Times New Roman" w:eastAsia="Calibri"/>
        </w:rPr>
      </w:pPr>
      <w:r>
        <w:rPr>
          <w:rFonts w:ascii="Times New Roman" w:hAnsi="Times New Roman" w:eastAsia="Calibri"/>
        </w:rPr>
        <w:t>Les branchies sont des organes respiratoires chez les poissons, sont exposées aux multiples types de parasitisme en particulier les ectoparasites, comme certains protozoaires (</w:t>
      </w:r>
      <w:r>
        <w:rPr>
          <w:rFonts w:ascii="Times New Roman" w:hAnsi="Times New Roman" w:eastAsia="Calibri"/>
          <w:i/>
          <w:iCs/>
        </w:rPr>
        <w:t xml:space="preserve">Trichodina, Chilodonella, Myxobolus,Ichtyophtirius), </w:t>
      </w:r>
      <w:r>
        <w:rPr>
          <w:rFonts w:ascii="Times New Roman" w:hAnsi="Times New Roman" w:eastAsia="Calibri"/>
        </w:rPr>
        <w:t>Copépodes et Les Monogènes</w:t>
      </w:r>
      <w:r>
        <w:rPr>
          <w:rFonts w:ascii="Times New Roman" w:hAnsi="Times New Roman" w:eastAsia="Calibri"/>
          <w:i/>
          <w:iCs/>
        </w:rPr>
        <w:t>,</w:t>
      </w:r>
      <w:r>
        <w:rPr>
          <w:rFonts w:ascii="Times New Roman" w:hAnsi="Times New Roman" w:eastAsia="Calibri"/>
        </w:rPr>
        <w:t xml:space="preserve"> ces derniers infestent les branchiers dans la plupart des cas et des fois se retrouvent sur la peau (</w:t>
      </w:r>
      <w:r>
        <w:rPr>
          <w:rFonts w:ascii="Times New Roman" w:hAnsi="Times New Roman" w:eastAsia="Calibri"/>
          <w:i/>
          <w:iCs/>
        </w:rPr>
        <w:t>Gyrodactylus</w:t>
      </w:r>
      <w:r>
        <w:rPr>
          <w:rFonts w:ascii="Times New Roman" w:hAnsi="Times New Roman" w:eastAsia="Calibri"/>
        </w:rPr>
        <w:t>), au niveau intestinal (</w:t>
      </w:r>
      <w:r>
        <w:rPr>
          <w:rFonts w:ascii="Times New Roman" w:hAnsi="Times New Roman" w:eastAsia="Calibri"/>
          <w:i/>
          <w:iCs/>
        </w:rPr>
        <w:t>Enterogyrus</w:t>
      </w:r>
      <w:r>
        <w:rPr>
          <w:rFonts w:ascii="Times New Roman" w:hAnsi="Times New Roman" w:eastAsia="Calibri"/>
        </w:rPr>
        <w:t>), au niveau de la vessie urinaire (</w:t>
      </w:r>
      <w:r>
        <w:rPr>
          <w:rFonts w:ascii="Times New Roman" w:hAnsi="Times New Roman" w:eastAsia="Calibri"/>
          <w:i/>
          <w:iCs/>
        </w:rPr>
        <w:t>Urogyrus</w:t>
      </w:r>
      <w:r>
        <w:rPr>
          <w:rFonts w:ascii="Times New Roman" w:hAnsi="Times New Roman" w:eastAsia="Calibri"/>
        </w:rPr>
        <w:t>).</w:t>
      </w:r>
    </w:p>
    <w:p>
      <w:pPr>
        <w:pStyle w:val="9"/>
        <w:numPr>
          <w:ilvl w:val="0"/>
          <w:numId w:val="1"/>
        </w:numPr>
        <w:jc w:val="both"/>
        <w:rPr>
          <w:rFonts w:ascii="Times New Roman" w:hAnsi="Times New Roman" w:eastAsia="Calibri"/>
          <w:b/>
          <w:bCs/>
        </w:rPr>
      </w:pPr>
      <w:r>
        <w:rPr>
          <w:rFonts w:ascii="Times New Roman" w:hAnsi="Times New Roman" w:eastAsia="Calibri"/>
          <w:b/>
          <w:bCs/>
        </w:rPr>
        <w:t xml:space="preserve">Protocol </w:t>
      </w:r>
    </w:p>
    <w:p>
      <w:pPr>
        <w:pStyle w:val="9"/>
        <w:numPr>
          <w:ilvl w:val="0"/>
          <w:numId w:val="2"/>
        </w:numPr>
        <w:jc w:val="both"/>
        <w:rPr>
          <w:rFonts w:ascii="Times New Roman" w:hAnsi="Times New Roman" w:eastAsia="Calibri"/>
        </w:rPr>
      </w:pPr>
      <w:r>
        <w:rPr>
          <w:rFonts w:ascii="Times New Roman" w:hAnsi="Times New Roman" w:eastAsia="Calibri"/>
        </w:rPr>
        <w:t>Observation macroscopiques des individus (peau, téguments, nageoires, Branchies, yeux) à examiner, noter si présence de mucus, ectoparasites</w:t>
      </w:r>
      <w:r>
        <w:rPr>
          <w:rFonts w:hint="default" w:ascii="Times New Roman" w:hAnsi="Times New Roman" w:eastAsia="Calibri"/>
          <w:lang w:val="fr-FR"/>
        </w:rPr>
        <w:t>).</w:t>
      </w:r>
      <w:r>
        <w:rPr>
          <w:rFonts w:ascii="Times New Roman" w:hAnsi="Times New Roman" w:eastAsia="Calibri"/>
        </w:rPr>
        <w:t xml:space="preserve"> </w:t>
      </w:r>
    </w:p>
    <w:p>
      <w:pPr>
        <w:pStyle w:val="9"/>
        <w:numPr>
          <w:ilvl w:val="0"/>
          <w:numId w:val="2"/>
        </w:numPr>
        <w:jc w:val="both"/>
        <w:rPr>
          <w:rFonts w:ascii="Times New Roman" w:hAnsi="Times New Roman" w:eastAsia="Calibri"/>
        </w:rPr>
      </w:pPr>
      <w:r>
        <w:rPr>
          <w:rFonts w:ascii="Times New Roman" w:hAnsi="Times New Roman" w:eastAsia="Calibri"/>
        </w:rPr>
        <w:t>Mesure du poids totale (Pt).</w:t>
      </w:r>
    </w:p>
    <w:p>
      <w:pPr>
        <w:pStyle w:val="9"/>
        <w:numPr>
          <w:ilvl w:val="0"/>
          <w:numId w:val="2"/>
        </w:numPr>
        <w:jc w:val="both"/>
        <w:rPr>
          <w:rFonts w:ascii="Times New Roman" w:hAnsi="Times New Roman" w:eastAsia="Calibri"/>
        </w:rPr>
      </w:pPr>
      <w:r>
        <w:rPr>
          <w:rFonts w:ascii="Times New Roman" w:hAnsi="Times New Roman" w:eastAsia="Calibri"/>
        </w:rPr>
        <w:t>Détermination des mesures morpho métriques Lt (longueur total), Ls (longueur standard), Lc (longueur céphalique), Lh(hauteur du corps) (figure).</w:t>
      </w:r>
    </w:p>
    <w:p>
      <w:pPr>
        <w:pStyle w:val="9"/>
        <w:numPr>
          <w:ilvl w:val="0"/>
          <w:numId w:val="2"/>
        </w:numPr>
        <w:jc w:val="both"/>
        <w:rPr>
          <w:rFonts w:ascii="Times New Roman" w:hAnsi="Times New Roman" w:eastAsia="Calibri"/>
        </w:rPr>
      </w:pPr>
      <w:r>
        <w:rPr>
          <w:rFonts w:ascii="Times New Roman" w:hAnsi="Times New Roman" w:eastAsia="Calibri"/>
        </w:rPr>
        <w:t>Dissection des individus à examiner.</w:t>
      </w:r>
    </w:p>
    <w:p>
      <w:pPr>
        <w:pStyle w:val="9"/>
        <w:numPr>
          <w:ilvl w:val="0"/>
          <w:numId w:val="2"/>
        </w:numPr>
        <w:jc w:val="both"/>
        <w:rPr>
          <w:rFonts w:ascii="Times New Roman" w:hAnsi="Times New Roman" w:eastAsia="Calibri"/>
        </w:rPr>
      </w:pPr>
      <w:r>
        <w:rPr>
          <w:rFonts w:ascii="Times New Roman" w:hAnsi="Times New Roman" w:eastAsia="Calibri"/>
        </w:rPr>
        <w:t>Détermination du sexe des poissons (observation des gonades).</w:t>
      </w:r>
    </w:p>
    <w:p>
      <w:pPr>
        <w:pStyle w:val="9"/>
        <w:numPr>
          <w:ilvl w:val="0"/>
          <w:numId w:val="2"/>
        </w:numPr>
        <w:jc w:val="both"/>
        <w:rPr>
          <w:rFonts w:ascii="Times New Roman" w:hAnsi="Times New Roman" w:eastAsia="Calibri"/>
        </w:rPr>
      </w:pPr>
      <w:r>
        <w:rPr>
          <w:rFonts w:ascii="Times New Roman" w:hAnsi="Times New Roman" w:eastAsia="Calibri"/>
        </w:rPr>
        <w:t>Après isolement des branchiers des poissons à examiner sont rincé 3 fois dans une boite de Pétri à l’eau de robinet, ou agitation puis observation à l’aide d’une loupe binoculaire (marque Leica, Motic, Wild, Olympus) du liquide branchial, cette action permis aux monogènes de se détacher.</w:t>
      </w:r>
    </w:p>
    <w:p>
      <w:pPr>
        <w:pStyle w:val="9"/>
        <w:numPr>
          <w:ilvl w:val="0"/>
          <w:numId w:val="2"/>
        </w:numPr>
        <w:jc w:val="both"/>
        <w:rPr>
          <w:rFonts w:ascii="Times New Roman" w:hAnsi="Times New Roman" w:eastAsia="Calibri"/>
        </w:rPr>
      </w:pPr>
      <w:r>
        <w:rPr>
          <w:rFonts w:ascii="Times New Roman" w:hAnsi="Times New Roman" w:eastAsia="Calibri"/>
        </w:rPr>
        <w:t>Montage des monogènes : Chaque individu est placé entre lame et lamelle, avec le picrate d’ammonium, ou glycérine ce dernier parmi l’apparition des pièces sclérifiées (Génitallia et hapteur).</w:t>
      </w:r>
    </w:p>
    <w:p>
      <w:pPr>
        <w:pStyle w:val="9"/>
        <w:jc w:val="both"/>
        <w:rPr>
          <w:rFonts w:ascii="Times New Roman" w:hAnsi="Times New Roman" w:eastAsia="Calibri"/>
        </w:rPr>
      </w:pPr>
    </w:p>
    <w:p>
      <w:pPr>
        <w:pStyle w:val="9"/>
        <w:jc w:val="both"/>
        <w:rPr>
          <w:rFonts w:ascii="Times New Roman" w:hAnsi="Times New Roman" w:eastAsia="Calibri"/>
        </w:rPr>
      </w:pPr>
    </w:p>
    <w:p>
      <w:pPr>
        <w:pStyle w:val="9"/>
        <w:jc w:val="both"/>
        <w:rPr>
          <w:rFonts w:ascii="Times New Roman" w:hAnsi="Times New Roman" w:eastAsia="Calibri"/>
        </w:rPr>
      </w:pPr>
      <w:r>
        <w:drawing>
          <wp:anchor distT="0" distB="0" distL="114300" distR="114300" simplePos="0" relativeHeight="251659264" behindDoc="0" locked="0" layoutInCell="1" allowOverlap="1">
            <wp:simplePos x="0" y="0"/>
            <wp:positionH relativeFrom="column">
              <wp:posOffset>3020060</wp:posOffset>
            </wp:positionH>
            <wp:positionV relativeFrom="paragraph">
              <wp:posOffset>225425</wp:posOffset>
            </wp:positionV>
            <wp:extent cx="2736215" cy="1888490"/>
            <wp:effectExtent l="0" t="0" r="6985" b="0"/>
            <wp:wrapSquare wrapText="bothSides"/>
            <wp:docPr id="26" name="Image 2" descr="E:\Received 3 - Copie\Photo014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 2" descr="E:\Received 3 - Copie\Photo0146.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2736215" cy="1888490"/>
                    </a:xfrm>
                    <a:prstGeom prst="rect">
                      <a:avLst/>
                    </a:prstGeom>
                    <a:noFill/>
                    <a:ln w="9525">
                      <a:noFill/>
                      <a:miter lim="800000"/>
                      <a:headEnd/>
                      <a:tailEnd/>
                    </a:ln>
                  </pic:spPr>
                </pic:pic>
              </a:graphicData>
            </a:graphic>
          </wp:anchor>
        </w:drawing>
      </w:r>
      <w:r>
        <w:drawing>
          <wp:inline distT="0" distB="0" distL="0" distR="0">
            <wp:extent cx="2734310" cy="1828800"/>
            <wp:effectExtent l="0" t="0" r="889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pic:cNvPicPr>
                      <a:picLocks noChangeAspect="1" noChangeArrowheads="1"/>
                    </pic:cNvPicPr>
                  </pic:nvPicPr>
                  <pic:blipFill>
                    <a:blip r:embed="rId8">
                      <a:extLst>
                        <a:ext uri="{28A0092B-C50C-407E-A947-70E740481C1C}">
                          <a14:useLocalDpi xmlns:a14="http://schemas.microsoft.com/office/drawing/2010/main" val="0"/>
                        </a:ext>
                      </a:extLst>
                    </a:blip>
                    <a:srcRect l="33348" t="23540" r="34447" b="39525"/>
                    <a:stretch>
                      <a:fillRect/>
                    </a:stretch>
                  </pic:blipFill>
                  <pic:spPr>
                    <a:xfrm>
                      <a:off x="0" y="0"/>
                      <a:ext cx="2748438" cy="1837874"/>
                    </a:xfrm>
                    <a:prstGeom prst="rect">
                      <a:avLst/>
                    </a:prstGeom>
                    <a:noFill/>
                    <a:ln>
                      <a:noFill/>
                    </a:ln>
                  </pic:spPr>
                </pic:pic>
              </a:graphicData>
            </a:graphic>
          </wp:inline>
        </w:drawing>
      </w:r>
    </w:p>
    <w:p>
      <w:pPr>
        <w:jc w:val="both"/>
        <w:rPr>
          <w:rFonts w:ascii="Times New Roman" w:hAnsi="Times New Roman" w:eastAsia="Calibri"/>
          <w:b/>
          <w:bCs/>
        </w:rPr>
      </w:pPr>
    </w:p>
    <w:p>
      <w:pPr>
        <w:jc w:val="both"/>
        <w:rPr>
          <w:rFonts w:ascii="Times New Roman" w:hAnsi="Times New Roman" w:eastAsia="Calibri"/>
        </w:rPr>
      </w:pPr>
      <w:r>
        <w:rPr>
          <w:rFonts w:ascii="Times New Roman" w:hAnsi="Times New Roman" w:eastAsia="Calibri"/>
          <w:b/>
          <w:bCs/>
        </w:rPr>
        <w:t>Remarque</w:t>
      </w:r>
      <w:r>
        <w:rPr>
          <w:rFonts w:ascii="Times New Roman" w:hAnsi="Times New Roman" w:eastAsia="Calibri"/>
        </w:rPr>
        <w:t xml:space="preserve"> : l’identification des monogènes varie suivant l’espèce hôte (spécificité parasitaire), la clé est décrite chez Antoine et Euzet (2009).</w:t>
      </w:r>
    </w:p>
    <w:p>
      <w:pPr>
        <w:jc w:val="both"/>
        <w:rPr>
          <w:rFonts w:ascii="Times New Roman" w:hAnsi="Times New Roman" w:eastAsia="Calibri"/>
        </w:rPr>
      </w:pPr>
      <w:r>
        <w:rPr>
          <w:rFonts w:ascii="Times New Roman" w:hAnsi="Times New Roman" w:eastAsia="Calibri"/>
        </w:rPr>
        <w:t>https://www.researchgate.net/publication/232663487_Systematic_revision_of_dactylogyridean_parasites_Monogenea_from_cichlid_fishes_in_Africa_the_Levant_and_Madagascar</w:t>
      </w:r>
    </w:p>
    <w:p>
      <w:pPr>
        <w:spacing w:line="360" w:lineRule="auto"/>
        <w:jc w:val="both"/>
        <w:rPr>
          <w:rFonts w:ascii="Times New Roman" w:hAnsi="Times New Roman" w:eastAsia="Calibri"/>
        </w:rPr>
      </w:pPr>
      <w:r>
        <w:drawing>
          <wp:anchor distT="0" distB="0" distL="114300" distR="114300" simplePos="0" relativeHeight="251661312" behindDoc="0" locked="0" layoutInCell="1" allowOverlap="1">
            <wp:simplePos x="0" y="0"/>
            <wp:positionH relativeFrom="column">
              <wp:posOffset>4366260</wp:posOffset>
            </wp:positionH>
            <wp:positionV relativeFrom="paragraph">
              <wp:posOffset>708660</wp:posOffset>
            </wp:positionV>
            <wp:extent cx="1475740" cy="1023620"/>
            <wp:effectExtent l="0" t="0" r="0" b="5080"/>
            <wp:wrapSquare wrapText="bothSides"/>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6"/>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5740" cy="1023620"/>
                    </a:xfrm>
                    <a:prstGeom prst="rect">
                      <a:avLst/>
                    </a:prstGeom>
                  </pic:spPr>
                </pic:pic>
              </a:graphicData>
            </a:graphic>
          </wp:anchor>
        </w:drawing>
      </w:r>
      <w:r>
        <w:drawing>
          <wp:anchor distT="0" distB="0" distL="114300" distR="114300" simplePos="0" relativeHeight="251660288" behindDoc="0" locked="0" layoutInCell="1" allowOverlap="1">
            <wp:simplePos x="0" y="0"/>
            <wp:positionH relativeFrom="column">
              <wp:posOffset>774065</wp:posOffset>
            </wp:positionH>
            <wp:positionV relativeFrom="paragraph">
              <wp:posOffset>0</wp:posOffset>
            </wp:positionV>
            <wp:extent cx="1398905" cy="1721485"/>
            <wp:effectExtent l="0" t="0" r="0" b="0"/>
            <wp:wrapSquare wrapText="bothSides"/>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 13"/>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1398905" cy="1721485"/>
                    </a:xfrm>
                    <a:prstGeom prst="rect">
                      <a:avLst/>
                    </a:prstGeom>
                  </pic:spPr>
                </pic:pic>
              </a:graphicData>
            </a:graphic>
          </wp:anchor>
        </w:drawing>
      </w:r>
      <w:r>
        <w:drawing>
          <wp:inline distT="0" distB="0" distL="0" distR="0">
            <wp:extent cx="1910715" cy="1731645"/>
            <wp:effectExtent l="0" t="0" r="0" b="1905"/>
            <wp:docPr id="1" name="Image 1" descr="C:\Users\Admin\AppData\Local\Temp\ksohtml2312\wp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C:\Users\Admin\AppData\Local\Temp\ksohtml2312\wps1.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1928893" cy="1748220"/>
                    </a:xfrm>
                    <a:prstGeom prst="rect">
                      <a:avLst/>
                    </a:prstGeom>
                    <a:noFill/>
                    <a:ln>
                      <a:noFill/>
                    </a:ln>
                  </pic:spPr>
                </pic:pic>
              </a:graphicData>
            </a:graphic>
          </wp:inline>
        </w:drawing>
      </w:r>
      <w:r>
        <w:rPr>
          <w:rFonts w:ascii="Times New Roman" w:hAnsi="Times New Roman" w:eastAsia="Calibri"/>
        </w:rPr>
        <w:t xml:space="preserve"> </w:t>
      </w:r>
    </w:p>
    <w:p>
      <w:pPr>
        <w:jc w:val="both"/>
        <w:rPr>
          <w:rFonts w:ascii="Times New Roman" w:hAnsi="Times New Roman" w:eastAsia="Calibri"/>
        </w:rPr>
      </w:pPr>
      <w:r>
        <w:rPr>
          <w:rFonts w:ascii="Times New Roman" w:hAnsi="Times New Roman" w:eastAsia="Calibri"/>
          <w:i/>
          <w:iCs/>
        </w:rPr>
        <w:t>1-Dactylogyrus sp</w:t>
      </w:r>
      <w:r>
        <w:rPr>
          <w:rFonts w:ascii="Times New Roman" w:hAnsi="Times New Roman" w:eastAsia="Calibri"/>
        </w:rPr>
        <w:t xml:space="preserve"> Tilapia rouge (Grossissement : 10 x10) 2023. </w:t>
      </w:r>
      <w:r>
        <w:rPr>
          <w:rFonts w:ascii="Times New Roman" w:hAnsi="Times New Roman" w:eastAsia="Calibri"/>
          <w:color w:val="000000"/>
        </w:rPr>
        <w:t xml:space="preserve">2- </w:t>
      </w:r>
      <w:r>
        <w:rPr>
          <w:rFonts w:ascii="Times New Roman" w:hAnsi="Times New Roman" w:eastAsia="Calibri"/>
          <w:i/>
          <w:iCs/>
        </w:rPr>
        <w:t xml:space="preserve">Cichlidogyrus cubitus </w:t>
      </w:r>
      <w:r>
        <w:rPr>
          <w:rFonts w:ascii="Times New Roman" w:hAnsi="Times New Roman" w:eastAsia="Calibri"/>
        </w:rPr>
        <w:t xml:space="preserve">Dossou, 1982 chez </w:t>
      </w:r>
      <w:r>
        <w:rPr>
          <w:rFonts w:ascii="Times New Roman" w:hAnsi="Times New Roman" w:eastAsia="Calibri"/>
          <w:i/>
          <w:iCs/>
        </w:rPr>
        <w:t>T.zillii</w:t>
      </w:r>
      <w:r>
        <w:rPr>
          <w:rFonts w:ascii="Times New Roman" w:hAnsi="Times New Roman" w:eastAsia="Calibri"/>
        </w:rPr>
        <w:t xml:space="preserve"> (2012) Critère de diagnose : (Hapteur, Taches céphaliques, Appareil génital), </w:t>
      </w:r>
    </w:p>
    <w:p>
      <w:pPr>
        <w:jc w:val="both"/>
        <w:rPr>
          <w:rFonts w:ascii="Times New Roman" w:hAnsi="Times New Roman" w:eastAsia="Calibri"/>
        </w:rPr>
      </w:pPr>
      <w:r>
        <w:rPr>
          <w:rFonts w:ascii="Times New Roman" w:hAnsi="Times New Roman" w:eastAsia="Calibri"/>
        </w:rPr>
        <w:t>3- structure de la branchie.</w:t>
      </w:r>
    </w:p>
    <w:p>
      <w:pPr>
        <w:rPr>
          <w:rFonts w:ascii="Gill Sans MT" w:hAnsi="Gill Sans MT"/>
          <w:color w:val="6B6B6B"/>
          <w:sz w:val="18"/>
          <w:szCs w:val="18"/>
          <w:shd w:val="clear" w:color="auto" w:fill="F0F0F0"/>
          <w:lang w:val="en-US"/>
        </w:rPr>
      </w:pPr>
      <w:r>
        <w:drawing>
          <wp:inline distT="0" distB="0" distL="0" distR="0">
            <wp:extent cx="6158230" cy="3018155"/>
            <wp:effectExtent l="0" t="0" r="0" b="0"/>
            <wp:docPr id="8" name="Image 2" descr="https://www.biorxiv.org/content/biorxiv/early/2021/12/21/2021.03.22.435939/F1.large.jpg?width=800&amp;height=600&amp;carouse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 2" descr="https://www.biorxiv.org/content/biorxiv/early/2021/12/21/2021.03.22.435939/F1.large.jpg?width=800&amp;height=600&amp;carousel=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6175291" cy="3026419"/>
                    </a:xfrm>
                    <a:prstGeom prst="rect">
                      <a:avLst/>
                    </a:prstGeom>
                    <a:noFill/>
                    <a:ln>
                      <a:noFill/>
                    </a:ln>
                  </pic:spPr>
                </pic:pic>
              </a:graphicData>
            </a:graphic>
          </wp:inline>
        </w:drawing>
      </w:r>
    </w:p>
    <w:p>
      <w:pPr>
        <w:jc w:val="both"/>
        <w:rPr>
          <w:rFonts w:ascii="Gill Sans MT" w:hAnsi="Gill Sans MT"/>
          <w:b/>
          <w:bCs/>
          <w:color w:val="6B6B6B"/>
          <w:sz w:val="15"/>
          <w:szCs w:val="15"/>
          <w:shd w:val="clear" w:color="auto" w:fill="F0F0F0"/>
        </w:rPr>
      </w:pPr>
      <w:r>
        <w:rPr>
          <w:rFonts w:ascii="Gill Sans MT" w:hAnsi="Gill Sans MT"/>
          <w:color w:val="6B6B6B"/>
          <w:sz w:val="15"/>
          <w:szCs w:val="15"/>
          <w:shd w:val="clear" w:color="auto" w:fill="F0F0F0"/>
          <w:lang w:val="en-US"/>
        </w:rPr>
        <w:t xml:space="preserve">Figure: </w:t>
      </w:r>
      <w:r>
        <w:rPr>
          <w:rFonts w:ascii="Gill Sans MT" w:hAnsi="Gill Sans MT"/>
          <w:b/>
          <w:bCs/>
          <w:color w:val="6B6B6B"/>
          <w:sz w:val="15"/>
          <w:szCs w:val="15"/>
          <w:shd w:val="clear" w:color="auto" w:fill="F0F0F0"/>
          <w:lang w:val="en-US"/>
        </w:rPr>
        <w:t>Overview of morphology of species of </w:t>
      </w:r>
      <w:r>
        <w:rPr>
          <w:rStyle w:val="4"/>
          <w:rFonts w:ascii="Gill Sans MT" w:hAnsi="Gill Sans MT"/>
          <w:b/>
          <w:bCs/>
          <w:color w:val="6B6B6B"/>
          <w:sz w:val="15"/>
          <w:szCs w:val="15"/>
          <w:shd w:val="clear" w:color="auto" w:fill="F0F0F0"/>
          <w:lang w:val="en-US"/>
        </w:rPr>
        <w:t>Cichlidogyrus</w:t>
      </w:r>
      <w:r>
        <w:rPr>
          <w:rFonts w:ascii="Gill Sans MT" w:hAnsi="Gill Sans MT"/>
          <w:b/>
          <w:bCs/>
          <w:color w:val="6B6B6B"/>
          <w:sz w:val="15"/>
          <w:szCs w:val="15"/>
          <w:shd w:val="clear" w:color="auto" w:fill="F0F0F0"/>
          <w:lang w:val="en-US"/>
        </w:rPr>
        <w:t> </w:t>
      </w:r>
      <w:r>
        <w:rPr>
          <w:sz w:val="15"/>
          <w:szCs w:val="15"/>
        </w:rPr>
        <w:fldChar w:fldCharType="begin"/>
      </w:r>
      <w:r>
        <w:rPr>
          <w:sz w:val="15"/>
          <w:szCs w:val="15"/>
        </w:rPr>
        <w:instrText xml:space="preserve"> HYPERLINK "https://www.biorxiv.org/content/10.1101/2021.03.22.435939v4.full" \l "ref-116" </w:instrText>
      </w:r>
      <w:r>
        <w:rPr>
          <w:sz w:val="15"/>
          <w:szCs w:val="15"/>
        </w:rPr>
        <w:fldChar w:fldCharType="separate"/>
      </w:r>
      <w:r>
        <w:rPr>
          <w:rStyle w:val="3"/>
          <w:rFonts w:ascii="Gill Sans MT" w:hAnsi="Gill Sans MT"/>
          <w:b/>
          <w:bCs/>
          <w:color w:val="808080"/>
          <w:sz w:val="15"/>
          <w:szCs w:val="15"/>
          <w:shd w:val="clear" w:color="auto" w:fill="F0F0F0"/>
          <w:lang w:val="en-US"/>
        </w:rPr>
        <w:t>Paperna, 1960</w:t>
      </w:r>
      <w:r>
        <w:rPr>
          <w:rStyle w:val="3"/>
          <w:rFonts w:ascii="Gill Sans MT" w:hAnsi="Gill Sans MT"/>
          <w:b/>
          <w:bCs/>
          <w:color w:val="808080"/>
          <w:sz w:val="15"/>
          <w:szCs w:val="15"/>
          <w:shd w:val="clear" w:color="auto" w:fill="F0F0F0"/>
          <w:lang w:val="en-US"/>
        </w:rPr>
        <w:fldChar w:fldCharType="end"/>
      </w:r>
      <w:r>
        <w:rPr>
          <w:rFonts w:ascii="Gill Sans MT" w:hAnsi="Gill Sans MT"/>
          <w:b/>
          <w:bCs/>
          <w:color w:val="6B6B6B"/>
          <w:sz w:val="15"/>
          <w:szCs w:val="15"/>
          <w:shd w:val="clear" w:color="auto" w:fill="F0F0F0"/>
          <w:lang w:val="en-US"/>
        </w:rPr>
        <w:t> (Platyhelminthes: Monogenea, Dactylogyridae). (a) Multiple specimens attached to the gills of </w:t>
      </w:r>
      <w:r>
        <w:rPr>
          <w:rStyle w:val="4"/>
          <w:rFonts w:ascii="Gill Sans MT" w:hAnsi="Gill Sans MT"/>
          <w:b/>
          <w:bCs/>
          <w:color w:val="6B6B6B"/>
          <w:sz w:val="15"/>
          <w:szCs w:val="15"/>
          <w:shd w:val="clear" w:color="auto" w:fill="F0F0F0"/>
          <w:lang w:val="en-US"/>
        </w:rPr>
        <w:t>Sarotherodon melanotheron</w:t>
      </w:r>
      <w:r>
        <w:rPr>
          <w:rFonts w:ascii="Gill Sans MT" w:hAnsi="Gill Sans MT"/>
          <w:b/>
          <w:bCs/>
          <w:color w:val="6B6B6B"/>
          <w:sz w:val="15"/>
          <w:szCs w:val="15"/>
          <w:shd w:val="clear" w:color="auto" w:fill="F0F0F0"/>
          <w:lang w:val="en-US"/>
        </w:rPr>
        <w:t> Rüppel, 1852 (Cichliformes: Cichlidae). (b) Microscopic image of </w:t>
      </w:r>
      <w:r>
        <w:rPr>
          <w:rStyle w:val="4"/>
          <w:rFonts w:ascii="Gill Sans MT" w:hAnsi="Gill Sans MT"/>
          <w:b/>
          <w:bCs/>
          <w:color w:val="6B6B6B"/>
          <w:sz w:val="15"/>
          <w:szCs w:val="15"/>
          <w:shd w:val="clear" w:color="auto" w:fill="F0F0F0"/>
          <w:lang w:val="en-US"/>
        </w:rPr>
        <w:t>Cichlidogyrus agnesi</w:t>
      </w:r>
      <w:r>
        <w:rPr>
          <w:rFonts w:ascii="Gill Sans MT" w:hAnsi="Gill Sans MT"/>
          <w:b/>
          <w:bCs/>
          <w:color w:val="6B6B6B"/>
          <w:sz w:val="15"/>
          <w:szCs w:val="15"/>
          <w:shd w:val="clear" w:color="auto" w:fill="F0F0F0"/>
          <w:lang w:val="en-US"/>
        </w:rPr>
        <w:t> </w:t>
      </w:r>
      <w:r>
        <w:rPr>
          <w:sz w:val="15"/>
          <w:szCs w:val="15"/>
        </w:rPr>
        <w:fldChar w:fldCharType="begin"/>
      </w:r>
      <w:r>
        <w:rPr>
          <w:sz w:val="15"/>
          <w:szCs w:val="15"/>
        </w:rPr>
        <w:instrText xml:space="preserve"> HYPERLINK "https://www.biorxiv.org/content/10.1101/2021.03.22.435939v4.full" \l "ref-125" </w:instrText>
      </w:r>
      <w:r>
        <w:rPr>
          <w:sz w:val="15"/>
          <w:szCs w:val="15"/>
        </w:rPr>
        <w:fldChar w:fldCharType="separate"/>
      </w:r>
      <w:r>
        <w:rPr>
          <w:rStyle w:val="3"/>
          <w:rFonts w:ascii="Gill Sans MT" w:hAnsi="Gill Sans MT"/>
          <w:b/>
          <w:bCs/>
          <w:color w:val="808080"/>
          <w:sz w:val="15"/>
          <w:szCs w:val="15"/>
          <w:shd w:val="clear" w:color="auto" w:fill="F0F0F0"/>
          <w:lang w:val="en-US"/>
        </w:rPr>
        <w:t>Pariselle &amp; Euzet, 1995</w:t>
      </w:r>
      <w:r>
        <w:rPr>
          <w:rStyle w:val="3"/>
          <w:rFonts w:ascii="Gill Sans MT" w:hAnsi="Gill Sans MT"/>
          <w:b/>
          <w:bCs/>
          <w:color w:val="808080"/>
          <w:sz w:val="15"/>
          <w:szCs w:val="15"/>
          <w:shd w:val="clear" w:color="auto" w:fill="F0F0F0"/>
          <w:lang w:val="en-US"/>
        </w:rPr>
        <w:fldChar w:fldCharType="end"/>
      </w:r>
      <w:r>
        <w:rPr>
          <w:rFonts w:ascii="Gill Sans MT" w:hAnsi="Gill Sans MT"/>
          <w:b/>
          <w:bCs/>
          <w:color w:val="6B6B6B"/>
          <w:sz w:val="15"/>
          <w:szCs w:val="15"/>
          <w:shd w:val="clear" w:color="auto" w:fill="F0F0F0"/>
          <w:lang w:val="en-US"/>
        </w:rPr>
        <w:t xml:space="preserve"> with sclerotised structures of reproductive (male copulatory organ and vagina) and attachment organs indicated by arrows. (c) Overview of hard part morphology and most widely applied measurements of these structures in taxonomic literature. Abbreviations: a, anchor total length; b, anchor blade length; c, anchor shaft length; d, anchor guard length; e, anchor point length; 1–7, hook lengths; w, bar width; x, bar length; h, auricle length; y, distance between auricles; AuP, surface of auxiliary plate of male copulatory organ; AP, accessory piece length; Pe, penis length; He, heel length; l, length; w, width. Terminology and methodology of measurements according to Fannes et al. </w:t>
      </w:r>
      <w:r>
        <w:rPr>
          <w:rFonts w:ascii="Gill Sans MT" w:hAnsi="Gill Sans MT"/>
          <w:b/>
          <w:bCs/>
          <w:color w:val="6B6B6B"/>
          <w:sz w:val="15"/>
          <w:szCs w:val="15"/>
          <w:shd w:val="clear" w:color="auto" w:fill="F0F0F0"/>
        </w:rPr>
        <w:t>(2017).</w:t>
      </w:r>
    </w:p>
    <w:p>
      <w:pPr>
        <w:jc w:val="both"/>
      </w:pPr>
      <w:r>
        <w:drawing>
          <wp:anchor distT="0" distB="0" distL="114300" distR="114300" simplePos="0" relativeHeight="251662336" behindDoc="0" locked="0" layoutInCell="1" allowOverlap="1">
            <wp:simplePos x="0" y="0"/>
            <wp:positionH relativeFrom="column">
              <wp:posOffset>3277235</wp:posOffset>
            </wp:positionH>
            <wp:positionV relativeFrom="paragraph">
              <wp:posOffset>76200</wp:posOffset>
            </wp:positionV>
            <wp:extent cx="1383665" cy="1788795"/>
            <wp:effectExtent l="0" t="0" r="6985" b="1905"/>
            <wp:wrapSquare wrapText="bothSides"/>
            <wp:docPr id="3"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2"/>
                    <pic:cNvPicPr>
                      <a:picLocks noChangeAspect="1"/>
                    </pic:cNvPicPr>
                  </pic:nvPicPr>
                  <pic:blipFill>
                    <a:blip r:embed="rId13"/>
                    <a:stretch>
                      <a:fillRect/>
                    </a:stretch>
                  </pic:blipFill>
                  <pic:spPr>
                    <a:xfrm>
                      <a:off x="0" y="0"/>
                      <a:ext cx="1383665" cy="1788795"/>
                    </a:xfrm>
                    <a:prstGeom prst="rect">
                      <a:avLst/>
                    </a:prstGeom>
                    <a:noFill/>
                    <a:ln>
                      <a:noFill/>
                    </a:ln>
                  </pic:spPr>
                </pic:pic>
              </a:graphicData>
            </a:graphic>
          </wp:anchor>
        </w:drawing>
      </w:r>
      <w:r>
        <w:drawing>
          <wp:inline distT="0" distB="0" distL="114300" distR="114300">
            <wp:extent cx="2365375" cy="1800860"/>
            <wp:effectExtent l="0" t="0" r="15875" b="8890"/>
            <wp:docPr id="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1"/>
                    <pic:cNvPicPr>
                      <a:picLocks noChangeAspect="1"/>
                    </pic:cNvPicPr>
                  </pic:nvPicPr>
                  <pic:blipFill>
                    <a:blip r:embed="rId14"/>
                    <a:stretch>
                      <a:fillRect/>
                    </a:stretch>
                  </pic:blipFill>
                  <pic:spPr>
                    <a:xfrm>
                      <a:off x="0" y="0"/>
                      <a:ext cx="2365375" cy="1800860"/>
                    </a:xfrm>
                    <a:prstGeom prst="rect">
                      <a:avLst/>
                    </a:prstGeom>
                    <a:noFill/>
                    <a:ln>
                      <a:noFill/>
                    </a:ln>
                  </pic:spPr>
                </pic:pic>
              </a:graphicData>
            </a:graphic>
          </wp:inline>
        </w:drawing>
      </w:r>
      <w:bookmarkStart w:id="0" w:name="_GoBack"/>
      <w:bookmarkEnd w:id="0"/>
    </w:p>
    <w:p>
      <w:pPr>
        <w:ind w:firstLine="1265" w:firstLineChars="1150"/>
        <w:jc w:val="both"/>
        <w:rPr>
          <w:rFonts w:ascii="Gill Sans MT" w:hAnsi="Gill Sans MT"/>
          <w:b/>
          <w:bCs/>
          <w:color w:val="6B6B6B"/>
          <w:sz w:val="11"/>
          <w:szCs w:val="11"/>
          <w:shd w:val="clear" w:color="auto" w:fill="F0F0F0"/>
        </w:rPr>
      </w:pPr>
      <w:r>
        <w:rPr>
          <w:rFonts w:ascii="Arial" w:hAnsi="Arial" w:eastAsia="Arial" w:cs="Arial"/>
          <w:i w:val="0"/>
          <w:iCs w:val="0"/>
          <w:caps w:val="0"/>
          <w:color w:val="2E3743"/>
          <w:spacing w:val="0"/>
          <w:sz w:val="11"/>
          <w:szCs w:val="11"/>
          <w:shd w:val="clear" w:fill="FFFFFF"/>
        </w:rPr>
        <w:t>Birgiellus mutatus n. sp. individu in toto en vue dorsale (composite). AC = appareil copulateur; Ci = cæcum intestinal ; Df = vas deferens; Hp = hapteur; Oo = ootype; Ov = ovaire; Ph = pharynx; Pt = réservoirs prostatiques; Rs = réceptacle séminal; Vg = ouverture du vagin; Te = testicule; Vi = follicules vitellin; Vs = vésicules séminale. Échelle : 100 µm</w:t>
      </w:r>
    </w:p>
    <w:sectPr>
      <w:footerReference r:id="rId5" w:type="default"/>
      <w:pgSz w:w="11906" w:h="16838"/>
      <w:pgMar w:top="851" w:right="851" w:bottom="851" w:left="851" w:header="70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SimHei">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00"/>
    <w:family w:val="auto"/>
    <w:pitch w:val="default"/>
    <w:sig w:usb0="E00002FF" w:usb1="4000ACFF" w:usb2="00000001" w:usb3="00000000" w:csb0="2000019F" w:csb1="00000000"/>
  </w:font>
  <w:font w:name="Gill Sans MT">
    <w:panose1 w:val="020B0502020104020203"/>
    <w:charset w:val="00"/>
    <w:family w:val="swiss"/>
    <w:pitch w:val="default"/>
    <w:sig w:usb0="00000003" w:usb1="00000000" w:usb2="00000000" w:usb3="00000000" w:csb0="2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38281744"/>
      <w:docPartObj>
        <w:docPartGallery w:val="AutoText"/>
      </w:docPartObj>
    </w:sdtPr>
    <w:sdtContent>
      <w:p>
        <w:pPr>
          <w:pStyle w:val="6"/>
        </w:pPr>
        <w:r>
          <mc:AlternateContent>
            <mc:Choice Requires="wps">
              <w:drawing>
                <wp:anchor distT="0" distB="0" distL="114300" distR="114300" simplePos="0" relativeHeight="251660288" behindDoc="0" locked="0" layoutInCell="0" allowOverlap="1">
                  <wp:simplePos x="0" y="0"/>
                  <wp:positionH relativeFrom="rightMargin">
                    <wp:align>left</wp:align>
                  </wp:positionH>
                  <mc:AlternateContent>
                    <mc:Choice Requires="wp14">
                      <wp:positionV relativeFrom="bottomMargin">
                        <wp14:pctPosVOffset>7000</wp14:pctPosVOffset>
                      </wp:positionV>
                    </mc:Choice>
                    <mc:Fallback>
                      <wp:positionV relativeFrom="page">
                        <wp:posOffset>9944100</wp:posOffset>
                      </wp:positionV>
                    </mc:Fallback>
                  </mc:AlternateContent>
                  <wp:extent cx="368300" cy="274320"/>
                  <wp:effectExtent l="9525" t="9525" r="12700" b="11430"/>
                  <wp:wrapNone/>
                  <wp:docPr id="7" name="Carré corné 7"/>
                  <wp:cNvGraphicFramePr/>
                  <a:graphic xmlns:a="http://schemas.openxmlformats.org/drawingml/2006/main">
                    <a:graphicData uri="http://schemas.microsoft.com/office/word/2010/wordprocessingShape">
                      <wps:wsp>
                        <wps:cNvSpPr>
                          <a:spLocks noChangeArrowheads="1"/>
                        </wps:cNvSpPr>
                        <wps:spPr bwMode="auto">
                          <a:xfrm>
                            <a:off x="0" y="0"/>
                            <a:ext cx="368300" cy="274320"/>
                          </a:xfrm>
                          <a:prstGeom prst="foldedCorner">
                            <a:avLst>
                              <a:gd name="adj" fmla="val 34560"/>
                            </a:avLst>
                          </a:prstGeom>
                          <a:solidFill>
                            <a:srgbClr val="FFFFFF"/>
                          </a:solidFill>
                          <a:ln w="3175">
                            <a:solidFill>
                              <a:srgbClr val="808080"/>
                            </a:solidFill>
                            <a:round/>
                          </a:ln>
                        </wps:spPr>
                        <wps:txbx>
                          <w:txbxContent>
                            <w:p>
                              <w:pPr>
                                <w:jc w:val="center"/>
                              </w:pPr>
                              <w:r>
                                <w:rPr>
                                  <w:sz w:val="22"/>
                                  <w:szCs w:val="22"/>
                                </w:rPr>
                                <w:fldChar w:fldCharType="begin"/>
                              </w:r>
                              <w:r>
                                <w:instrText xml:space="preserve">PAGE    \* MERGEFORMAT</w:instrText>
                              </w:r>
                              <w:r>
                                <w:rPr>
                                  <w:sz w:val="22"/>
                                  <w:szCs w:val="22"/>
                                </w:rPr>
                                <w:fldChar w:fldCharType="separate"/>
                              </w:r>
                              <w:r>
                                <w:rPr>
                                  <w:sz w:val="16"/>
                                  <w:szCs w:val="16"/>
                                </w:rPr>
                                <w:t>1</w:t>
                              </w:r>
                              <w:r>
                                <w:rPr>
                                  <w:sz w:val="16"/>
                                  <w:szCs w:val="16"/>
                                </w:rPr>
                                <w:fldChar w:fldCharType="end"/>
                              </w:r>
                            </w:p>
                          </w:txbxContent>
                        </wps:txbx>
                        <wps:bodyPr rot="0" vert="horz" wrap="square" lIns="91440" tIns="45720" rIns="91440" bIns="45720" anchor="t" anchorCtr="0" upright="1">
                          <a:noAutofit/>
                        </wps:bodyPr>
                      </wps:wsp>
                    </a:graphicData>
                  </a:graphic>
                </wp:anchor>
              </w:drawing>
            </mc:Choice>
            <mc:Fallback>
              <w:pict>
                <v:shape id="_x0000_s1026" o:spid="_x0000_s1026" o:spt="65" type="#_x0000_t65" style="position:absolute;left:0pt;margin-left:553.5pt;margin-top:783pt;height:21.6pt;width:29pt;mso-position-horizontal-relative:page;mso-position-vertical-relative:page;z-index:251660288;mso-width-relative:page;mso-height-relative:page;" fillcolor="#FFFFFF" filled="t" stroked="t" coordsize="21600,21600" o:allowincell="f" o:gfxdata="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IiAHtvTAAAAAwEAAA8AAAAAAAAAAQAg&#10;AAAAIgAAAGRycy9kb3ducmV2LnhtbFBLAQIUABQAAAAIAIdO4kAnNY7oTAIAAKcEAAAOAAAAAAAA&#10;AAEAIAAAACIBAABkcnMvZTJvRG9jLnhtbFBLBQYAAAAABgAGAFkBAADgBQAAAAA=&#10;" adj="14135">
                  <v:fill on="t" focussize="0,0"/>
                  <v:stroke weight="0.25pt" color="#808080" joinstyle="round"/>
                  <v:imagedata o:title=""/>
                  <o:lock v:ext="edit" aspectratio="f"/>
                  <v:textbox>
                    <w:txbxContent>
                      <w:p>
                        <w:pPr>
                          <w:jc w:val="center"/>
                        </w:pPr>
                        <w:r>
                          <w:rPr>
                            <w:sz w:val="22"/>
                            <w:szCs w:val="22"/>
                          </w:rPr>
                          <w:fldChar w:fldCharType="begin"/>
                        </w:r>
                        <w:r>
                          <w:instrText xml:space="preserve">PAGE    \* MERGEFORMAT</w:instrText>
                        </w:r>
                        <w:r>
                          <w:rPr>
                            <w:sz w:val="22"/>
                            <w:szCs w:val="22"/>
                          </w:rPr>
                          <w:fldChar w:fldCharType="separate"/>
                        </w:r>
                        <w:r>
                          <w:rPr>
                            <w:sz w:val="16"/>
                            <w:szCs w:val="16"/>
                          </w:rPr>
                          <w:t>1</w:t>
                        </w:r>
                        <w:r>
                          <w:rPr>
                            <w:sz w:val="16"/>
                            <w:szCs w:val="16"/>
                          </w:rPr>
                          <w:fldChar w:fldCharType="end"/>
                        </w:r>
                      </w:p>
                    </w:txbxContent>
                  </v:textbox>
                </v:shape>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6" w:lineRule="auto"/>
      </w:pPr>
      <w:r>
        <w:separator/>
      </w:r>
    </w:p>
  </w:footnote>
  <w:footnote w:type="continuationSeparator" w:id="1">
    <w:p>
      <w:pPr>
        <w:spacing w:before="0" w:after="0" w:line="25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AF7431A"/>
    <w:multiLevelType w:val="multilevel"/>
    <w:tmpl w:val="3AF7431A"/>
    <w:lvl w:ilvl="0" w:tentative="0">
      <w:start w:val="1"/>
      <w:numFmt w:val="decimal"/>
      <w:lvlText w:val="%1."/>
      <w:lvlJc w:val="left"/>
      <w:pPr>
        <w:ind w:left="720" w:hanging="360"/>
      </w:pPr>
      <w:rPr>
        <w:rFonts w:hint="default" w:ascii="Times New Roman" w:hAnsi="Times New Roman" w:cs="Times New Roman"/>
      </w:rPr>
    </w:lvl>
    <w:lvl w:ilvl="1" w:tentative="0">
      <w:start w:val="1"/>
      <w:numFmt w:val="lowerLetter"/>
      <w:lvlText w:val="%2."/>
      <w:lvlJc w:val="left"/>
      <w:pPr>
        <w:ind w:left="1440" w:hanging="360"/>
      </w:pPr>
      <w:rPr>
        <w:rFonts w:hint="default" w:ascii="Times New Roman" w:hAnsi="Times New Roman" w:cs="Times New Roman"/>
      </w:rPr>
    </w:lvl>
    <w:lvl w:ilvl="2" w:tentative="0">
      <w:start w:val="1"/>
      <w:numFmt w:val="lowerRoman"/>
      <w:lvlText w:val="%3."/>
      <w:lvlJc w:val="right"/>
      <w:pPr>
        <w:ind w:left="2160" w:hanging="360"/>
      </w:pPr>
      <w:rPr>
        <w:rFonts w:hint="default" w:ascii="Times New Roman" w:hAnsi="Times New Roman" w:cs="Times New Roman"/>
      </w:rPr>
    </w:lvl>
    <w:lvl w:ilvl="3" w:tentative="0">
      <w:start w:val="1"/>
      <w:numFmt w:val="decimal"/>
      <w:lvlText w:val="%4."/>
      <w:lvlJc w:val="left"/>
      <w:pPr>
        <w:ind w:left="2880" w:hanging="360"/>
      </w:pPr>
      <w:rPr>
        <w:rFonts w:hint="default" w:ascii="Times New Roman" w:hAnsi="Times New Roman" w:cs="Times New Roman"/>
      </w:rPr>
    </w:lvl>
    <w:lvl w:ilvl="4" w:tentative="0">
      <w:start w:val="1"/>
      <w:numFmt w:val="lowerLetter"/>
      <w:lvlText w:val="%5."/>
      <w:lvlJc w:val="left"/>
      <w:pPr>
        <w:ind w:left="3600" w:hanging="360"/>
      </w:pPr>
      <w:rPr>
        <w:rFonts w:hint="default" w:ascii="Times New Roman" w:hAnsi="Times New Roman" w:cs="Times New Roman"/>
      </w:rPr>
    </w:lvl>
    <w:lvl w:ilvl="5" w:tentative="0">
      <w:start w:val="1"/>
      <w:numFmt w:val="lowerRoman"/>
      <w:lvlText w:val="%6."/>
      <w:lvlJc w:val="right"/>
      <w:pPr>
        <w:ind w:left="4320" w:hanging="360"/>
      </w:pPr>
      <w:rPr>
        <w:rFonts w:hint="default" w:ascii="Times New Roman" w:hAnsi="Times New Roman" w:cs="Times New Roman"/>
      </w:rPr>
    </w:lvl>
    <w:lvl w:ilvl="6" w:tentative="0">
      <w:start w:val="1"/>
      <w:numFmt w:val="decimal"/>
      <w:lvlText w:val="%7."/>
      <w:lvlJc w:val="left"/>
      <w:pPr>
        <w:ind w:left="5040" w:hanging="360"/>
      </w:pPr>
      <w:rPr>
        <w:rFonts w:hint="default" w:ascii="Times New Roman" w:hAnsi="Times New Roman" w:cs="Times New Roman"/>
      </w:rPr>
    </w:lvl>
    <w:lvl w:ilvl="7" w:tentative="0">
      <w:start w:val="1"/>
      <w:numFmt w:val="lowerLetter"/>
      <w:lvlText w:val="%8."/>
      <w:lvlJc w:val="left"/>
      <w:pPr>
        <w:ind w:left="5760" w:hanging="360"/>
      </w:pPr>
      <w:rPr>
        <w:rFonts w:hint="default" w:ascii="Times New Roman" w:hAnsi="Times New Roman" w:cs="Times New Roman"/>
      </w:rPr>
    </w:lvl>
    <w:lvl w:ilvl="8" w:tentative="0">
      <w:start w:val="1"/>
      <w:numFmt w:val="lowerRoman"/>
      <w:lvlText w:val="%9."/>
      <w:lvlJc w:val="right"/>
      <w:pPr>
        <w:ind w:left="6480" w:hanging="360"/>
      </w:pPr>
      <w:rPr>
        <w:rFonts w:hint="default" w:ascii="Times New Roman" w:hAnsi="Times New Roman" w:cs="Times New Roman"/>
      </w:rPr>
    </w:lvl>
  </w:abstractNum>
  <w:abstractNum w:abstractNumId="1">
    <w:nsid w:val="596117EC"/>
    <w:multiLevelType w:val="multilevel"/>
    <w:tmpl w:val="596117EC"/>
    <w:lvl w:ilvl="0" w:tentative="0">
      <w:start w:val="1"/>
      <w:numFmt w:val="decimal"/>
      <w:lvlText w:val="%1."/>
      <w:lvlJc w:val="left"/>
      <w:pPr>
        <w:ind w:left="720" w:hanging="360"/>
      </w:pPr>
      <w:rPr>
        <w:rFonts w:hint="default" w:ascii="Times New Roman" w:hAnsi="Times New Roman" w:cs="Times New Roman"/>
      </w:rPr>
    </w:lvl>
    <w:lvl w:ilvl="1" w:tentative="0">
      <w:start w:val="1"/>
      <w:numFmt w:val="lowerLetter"/>
      <w:lvlText w:val="%2."/>
      <w:lvlJc w:val="left"/>
      <w:pPr>
        <w:ind w:left="1440" w:hanging="360"/>
      </w:pPr>
      <w:rPr>
        <w:rFonts w:hint="default" w:ascii="Times New Roman" w:hAnsi="Times New Roman" w:cs="Times New Roman"/>
      </w:rPr>
    </w:lvl>
    <w:lvl w:ilvl="2" w:tentative="0">
      <w:start w:val="1"/>
      <w:numFmt w:val="lowerRoman"/>
      <w:lvlText w:val="%3."/>
      <w:lvlJc w:val="right"/>
      <w:pPr>
        <w:ind w:left="2160" w:hanging="360"/>
      </w:pPr>
      <w:rPr>
        <w:rFonts w:hint="default" w:ascii="Times New Roman" w:hAnsi="Times New Roman" w:cs="Times New Roman"/>
      </w:rPr>
    </w:lvl>
    <w:lvl w:ilvl="3" w:tentative="0">
      <w:start w:val="1"/>
      <w:numFmt w:val="decimal"/>
      <w:lvlText w:val="%4."/>
      <w:lvlJc w:val="left"/>
      <w:pPr>
        <w:ind w:left="2880" w:hanging="360"/>
      </w:pPr>
      <w:rPr>
        <w:rFonts w:hint="default" w:ascii="Times New Roman" w:hAnsi="Times New Roman" w:cs="Times New Roman"/>
      </w:rPr>
    </w:lvl>
    <w:lvl w:ilvl="4" w:tentative="0">
      <w:start w:val="1"/>
      <w:numFmt w:val="lowerLetter"/>
      <w:lvlText w:val="%5."/>
      <w:lvlJc w:val="left"/>
      <w:pPr>
        <w:ind w:left="3600" w:hanging="360"/>
      </w:pPr>
      <w:rPr>
        <w:rFonts w:hint="default" w:ascii="Times New Roman" w:hAnsi="Times New Roman" w:cs="Times New Roman"/>
      </w:rPr>
    </w:lvl>
    <w:lvl w:ilvl="5" w:tentative="0">
      <w:start w:val="1"/>
      <w:numFmt w:val="lowerRoman"/>
      <w:lvlText w:val="%6."/>
      <w:lvlJc w:val="right"/>
      <w:pPr>
        <w:ind w:left="4320" w:hanging="360"/>
      </w:pPr>
      <w:rPr>
        <w:rFonts w:hint="default" w:ascii="Times New Roman" w:hAnsi="Times New Roman" w:cs="Times New Roman"/>
      </w:rPr>
    </w:lvl>
    <w:lvl w:ilvl="6" w:tentative="0">
      <w:start w:val="1"/>
      <w:numFmt w:val="decimal"/>
      <w:lvlText w:val="%7."/>
      <w:lvlJc w:val="left"/>
      <w:pPr>
        <w:ind w:left="5040" w:hanging="360"/>
      </w:pPr>
      <w:rPr>
        <w:rFonts w:hint="default" w:ascii="Times New Roman" w:hAnsi="Times New Roman" w:cs="Times New Roman"/>
      </w:rPr>
    </w:lvl>
    <w:lvl w:ilvl="7" w:tentative="0">
      <w:start w:val="1"/>
      <w:numFmt w:val="lowerLetter"/>
      <w:lvlText w:val="%8."/>
      <w:lvlJc w:val="left"/>
      <w:pPr>
        <w:ind w:left="5760" w:hanging="360"/>
      </w:pPr>
      <w:rPr>
        <w:rFonts w:hint="default" w:ascii="Times New Roman" w:hAnsi="Times New Roman" w:cs="Times New Roman"/>
      </w:rPr>
    </w:lvl>
    <w:lvl w:ilvl="8" w:tentative="0">
      <w:start w:val="1"/>
      <w:numFmt w:val="lowerRoman"/>
      <w:lvlText w:val="%9."/>
      <w:lvlJc w:val="right"/>
      <w:pPr>
        <w:ind w:left="6480" w:hanging="360"/>
      </w:pPr>
      <w:rPr>
        <w:rFonts w:hint="default" w:ascii="Times New Roman" w:hAnsi="Times New Roman"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08"/>
  <w:hyphenationZone w:val="425"/>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1CFF"/>
    <w:rsid w:val="000712BB"/>
    <w:rsid w:val="001B1CFF"/>
    <w:rsid w:val="00406073"/>
    <w:rsid w:val="00624783"/>
    <w:rsid w:val="006F6FF7"/>
    <w:rsid w:val="009B7DFA"/>
    <w:rsid w:val="00C8402C"/>
    <w:rsid w:val="00D26131"/>
    <w:rsid w:val="00DE6F18"/>
    <w:rsid w:val="10D57F9F"/>
    <w:rsid w:val="39FE54CD"/>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Balloon Text"/>
  </w:latentStyles>
  <w:style w:type="paragraph" w:default="1" w:styleId="1">
    <w:name w:val="Normal"/>
    <w:qFormat/>
    <w:uiPriority w:val="0"/>
    <w:pPr>
      <w:spacing w:before="100" w:beforeAutospacing="1" w:after="100" w:afterAutospacing="1" w:line="256" w:lineRule="auto"/>
    </w:pPr>
    <w:rPr>
      <w:rFonts w:ascii="Calibri" w:hAnsi="Calibri" w:eastAsia="Times New Roman" w:cs="Times New Roman"/>
      <w:sz w:val="24"/>
      <w:szCs w:val="24"/>
      <w:lang w:val="fr-FR" w:eastAsia="fr-FR" w:bidi="ar-SA"/>
    </w:rPr>
  </w:style>
  <w:style w:type="character" w:default="1" w:styleId="2">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character" w:styleId="3">
    <w:name w:val="Hyperlink"/>
    <w:basedOn w:val="2"/>
    <w:semiHidden/>
    <w:unhideWhenUsed/>
    <w:uiPriority w:val="99"/>
    <w:rPr>
      <w:color w:val="0000FF"/>
      <w:u w:val="single"/>
    </w:rPr>
  </w:style>
  <w:style w:type="character" w:styleId="4">
    <w:name w:val="Emphasis"/>
    <w:basedOn w:val="2"/>
    <w:qFormat/>
    <w:uiPriority w:val="20"/>
    <w:rPr>
      <w:i/>
      <w:iCs/>
    </w:rPr>
  </w:style>
  <w:style w:type="paragraph" w:styleId="5">
    <w:name w:val="Normal (Web)"/>
    <w:basedOn w:val="1"/>
    <w:unhideWhenUsed/>
    <w:uiPriority w:val="99"/>
    <w:pPr>
      <w:spacing w:line="240" w:lineRule="auto"/>
    </w:pPr>
    <w:rPr>
      <w:rFonts w:ascii="Times New Roman" w:hAnsi="Times New Roman"/>
    </w:rPr>
  </w:style>
  <w:style w:type="paragraph" w:styleId="6">
    <w:name w:val="footer"/>
    <w:basedOn w:val="1"/>
    <w:link w:val="12"/>
    <w:unhideWhenUsed/>
    <w:uiPriority w:val="99"/>
    <w:pPr>
      <w:tabs>
        <w:tab w:val="center" w:pos="4536"/>
        <w:tab w:val="right" w:pos="9072"/>
      </w:tabs>
      <w:spacing w:before="0" w:after="0" w:line="240" w:lineRule="auto"/>
    </w:pPr>
  </w:style>
  <w:style w:type="paragraph" w:styleId="7">
    <w:name w:val="header"/>
    <w:basedOn w:val="1"/>
    <w:link w:val="11"/>
    <w:unhideWhenUsed/>
    <w:uiPriority w:val="99"/>
    <w:pPr>
      <w:tabs>
        <w:tab w:val="center" w:pos="4536"/>
        <w:tab w:val="right" w:pos="9072"/>
      </w:tabs>
      <w:spacing w:before="0" w:after="0" w:line="240" w:lineRule="auto"/>
    </w:pPr>
  </w:style>
  <w:style w:type="paragraph" w:customStyle="1" w:styleId="9">
    <w:name w:val="List Paragraph"/>
    <w:basedOn w:val="1"/>
    <w:uiPriority w:val="0"/>
    <w:pPr>
      <w:contextualSpacing/>
    </w:pPr>
  </w:style>
  <w:style w:type="table" w:customStyle="1" w:styleId="10">
    <w:name w:val="Table Grid"/>
    <w:basedOn w:val="8"/>
    <w:uiPriority w:val="0"/>
    <w:pPr>
      <w:spacing w:after="0" w:line="240" w:lineRule="auto"/>
    </w:pPr>
    <w:rPr>
      <w:rFonts w:ascii="Times New Roman" w:hAnsi="Times New Roman" w:eastAsia="Times New Roman" w:cs="Times New Roman"/>
      <w:sz w:val="20"/>
      <w:szCs w:val="20"/>
      <w:lang w:eastAsia="fr-FR"/>
    </w:rPr>
    <w:tblPr>
      <w:tblCellMar>
        <w:top w:w="0" w:type="dxa"/>
        <w:left w:w="0" w:type="dxa"/>
        <w:bottom w:w="0" w:type="dxa"/>
        <w:right w:w="0" w:type="dxa"/>
      </w:tblCellMar>
    </w:tblPr>
  </w:style>
  <w:style w:type="character" w:customStyle="1" w:styleId="11">
    <w:name w:val="En-tête Car"/>
    <w:basedOn w:val="2"/>
    <w:link w:val="7"/>
    <w:uiPriority w:val="99"/>
    <w:rPr>
      <w:rFonts w:ascii="Calibri" w:hAnsi="Calibri" w:eastAsia="Times New Roman" w:cs="Times New Roman"/>
      <w:sz w:val="24"/>
      <w:szCs w:val="24"/>
      <w:lang w:eastAsia="fr-FR"/>
    </w:rPr>
  </w:style>
  <w:style w:type="character" w:customStyle="1" w:styleId="12">
    <w:name w:val="Pied de page Car"/>
    <w:basedOn w:val="2"/>
    <w:link w:val="6"/>
    <w:uiPriority w:val="99"/>
    <w:rPr>
      <w:rFonts w:ascii="Calibri" w:hAnsi="Calibri" w:eastAsia="Times New Roman" w:cs="Times New Roman"/>
      <w:sz w:val="24"/>
      <w:szCs w:val="24"/>
      <w:lang w:eastAsia="fr-FR"/>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8.png"/><Relationship Id="rId13" Type="http://schemas.openxmlformats.org/officeDocument/2006/relationships/image" Target="media/image7.png"/><Relationship Id="rId12" Type="http://schemas.openxmlformats.org/officeDocument/2006/relationships/image" Target="media/image6.jpeg"/><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506</Words>
  <Characters>2786</Characters>
  <Lines>23</Lines>
  <Paragraphs>6</Paragraphs>
  <TotalTime>86</TotalTime>
  <ScaleCrop>false</ScaleCrop>
  <LinksUpToDate>false</LinksUpToDate>
  <CharactersWithSpaces>3286</CharactersWithSpaces>
  <Application>WPS Office_12.2.0.13431_F1E327BC-269C-435d-A152-05C5408002CA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2024-02-07T10:27:00Z</dcterms:created>
  <dc:creator>Admin</dc:creator>
  <cp:lastModifiedBy>Attir Badreddine</cp:lastModifiedBy>
  <dcterms:modified xsi:type="dcterms:W3CDTF">2024-02-09T11:00:43Z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1036-12.2.0.13431</vt:lpwstr>
  </property>
  <property fmtid="{D5CDD505-2E9C-101B-9397-08002B2CF9AE}" pid="3" name="ICV">
    <vt:lpwstr>5926DE111927437A96949A3B17BDA9F8_12</vt:lpwstr>
  </property>
</Properties>
</file>