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CEE" w:rsidRPr="00832CEE" w:rsidRDefault="00832CEE" w:rsidP="00832CEE">
      <w:pPr>
        <w:widowControl w:val="0"/>
        <w:shd w:val="clear" w:color="auto" w:fill="D9D9D9" w:themeFill="background1" w:themeFillShade="D9"/>
        <w:autoSpaceDE w:val="0"/>
        <w:autoSpaceDN w:val="0"/>
        <w:adjustRightInd w:val="0"/>
        <w:spacing w:after="0" w:line="276" w:lineRule="auto"/>
        <w:jc w:val="center"/>
        <w:rPr>
          <w:rFonts w:ascii="Simplified Arabic" w:eastAsia="Times New Roman" w:hAnsi="Simplified Arabic" w:cs="Simplified Arabic"/>
          <w:b/>
          <w:bCs/>
          <w:color w:val="000000"/>
          <w:sz w:val="36"/>
          <w:szCs w:val="36"/>
          <w:rtl/>
          <w:lang w:eastAsia="fr-FR"/>
        </w:rPr>
      </w:pPr>
      <w:r w:rsidRPr="00832CEE">
        <w:rPr>
          <w:rFonts w:ascii="Simplified Arabic" w:eastAsia="Times New Roman" w:hAnsi="Simplified Arabic" w:cs="Simplified Arabic" w:hint="cs"/>
          <w:b/>
          <w:bCs/>
          <w:color w:val="000000"/>
          <w:sz w:val="36"/>
          <w:szCs w:val="36"/>
          <w:rtl/>
          <w:lang w:eastAsia="fr-FR"/>
        </w:rPr>
        <w:t>المحاضرة الأولى: مفهوم الاختيار المهني</w:t>
      </w:r>
    </w:p>
    <w:p w:rsidR="00832CEE" w:rsidRPr="00832CEE" w:rsidRDefault="00832CEE" w:rsidP="00832CEE">
      <w:pPr>
        <w:widowControl w:val="0"/>
        <w:autoSpaceDE w:val="0"/>
        <w:autoSpaceDN w:val="0"/>
        <w:adjustRightInd w:val="0"/>
        <w:spacing w:after="0" w:line="276" w:lineRule="auto"/>
        <w:rPr>
          <w:rFonts w:ascii="Courier New" w:eastAsia="Times New Roman" w:hAnsi="Courier New" w:cs="Courier New"/>
          <w:color w:val="000000"/>
          <w:sz w:val="20"/>
          <w:szCs w:val="20"/>
          <w:rtl/>
          <w:lang w:eastAsia="fr-FR"/>
        </w:rPr>
      </w:pPr>
    </w:p>
    <w:p w:rsidR="00832CEE" w:rsidRPr="00832CEE" w:rsidRDefault="00832CEE" w:rsidP="00832CEE">
      <w:pPr>
        <w:widowControl w:val="0"/>
        <w:autoSpaceDE w:val="0"/>
        <w:autoSpaceDN w:val="0"/>
        <w:adjustRightInd w:val="0"/>
        <w:spacing w:after="0" w:line="276" w:lineRule="auto"/>
        <w:rPr>
          <w:rFonts w:ascii="Courier New" w:eastAsia="Times New Roman" w:hAnsi="Courier New" w:cs="Courier New"/>
          <w:color w:val="000000"/>
          <w:sz w:val="20"/>
          <w:szCs w:val="20"/>
          <w:rtl/>
          <w:lang w:eastAsia="fr-FR"/>
        </w:rPr>
      </w:pPr>
    </w:p>
    <w:p w:rsidR="00832CEE" w:rsidRPr="00832CEE" w:rsidRDefault="00832CEE" w:rsidP="00832CEE">
      <w:pPr>
        <w:widowControl w:val="0"/>
        <w:numPr>
          <w:ilvl w:val="0"/>
          <w:numId w:val="2"/>
        </w:numPr>
        <w:autoSpaceDE w:val="0"/>
        <w:autoSpaceDN w:val="0"/>
        <w:bidi/>
        <w:adjustRightInd w:val="0"/>
        <w:spacing w:after="200" w:line="276" w:lineRule="auto"/>
        <w:ind w:left="425"/>
        <w:jc w:val="both"/>
        <w:outlineLvl w:val="1"/>
        <w:rPr>
          <w:rFonts w:ascii="Simplified Arabic" w:eastAsiaTheme="minorEastAsia" w:hAnsi="Simplified Arabic" w:cs="Simplified Arabic"/>
          <w:bCs/>
          <w:sz w:val="28"/>
          <w:szCs w:val="28"/>
          <w:rtl/>
        </w:rPr>
      </w:pPr>
      <w:r w:rsidRPr="00832CEE">
        <w:rPr>
          <w:rFonts w:ascii="Simplified Arabic" w:eastAsiaTheme="minorEastAsia" w:hAnsi="Simplified Arabic" w:cs="Simplified Arabic"/>
          <w:bCs/>
          <w:sz w:val="28"/>
          <w:szCs w:val="28"/>
          <w:rtl/>
        </w:rPr>
        <w:t>تعريف الاختيار المهني:</w:t>
      </w:r>
    </w:p>
    <w:p w:rsidR="00832CEE" w:rsidRPr="00832CEE" w:rsidRDefault="00832CEE" w:rsidP="00832CEE">
      <w:pPr>
        <w:widowControl w:val="0"/>
        <w:autoSpaceDE w:val="0"/>
        <w:autoSpaceDN w:val="0"/>
        <w:bidi/>
        <w:adjustRightInd w:val="0"/>
        <w:spacing w:after="0" w:line="276" w:lineRule="auto"/>
        <w:jc w:val="both"/>
        <w:rPr>
          <w:rFonts w:ascii="Simplified Arabic" w:eastAsia="Times New Roman" w:hAnsi="Simplified Arabic" w:cs="Simplified Arabic"/>
          <w:b/>
          <w:bCs/>
          <w:color w:val="000000"/>
          <w:sz w:val="20"/>
          <w:szCs w:val="28"/>
          <w:rtl/>
          <w:lang w:eastAsia="fr-FR"/>
        </w:rPr>
      </w:pPr>
      <w:r w:rsidRPr="00832CEE">
        <w:rPr>
          <w:rFonts w:ascii="Simplified Arabic" w:eastAsia="Times New Roman" w:hAnsi="Simplified Arabic" w:cs="Simplified Arabic" w:hint="cs"/>
          <w:bCs/>
          <w:color w:val="000000"/>
          <w:sz w:val="20"/>
          <w:szCs w:val="28"/>
          <w:rtl/>
          <w:lang w:eastAsia="fr-FR"/>
        </w:rPr>
        <w:t xml:space="preserve">1.2. الاختيار لغة: </w:t>
      </w:r>
    </w:p>
    <w:p w:rsidR="00832CEE" w:rsidRPr="00832CEE" w:rsidRDefault="00832CEE" w:rsidP="00832CEE">
      <w:pPr>
        <w:widowControl w:val="0"/>
        <w:autoSpaceDE w:val="0"/>
        <w:autoSpaceDN w:val="0"/>
        <w:bidi/>
        <w:adjustRightInd w:val="0"/>
        <w:spacing w:after="0" w:line="276" w:lineRule="auto"/>
        <w:jc w:val="both"/>
        <w:rPr>
          <w:rFonts w:ascii="Simplified Arabic" w:eastAsia="Times New Roman" w:hAnsi="Simplified Arabic" w:cs="Simplified Arabic"/>
          <w:color w:val="000000"/>
          <w:sz w:val="28"/>
          <w:szCs w:val="28"/>
          <w:rtl/>
          <w:lang w:eastAsia="fr-FR" w:bidi="ar-DZ"/>
        </w:rPr>
      </w:pPr>
      <w:r w:rsidRPr="00832CEE">
        <w:rPr>
          <w:rFonts w:ascii="Simplified Arabic" w:eastAsia="Times New Roman" w:hAnsi="Simplified Arabic" w:cs="Simplified Arabic"/>
          <w:color w:val="000000"/>
          <w:sz w:val="28"/>
          <w:szCs w:val="28"/>
          <w:rtl/>
          <w:lang w:eastAsia="fr-FR" w:bidi="ar-DZ"/>
        </w:rPr>
        <w:t>إن الاختيار لغة مصدر من الفعل "اختار" وأًله خير، يخيّر؛ وهو طلب ما هو خير وفعله، والخير: ضدّ الشرّ، وجمعه خُيور، تقول منه: خِرتَ يا رجل، فأنت خائر، وخار الله لك؛ وتخيّرت هذا الشيء: أخذت خياره وخيرته، يقول المصطفوي في كتابه التحقيق: "أن أصل الواحد في هذه المادة: هو انتخاب الشيء واصطفاؤه، وتفضيله على غيره، ففيه قيدان الانتخاب والاختيار، والتفضيل. وهذان القيدان ملحوظان في جميع صيغ اشتقاقها. فالخير هو ما يقابل الشر: فالخير ما يُختار ويُنتخب من الأفراد، ويكون فاضلا وراجحا، قال الله تعالى: "وأنا اخترتك فاستمع لما يوحى" (سورة طه، آية13)، وقال تعالى: "ولقد اخترناهم على علم على العالمين" (سورة الدخان، آية32)، وقال عز وجلّ: "وربك يخلق ما يشاء ويختار" (سورة القصص، آية 68)، ويقول تعالى: "واختار موسى قومه سبعين رجلا لميقاتنا" (سورة الأعراف، آية 155)، ويراد الانتخاب مع توجه ورغبة وقصد وكون المنتخب ذا فضيلة، فتدلّ الهيئة على الرغبة". (نهى سليم، 2022، ص49)</w:t>
      </w:r>
    </w:p>
    <w:p w:rsidR="00832CEE" w:rsidRPr="00832CEE" w:rsidRDefault="00832CEE" w:rsidP="00832CEE">
      <w:pPr>
        <w:widowControl w:val="0"/>
        <w:autoSpaceDE w:val="0"/>
        <w:autoSpaceDN w:val="0"/>
        <w:bidi/>
        <w:adjustRightInd w:val="0"/>
        <w:spacing w:after="0" w:line="276" w:lineRule="auto"/>
        <w:jc w:val="both"/>
        <w:rPr>
          <w:rFonts w:ascii="Simplified Arabic" w:eastAsia="Times New Roman" w:hAnsi="Simplified Arabic" w:cs="Simplified Arabic"/>
          <w:color w:val="000000"/>
          <w:sz w:val="28"/>
          <w:szCs w:val="28"/>
          <w:rtl/>
          <w:lang w:eastAsia="fr-FR"/>
        </w:rPr>
      </w:pPr>
    </w:p>
    <w:p w:rsidR="00832CEE" w:rsidRPr="00832CEE" w:rsidRDefault="00832CEE" w:rsidP="00832CEE">
      <w:pPr>
        <w:widowControl w:val="0"/>
        <w:numPr>
          <w:ilvl w:val="1"/>
          <w:numId w:val="2"/>
        </w:numPr>
        <w:autoSpaceDE w:val="0"/>
        <w:autoSpaceDN w:val="0"/>
        <w:bidi/>
        <w:adjustRightInd w:val="0"/>
        <w:spacing w:after="0" w:line="276" w:lineRule="auto"/>
        <w:contextualSpacing/>
        <w:jc w:val="both"/>
        <w:rPr>
          <w:rFonts w:ascii="Simplified Arabic" w:eastAsiaTheme="minorEastAsia" w:hAnsi="Simplified Arabic" w:cs="Simplified Arabic"/>
          <w:b/>
          <w:bCs/>
          <w:color w:val="000000" w:themeColor="text1"/>
          <w:sz w:val="28"/>
          <w:szCs w:val="28"/>
          <w:rtl/>
        </w:rPr>
      </w:pPr>
      <w:r w:rsidRPr="00832CEE">
        <w:rPr>
          <w:rFonts w:ascii="Simplified Arabic" w:eastAsiaTheme="minorEastAsia" w:hAnsi="Simplified Arabic" w:cs="Simplified Arabic"/>
          <w:b/>
          <w:bCs/>
          <w:color w:val="000000" w:themeColor="text1"/>
          <w:sz w:val="28"/>
          <w:szCs w:val="28"/>
          <w:rtl/>
        </w:rPr>
        <w:t>الاختيار المهني اصطلاحا</w:t>
      </w:r>
      <w:r w:rsidRPr="00832CEE">
        <w:rPr>
          <w:rFonts w:ascii="Simplified Arabic" w:eastAsiaTheme="minorEastAsia" w:hAnsi="Simplified Arabic" w:cs="Simplified Arabic"/>
          <w:b/>
          <w:bCs/>
          <w:color w:val="000000" w:themeColor="text1"/>
          <w:sz w:val="28"/>
          <w:szCs w:val="28"/>
        </w:rPr>
        <w:t xml:space="preserve">: </w:t>
      </w:r>
    </w:p>
    <w:p w:rsidR="00832CEE" w:rsidRPr="00832CEE" w:rsidRDefault="00832CEE" w:rsidP="00832CEE">
      <w:pPr>
        <w:widowControl w:val="0"/>
        <w:autoSpaceDE w:val="0"/>
        <w:autoSpaceDN w:val="0"/>
        <w:bidi/>
        <w:adjustRightInd w:val="0"/>
        <w:spacing w:after="0" w:line="276" w:lineRule="auto"/>
        <w:ind w:firstLine="708"/>
        <w:jc w:val="both"/>
        <w:rPr>
          <w:rFonts w:ascii="Simplified Arabic" w:eastAsia="Times New Roman" w:hAnsi="Simplified Arabic" w:cs="Simplified Arabic"/>
          <w:color w:val="000000"/>
          <w:sz w:val="28"/>
          <w:szCs w:val="28"/>
          <w:rtl/>
          <w:lang w:eastAsia="fr-FR"/>
        </w:rPr>
      </w:pPr>
      <w:r w:rsidRPr="00832CEE">
        <w:rPr>
          <w:rFonts w:ascii="Simplified Arabic" w:eastAsia="Times New Roman" w:hAnsi="Simplified Arabic" w:cs="Simplified Arabic"/>
          <w:color w:val="000000"/>
          <w:sz w:val="28"/>
          <w:szCs w:val="28"/>
          <w:rtl/>
          <w:lang w:eastAsia="fr-FR"/>
        </w:rPr>
        <w:t xml:space="preserve">يقصد بالاختيار المهني للفرد: "هو قياس قدرات الموجهين مهنيا للكشف </w:t>
      </w:r>
      <w:r w:rsidRPr="00832CEE">
        <w:rPr>
          <w:rFonts w:ascii="Simplified Arabic" w:eastAsia="Times New Roman" w:hAnsi="Simplified Arabic" w:cs="Simplified Arabic"/>
          <w:color w:val="000000"/>
          <w:sz w:val="28"/>
          <w:szCs w:val="28"/>
          <w:rtl/>
          <w:lang w:eastAsia="fr-FR"/>
        </w:rPr>
        <w:lastRenderedPageBreak/>
        <w:t>عن أفضلهم لنفس المهنة، وهي مرحلة تأتي بعد التوجيه المهني، حيث يتم الاختيار المهني الكفء لمهنة معينة من بين مجموعة من الأفراد" (طارق عبد الرؤوف، إيهاب العيسى، 2018، ص42)</w:t>
      </w:r>
    </w:p>
    <w:p w:rsidR="00832CEE" w:rsidRPr="00832CEE" w:rsidRDefault="00832CEE" w:rsidP="00832CEE">
      <w:pPr>
        <w:widowControl w:val="0"/>
        <w:autoSpaceDE w:val="0"/>
        <w:autoSpaceDN w:val="0"/>
        <w:bidi/>
        <w:adjustRightInd w:val="0"/>
        <w:spacing w:after="0" w:line="276" w:lineRule="auto"/>
        <w:ind w:firstLine="708"/>
        <w:jc w:val="both"/>
        <w:rPr>
          <w:rFonts w:ascii="Simplified Arabic" w:eastAsia="Times New Roman" w:hAnsi="Simplified Arabic" w:cs="Simplified Arabic"/>
          <w:color w:val="000000"/>
          <w:sz w:val="28"/>
          <w:szCs w:val="28"/>
          <w:rtl/>
          <w:lang w:eastAsia="fr-FR"/>
        </w:rPr>
      </w:pPr>
      <w:r w:rsidRPr="00832CEE">
        <w:rPr>
          <w:rFonts w:ascii="Simplified Arabic" w:eastAsia="Times New Roman" w:hAnsi="Simplified Arabic" w:cs="Simplified Arabic"/>
          <w:color w:val="000000"/>
          <w:sz w:val="28"/>
          <w:szCs w:val="28"/>
          <w:rtl/>
          <w:lang w:eastAsia="fr-FR"/>
        </w:rPr>
        <w:t>في حين يعني به فرج طه (2007، ص117</w:t>
      </w:r>
      <w:proofErr w:type="gramStart"/>
      <w:r w:rsidRPr="00832CEE">
        <w:rPr>
          <w:rFonts w:ascii="Simplified Arabic" w:eastAsia="Times New Roman" w:hAnsi="Simplified Arabic" w:cs="Simplified Arabic"/>
          <w:color w:val="000000"/>
          <w:sz w:val="28"/>
          <w:szCs w:val="28"/>
          <w:rtl/>
          <w:lang w:eastAsia="fr-FR"/>
        </w:rPr>
        <w:t>) :</w:t>
      </w:r>
      <w:proofErr w:type="gramEnd"/>
      <w:r w:rsidRPr="00832CEE">
        <w:rPr>
          <w:rFonts w:ascii="Simplified Arabic" w:eastAsia="Times New Roman" w:hAnsi="Simplified Arabic" w:cs="Simplified Arabic"/>
          <w:color w:val="000000"/>
          <w:sz w:val="28"/>
          <w:szCs w:val="28"/>
          <w:rtl/>
          <w:lang w:eastAsia="fr-FR"/>
        </w:rPr>
        <w:t xml:space="preserve"> "تلك العملية التي يتم عن طريقها اختيار أصلح المرشحين أو المتقدمين للتعيين في عمل معين، وأنسبهم له</w:t>
      </w:r>
      <w:r w:rsidRPr="00832CEE">
        <w:rPr>
          <w:rFonts w:ascii="Simplified Arabic" w:eastAsia="Times New Roman" w:hAnsi="Simplified Arabic" w:cs="Simplified Arabic"/>
          <w:color w:val="000000"/>
          <w:sz w:val="28"/>
          <w:szCs w:val="28"/>
          <w:lang w:eastAsia="fr-FR"/>
        </w:rPr>
        <w:t>".</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8"/>
          <w:szCs w:val="28"/>
          <w:rtl/>
          <w:lang w:eastAsia="fr-FR"/>
        </w:rPr>
      </w:pPr>
      <w:r w:rsidRPr="00832CEE">
        <w:rPr>
          <w:rFonts w:ascii="Simplified Arabic" w:eastAsia="Times New Roman" w:hAnsi="Simplified Arabic" w:cs="Simplified Arabic"/>
          <w:color w:val="000000"/>
          <w:sz w:val="28"/>
          <w:szCs w:val="28"/>
          <w:rtl/>
          <w:lang w:eastAsia="fr-FR"/>
        </w:rPr>
        <w:t>كما يحدد الدكتور أحمد عزت راجح بأن: "المقصود بالاختيار المهني هو انتقاء أصلح الأفراد وأكفئهم من المتقدمين لعمل من الأعمال"، وهو من تعريفه هذا يرمي إلى نفس الهدف البعيد الذي يرمي إليه التوجيه المهني، ألا وهو وضع الرجل المناسب في المكان المناسب. (كامل محمد عويضة، 1996، ص41)</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8"/>
          <w:szCs w:val="28"/>
          <w:rtl/>
          <w:lang w:eastAsia="fr-FR"/>
        </w:rPr>
      </w:pPr>
      <w:r w:rsidRPr="00832CEE">
        <w:rPr>
          <w:rFonts w:ascii="Simplified Arabic" w:eastAsia="Times New Roman" w:hAnsi="Simplified Arabic" w:cs="Simplified Arabic" w:hint="cs"/>
          <w:color w:val="000000"/>
          <w:sz w:val="28"/>
          <w:szCs w:val="28"/>
          <w:rtl/>
          <w:lang w:eastAsia="fr-FR"/>
        </w:rPr>
        <w:t xml:space="preserve">ومنه يتوضح لنا بأن الاختيار المهني هو عملية مفاضلة بين مجموعة من الأفراد تقدموا للحصول على وظيفة ما لدى مؤسسة أو </w:t>
      </w:r>
      <w:proofErr w:type="gramStart"/>
      <w:r w:rsidRPr="00832CEE">
        <w:rPr>
          <w:rFonts w:ascii="Simplified Arabic" w:eastAsia="Times New Roman" w:hAnsi="Simplified Arabic" w:cs="Simplified Arabic" w:hint="cs"/>
          <w:color w:val="000000"/>
          <w:sz w:val="28"/>
          <w:szCs w:val="28"/>
          <w:rtl/>
          <w:lang w:eastAsia="fr-FR"/>
        </w:rPr>
        <w:t>هيأة</w:t>
      </w:r>
      <w:proofErr w:type="gramEnd"/>
      <w:r w:rsidRPr="00832CEE">
        <w:rPr>
          <w:rFonts w:ascii="Simplified Arabic" w:eastAsia="Times New Roman" w:hAnsi="Simplified Arabic" w:cs="Simplified Arabic" w:hint="cs"/>
          <w:color w:val="000000"/>
          <w:sz w:val="28"/>
          <w:szCs w:val="28"/>
          <w:rtl/>
          <w:lang w:eastAsia="fr-FR"/>
        </w:rPr>
        <w:t xml:space="preserve"> تنظيمية.</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8"/>
          <w:szCs w:val="28"/>
          <w:rtl/>
          <w:lang w:eastAsia="fr-FR"/>
        </w:rPr>
      </w:pPr>
      <w:r w:rsidRPr="00832CEE">
        <w:rPr>
          <w:rFonts w:ascii="Simplified Arabic" w:eastAsia="Times New Roman" w:hAnsi="Simplified Arabic" w:cs="Simplified Arabic" w:hint="cs"/>
          <w:color w:val="000000"/>
          <w:sz w:val="28"/>
          <w:szCs w:val="28"/>
          <w:rtl/>
          <w:lang w:eastAsia="fr-FR"/>
        </w:rPr>
        <w:t xml:space="preserve">هذا وقد قسمت </w:t>
      </w:r>
      <w:proofErr w:type="spellStart"/>
      <w:r w:rsidRPr="00832CEE">
        <w:rPr>
          <w:rFonts w:ascii="Simplified Arabic" w:eastAsia="Times New Roman" w:hAnsi="Simplified Arabic" w:cs="Simplified Arabic" w:hint="cs"/>
          <w:color w:val="000000"/>
          <w:sz w:val="28"/>
          <w:szCs w:val="28"/>
          <w:rtl/>
          <w:lang w:eastAsia="fr-FR"/>
        </w:rPr>
        <w:t>عبايدية</w:t>
      </w:r>
      <w:proofErr w:type="spellEnd"/>
      <w:r w:rsidRPr="00832CEE">
        <w:rPr>
          <w:rFonts w:ascii="Simplified Arabic" w:eastAsia="Times New Roman" w:hAnsi="Simplified Arabic" w:cs="Simplified Arabic" w:hint="cs"/>
          <w:color w:val="000000"/>
          <w:sz w:val="28"/>
          <w:szCs w:val="28"/>
          <w:rtl/>
          <w:lang w:eastAsia="fr-FR"/>
        </w:rPr>
        <w:t xml:space="preserve"> أحلام (2007، ص30) السياقات التعريفية لمفهوم الاختيار المهني إلى سياقين هما:</w:t>
      </w: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Cs/>
          <w:color w:val="000000" w:themeColor="text1"/>
          <w:sz w:val="28"/>
          <w:szCs w:val="28"/>
          <w:rtl/>
        </w:rPr>
        <w:t>السياق التحديدي:</w:t>
      </w:r>
      <w:r w:rsidRPr="00832CEE">
        <w:rPr>
          <w:rFonts w:ascii="Simplified Arabic" w:eastAsiaTheme="minorEastAsia" w:hAnsi="Simplified Arabic" w:cs="Simplified Arabic" w:hint="cs"/>
          <w:b/>
          <w:color w:val="000000" w:themeColor="text1"/>
          <w:sz w:val="28"/>
          <w:szCs w:val="28"/>
          <w:rtl/>
        </w:rPr>
        <w:t xml:space="preserve"> الذي يعتبر الاختيار المهني حدث آني يمكن تحديده من خلال المطابقة بين خصائص الفرد ومتطلبات المهن، ومن أبرز المساهمات التي تندرج ضمن هذا الاتجاه نذكر أعمال كل من "آن </w:t>
      </w:r>
      <w:proofErr w:type="spellStart"/>
      <w:r w:rsidRPr="00832CEE">
        <w:rPr>
          <w:rFonts w:ascii="Simplified Arabic" w:eastAsiaTheme="minorEastAsia" w:hAnsi="Simplified Arabic" w:cs="Simplified Arabic" w:hint="cs"/>
          <w:b/>
          <w:color w:val="000000" w:themeColor="text1"/>
          <w:sz w:val="28"/>
          <w:szCs w:val="28"/>
          <w:rtl/>
        </w:rPr>
        <w:t>روو</w:t>
      </w:r>
      <w:proofErr w:type="spellEnd"/>
      <w:r w:rsidRPr="00832CEE">
        <w:rPr>
          <w:rFonts w:ascii="Simplified Arabic" w:eastAsiaTheme="minorEastAsia" w:hAnsi="Simplified Arabic" w:cs="Simplified Arabic" w:hint="cs"/>
          <w:b/>
          <w:color w:val="000000" w:themeColor="text1"/>
          <w:sz w:val="28"/>
          <w:szCs w:val="28"/>
          <w:rtl/>
        </w:rPr>
        <w:t>" و"هولاند".</w:t>
      </w: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Cs/>
          <w:color w:val="000000" w:themeColor="text1"/>
          <w:sz w:val="28"/>
          <w:szCs w:val="28"/>
          <w:rtl/>
        </w:rPr>
        <w:t>السياق التطوري:</w:t>
      </w:r>
      <w:r w:rsidRPr="00832CEE">
        <w:rPr>
          <w:rFonts w:ascii="Simplified Arabic" w:eastAsiaTheme="minorEastAsia" w:hAnsi="Simplified Arabic" w:cs="Simplified Arabic" w:hint="cs"/>
          <w:b/>
          <w:color w:val="000000" w:themeColor="text1"/>
          <w:sz w:val="28"/>
          <w:szCs w:val="28"/>
          <w:rtl/>
        </w:rPr>
        <w:t xml:space="preserve"> وينظر على الاختيار المهني على أنه سيرورة تطورية تمتد عبر الزمن، تؤدي على بلورة اختيارات ومشاريع الفرد، إن أهم النظريات التي ظهرت في هذا الاتجاه هي نظرية "</w:t>
      </w:r>
      <w:proofErr w:type="spellStart"/>
      <w:r w:rsidRPr="00832CEE">
        <w:rPr>
          <w:rFonts w:ascii="Simplified Arabic" w:eastAsiaTheme="minorEastAsia" w:hAnsi="Simplified Arabic" w:cs="Simplified Arabic" w:hint="cs"/>
          <w:b/>
          <w:color w:val="000000" w:themeColor="text1"/>
          <w:sz w:val="28"/>
          <w:szCs w:val="28"/>
          <w:rtl/>
        </w:rPr>
        <w:t>جينزبرغ</w:t>
      </w:r>
      <w:proofErr w:type="spellEnd"/>
      <w:r w:rsidRPr="00832CEE">
        <w:rPr>
          <w:rFonts w:ascii="Simplified Arabic" w:eastAsiaTheme="minorEastAsia" w:hAnsi="Simplified Arabic" w:cs="Simplified Arabic" w:hint="cs"/>
          <w:b/>
          <w:color w:val="000000" w:themeColor="text1"/>
          <w:sz w:val="28"/>
          <w:szCs w:val="28"/>
          <w:rtl/>
        </w:rPr>
        <w:t>" و"سوبر".</w:t>
      </w:r>
    </w:p>
    <w:p w:rsidR="00832CEE" w:rsidRPr="00832CEE" w:rsidRDefault="00832CEE" w:rsidP="00832CEE">
      <w:pPr>
        <w:bidi/>
        <w:spacing w:after="0" w:line="276" w:lineRule="auto"/>
        <w:ind w:left="360"/>
        <w:contextualSpacing/>
        <w:jc w:val="both"/>
        <w:rPr>
          <w:rFonts w:ascii="Simplified Arabic" w:eastAsiaTheme="minorEastAsia" w:hAnsi="Simplified Arabic" w:cs="Simplified Arabic"/>
          <w:b/>
          <w:color w:val="000000" w:themeColor="text1"/>
          <w:sz w:val="28"/>
          <w:szCs w:val="28"/>
          <w:rtl/>
        </w:rPr>
      </w:pPr>
    </w:p>
    <w:p w:rsidR="00832CEE" w:rsidRPr="00832CEE" w:rsidRDefault="00832CEE" w:rsidP="00832CEE">
      <w:pPr>
        <w:widowControl w:val="0"/>
        <w:numPr>
          <w:ilvl w:val="0"/>
          <w:numId w:val="2"/>
        </w:numPr>
        <w:autoSpaceDE w:val="0"/>
        <w:autoSpaceDN w:val="0"/>
        <w:bidi/>
        <w:adjustRightInd w:val="0"/>
        <w:spacing w:after="200" w:line="276" w:lineRule="auto"/>
        <w:ind w:left="425"/>
        <w:jc w:val="both"/>
        <w:outlineLvl w:val="1"/>
        <w:rPr>
          <w:rFonts w:ascii="Simplified Arabic" w:eastAsiaTheme="minorEastAsia" w:hAnsi="Simplified Arabic" w:cs="Simplified Arabic"/>
          <w:bCs/>
          <w:sz w:val="28"/>
          <w:szCs w:val="28"/>
          <w:rtl/>
        </w:rPr>
      </w:pPr>
      <w:r w:rsidRPr="00832CEE">
        <w:rPr>
          <w:rFonts w:ascii="Simplified Arabic" w:eastAsiaTheme="minorEastAsia" w:hAnsi="Simplified Arabic" w:cs="Simplified Arabic" w:hint="cs"/>
          <w:bCs/>
          <w:sz w:val="28"/>
          <w:szCs w:val="28"/>
          <w:rtl/>
        </w:rPr>
        <w:t>تقاطع مفاهيمي للمصطلحات:</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8"/>
          <w:szCs w:val="28"/>
        </w:rPr>
      </w:pPr>
      <w:r w:rsidRPr="00832CEE">
        <w:rPr>
          <w:rFonts w:ascii="Simplified Arabic" w:eastAsia="Times New Roman" w:hAnsi="Simplified Arabic" w:cs="Simplified Arabic" w:hint="cs"/>
          <w:color w:val="000000"/>
          <w:sz w:val="28"/>
          <w:szCs w:val="28"/>
          <w:rtl/>
        </w:rPr>
        <w:t xml:space="preserve">يعد مصطلح الاختيار المهني وحدا من تلك المفاهيم التي تتداخل وتتقاطع بشكل كلي أو جزئي مع مفاهيم علم النفس عمل وتنظيم مثل: التوجيه المهني، الانتقاء المهني؛ وعليه وجب الوقوف على الفروق </w:t>
      </w:r>
      <w:proofErr w:type="spellStart"/>
      <w:r w:rsidRPr="00832CEE">
        <w:rPr>
          <w:rFonts w:ascii="Simplified Arabic" w:eastAsia="Times New Roman" w:hAnsi="Simplified Arabic" w:cs="Simplified Arabic" w:hint="cs"/>
          <w:color w:val="000000"/>
          <w:sz w:val="28"/>
          <w:szCs w:val="28"/>
          <w:rtl/>
        </w:rPr>
        <w:t>المفاهيمية</w:t>
      </w:r>
      <w:proofErr w:type="spellEnd"/>
      <w:r w:rsidRPr="00832CEE">
        <w:rPr>
          <w:rFonts w:ascii="Simplified Arabic" w:eastAsia="Times New Roman" w:hAnsi="Simplified Arabic" w:cs="Simplified Arabic" w:hint="cs"/>
          <w:color w:val="000000"/>
          <w:sz w:val="28"/>
          <w:szCs w:val="28"/>
          <w:rtl/>
        </w:rPr>
        <w:t xml:space="preserve"> فيما بين هذه المصطلحات لتبيان التكامل والتشابه بينها، ومن بين ذلك: </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8"/>
          <w:szCs w:val="28"/>
          <w:rtl/>
        </w:rPr>
      </w:pP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eastAsiaTheme="minorEastAsia"/>
          <w:b/>
          <w:color w:val="000000" w:themeColor="text1"/>
          <w:sz w:val="28"/>
        </w:rPr>
      </w:pPr>
      <w:r w:rsidRPr="00832CEE">
        <w:rPr>
          <w:rFonts w:ascii="Simplified Arabic" w:eastAsiaTheme="minorEastAsia" w:hAnsi="Simplified Arabic" w:cs="Simplified Arabic"/>
          <w:bCs/>
          <w:sz w:val="28"/>
          <w:szCs w:val="28"/>
          <w:rtl/>
        </w:rPr>
        <w:t>الفرق بين التوجيه المهني والاختيار المهني:</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8"/>
          <w:szCs w:val="28"/>
          <w:rtl/>
          <w:lang w:eastAsia="fr-FR"/>
        </w:rPr>
      </w:pPr>
      <w:r w:rsidRPr="00832CEE">
        <w:rPr>
          <w:rFonts w:ascii="Simplified Arabic" w:eastAsia="Times New Roman" w:hAnsi="Simplified Arabic" w:cs="Simplified Arabic" w:hint="cs"/>
          <w:color w:val="000000"/>
          <w:sz w:val="28"/>
          <w:szCs w:val="28"/>
          <w:rtl/>
          <w:lang w:eastAsia="fr-FR"/>
        </w:rPr>
        <w:t xml:space="preserve">إذا كان المقصود بالاختيار المهني هو انتقاء أنسب المتقدمين لشغل عمل معين، فإن المقصود بالتوجيه المهني هو انتقاء أنسب عمل لشخص معين، أي أننا في الحالة الأولى (الاختيار المهني) يكون عندنا أشخاص كثيرون متقدمون لعمل معين، وتتلخص المهمة في أن ننتقي من بينهم أنسبهم وأصلحهم للقيام بهذا العمل فنعينهم فيه، بينما في الحالة الثانية (التوجيه المعني) يكون عندنا شخص واحد وأمامنا أعمال عدة، وتتلخص مهمتنا في أن ننتقي له من بين هذه الأعمال الكثيرة أنسب عمل (أو أعمال حسب ترتيب مناسباتها) تؤهله له استعداداته، وقدراته الجسمية والنفسية. (فرج عبد القادر طه، 2007، ص125) </w:t>
      </w:r>
    </w:p>
    <w:p w:rsidR="00832CEE" w:rsidRPr="00832CEE" w:rsidRDefault="00832CEE" w:rsidP="00832CEE">
      <w:pPr>
        <w:widowControl w:val="0"/>
        <w:autoSpaceDE w:val="0"/>
        <w:autoSpaceDN w:val="0"/>
        <w:bidi/>
        <w:adjustRightInd w:val="0"/>
        <w:spacing w:after="0" w:line="276" w:lineRule="auto"/>
        <w:jc w:val="center"/>
        <w:rPr>
          <w:rFonts w:ascii="Simplified Arabic" w:eastAsia="Times New Roman" w:hAnsi="Simplified Arabic" w:cs="Simplified Arabic"/>
          <w:sz w:val="36"/>
          <w:szCs w:val="28"/>
          <w:rtl/>
          <w:lang w:eastAsia="fr-FR"/>
        </w:rPr>
      </w:pPr>
      <w:r w:rsidRPr="00832CEE">
        <w:rPr>
          <w:rFonts w:ascii="Simplified Arabic" w:eastAsia="Times New Roman" w:hAnsi="Simplified Arabic" w:cs="Simplified Arabic" w:hint="cs"/>
          <w:bCs/>
          <w:noProof/>
          <w:color w:val="FF0000"/>
          <w:sz w:val="36"/>
          <w:szCs w:val="28"/>
          <w:rtl/>
          <w:lang w:eastAsia="fr-FR"/>
        </w:rPr>
        <w:drawing>
          <wp:anchor distT="0" distB="0" distL="114300" distR="114300" simplePos="0" relativeHeight="251659264" behindDoc="0" locked="0" layoutInCell="1" allowOverlap="1" wp14:anchorId="2C558029" wp14:editId="67226C26">
            <wp:simplePos x="0" y="0"/>
            <wp:positionH relativeFrom="margin">
              <wp:posOffset>266065</wp:posOffset>
            </wp:positionH>
            <wp:positionV relativeFrom="paragraph">
              <wp:posOffset>356235</wp:posOffset>
            </wp:positionV>
            <wp:extent cx="5501640" cy="2575560"/>
            <wp:effectExtent l="19050" t="19050" r="22860" b="15240"/>
            <wp:wrapThrough wrapText="bothSides">
              <wp:wrapPolygon edited="0">
                <wp:start x="-75" y="-160"/>
                <wp:lineTo x="-75" y="21568"/>
                <wp:lineTo x="21615" y="21568"/>
                <wp:lineTo x="21615" y="-160"/>
                <wp:lineTo x="-75" y="-160"/>
              </wp:wrapPolygon>
            </wp:wrapThrough>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rsidRPr="00832CEE">
        <w:rPr>
          <w:rFonts w:ascii="Simplified Arabic" w:eastAsia="Times New Roman" w:hAnsi="Simplified Arabic" w:cs="Simplified Arabic" w:hint="cs"/>
          <w:bCs/>
          <w:noProof/>
          <w:sz w:val="36"/>
          <w:szCs w:val="28"/>
          <w:rtl/>
          <w:lang w:eastAsia="fr-FR"/>
        </w:rPr>
        <mc:AlternateContent>
          <mc:Choice Requires="wps">
            <w:drawing>
              <wp:anchor distT="0" distB="0" distL="114300" distR="114300" simplePos="0" relativeHeight="251661312" behindDoc="1" locked="0" layoutInCell="1" allowOverlap="1" wp14:anchorId="2E9BE40B" wp14:editId="2D88459A">
                <wp:simplePos x="0" y="0"/>
                <wp:positionH relativeFrom="column">
                  <wp:posOffset>2879725</wp:posOffset>
                </wp:positionH>
                <wp:positionV relativeFrom="paragraph">
                  <wp:posOffset>1607185</wp:posOffset>
                </wp:positionV>
                <wp:extent cx="670560" cy="160020"/>
                <wp:effectExtent l="0" t="0" r="0" b="0"/>
                <wp:wrapNone/>
                <wp:docPr id="21" name="Rectangle 21"/>
                <wp:cNvGraphicFramePr/>
                <a:graphic xmlns:a="http://schemas.openxmlformats.org/drawingml/2006/main">
                  <a:graphicData uri="http://schemas.microsoft.com/office/word/2010/wordprocessingShape">
                    <wps:wsp>
                      <wps:cNvSpPr/>
                      <wps:spPr>
                        <a:xfrm>
                          <a:off x="0" y="0"/>
                          <a:ext cx="670560" cy="160020"/>
                        </a:xfrm>
                        <a:prstGeom prst="rect">
                          <a:avLst/>
                        </a:prstGeom>
                        <a:solidFill>
                          <a:srgbClr val="E7E6E6">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18B4A" id="Rectangle 21" o:spid="_x0000_s1026" style="position:absolute;margin-left:226.75pt;margin-top:126.55pt;width:52.8pt;height:12.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" fillcolor="#afabab" stroked="f" strokeweight="1pt"/>
            </w:pict>
          </mc:Fallback>
        </mc:AlternateContent>
      </w:r>
      <w:r w:rsidRPr="00832CEE">
        <w:rPr>
          <w:rFonts w:ascii="Simplified Arabic" w:eastAsia="Times New Roman" w:hAnsi="Simplified Arabic" w:cs="Simplified Arabic" w:hint="cs"/>
          <w:bCs/>
          <w:noProof/>
          <w:sz w:val="36"/>
          <w:szCs w:val="28"/>
          <w:rtl/>
          <w:lang w:eastAsia="fr-FR"/>
        </w:rPr>
        <mc:AlternateContent>
          <mc:Choice Requires="wps">
            <w:drawing>
              <wp:anchor distT="0" distB="0" distL="114300" distR="114300" simplePos="0" relativeHeight="251660288" behindDoc="1" locked="0" layoutInCell="1" allowOverlap="1" wp14:anchorId="5FE2E2FC" wp14:editId="1E2AC6AC">
                <wp:simplePos x="0" y="0"/>
                <wp:positionH relativeFrom="column">
                  <wp:posOffset>2955925</wp:posOffset>
                </wp:positionH>
                <wp:positionV relativeFrom="paragraph">
                  <wp:posOffset>1066165</wp:posOffset>
                </wp:positionV>
                <wp:extent cx="670560" cy="160020"/>
                <wp:effectExtent l="0" t="0" r="0" b="0"/>
                <wp:wrapNone/>
                <wp:docPr id="19" name="Rectangle 19"/>
                <wp:cNvGraphicFramePr/>
                <a:graphic xmlns:a="http://schemas.openxmlformats.org/drawingml/2006/main">
                  <a:graphicData uri="http://schemas.microsoft.com/office/word/2010/wordprocessingShape">
                    <wps:wsp>
                      <wps:cNvSpPr/>
                      <wps:spPr>
                        <a:xfrm>
                          <a:off x="0" y="0"/>
                          <a:ext cx="670560" cy="16002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DBED4" id="Rectangle 19" o:spid="_x0000_s1026" style="position:absolute;margin-left:232.75pt;margin-top:83.95pt;width:52.8pt;height:12.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" fillcolor="red" stroked="f" strokeweight="1pt"/>
            </w:pict>
          </mc:Fallback>
        </mc:AlternateContent>
      </w:r>
      <w:r w:rsidRPr="00832CEE">
        <w:rPr>
          <w:rFonts w:ascii="Simplified Arabic" w:eastAsia="Times New Roman" w:hAnsi="Simplified Arabic" w:cs="Simplified Arabic" w:hint="cs"/>
          <w:bCs/>
          <w:sz w:val="36"/>
          <w:szCs w:val="28"/>
          <w:rtl/>
          <w:lang w:eastAsia="fr-FR"/>
        </w:rPr>
        <w:t xml:space="preserve">شكل رقم (01): نموذج يوضح </w:t>
      </w:r>
      <w:r w:rsidRPr="00832CEE">
        <w:rPr>
          <w:rFonts w:ascii="Simplified Arabic" w:eastAsia="Times New Roman" w:hAnsi="Simplified Arabic" w:cs="Simplified Arabic"/>
          <w:bCs/>
          <w:sz w:val="36"/>
          <w:szCs w:val="28"/>
          <w:rtl/>
          <w:lang w:eastAsia="fr-FR"/>
        </w:rPr>
        <w:t>الفرق بين التوجيه المهني والاختيار المهني</w:t>
      </w:r>
    </w:p>
    <w:p w:rsidR="00832CEE" w:rsidRPr="00832CEE" w:rsidRDefault="00832CEE" w:rsidP="00832CEE">
      <w:pPr>
        <w:widowControl w:val="0"/>
        <w:autoSpaceDE w:val="0"/>
        <w:autoSpaceDN w:val="0"/>
        <w:bidi/>
        <w:adjustRightInd w:val="0"/>
        <w:spacing w:after="0" w:line="276" w:lineRule="auto"/>
        <w:jc w:val="center"/>
        <w:rPr>
          <w:rFonts w:ascii="Simplified Arabic" w:eastAsia="Times New Roman" w:hAnsi="Simplified Arabic" w:cs="Simplified Arabic"/>
          <w:b/>
          <w:bCs/>
          <w:sz w:val="32"/>
          <w:szCs w:val="24"/>
          <w:rtl/>
          <w:lang w:eastAsia="fr-FR"/>
        </w:rPr>
      </w:pPr>
      <w:r w:rsidRPr="00832CEE">
        <w:rPr>
          <w:rFonts w:ascii="Simplified Arabic" w:eastAsia="Times New Roman" w:hAnsi="Simplified Arabic" w:cs="Simplified Arabic" w:hint="cs"/>
          <w:b/>
          <w:bCs/>
          <w:sz w:val="32"/>
          <w:szCs w:val="24"/>
          <w:rtl/>
          <w:lang w:eastAsia="fr-FR"/>
        </w:rPr>
        <w:t>المصدر: من إعداد الباحثة</w:t>
      </w:r>
    </w:p>
    <w:p w:rsidR="00832CEE" w:rsidRPr="00832CEE" w:rsidRDefault="00832CEE" w:rsidP="00832CEE">
      <w:pPr>
        <w:widowControl w:val="0"/>
        <w:autoSpaceDE w:val="0"/>
        <w:autoSpaceDN w:val="0"/>
        <w:bidi/>
        <w:adjustRightInd w:val="0"/>
        <w:spacing w:after="0" w:line="276" w:lineRule="auto"/>
        <w:jc w:val="both"/>
        <w:rPr>
          <w:rFonts w:ascii="Simplified Arabic" w:eastAsia="Times New Roman" w:hAnsi="Simplified Arabic" w:cs="Simplified Arabic"/>
          <w:sz w:val="36"/>
          <w:szCs w:val="28"/>
          <w:lang w:eastAsia="fr-FR"/>
        </w:rPr>
      </w:pPr>
    </w:p>
    <w:p w:rsidR="00832CEE" w:rsidRPr="00832CEE" w:rsidRDefault="00832CEE" w:rsidP="00832CEE">
      <w:pPr>
        <w:widowControl w:val="0"/>
        <w:autoSpaceDE w:val="0"/>
        <w:autoSpaceDN w:val="0"/>
        <w:bidi/>
        <w:adjustRightInd w:val="0"/>
        <w:spacing w:after="0" w:line="276" w:lineRule="auto"/>
        <w:jc w:val="both"/>
        <w:rPr>
          <w:rFonts w:ascii="Simplified Arabic" w:eastAsia="Times New Roman" w:hAnsi="Simplified Arabic" w:cs="Simplified Arabic"/>
          <w:sz w:val="36"/>
          <w:szCs w:val="28"/>
          <w:rtl/>
          <w:lang w:eastAsia="fr-FR"/>
        </w:rPr>
      </w:pPr>
      <w:r w:rsidRPr="00832CEE">
        <w:rPr>
          <w:rFonts w:ascii="Simplified Arabic" w:eastAsia="Times New Roman" w:hAnsi="Simplified Arabic" w:cs="Simplified Arabic" w:hint="cs"/>
          <w:sz w:val="36"/>
          <w:szCs w:val="28"/>
          <w:rtl/>
          <w:lang w:eastAsia="fr-FR"/>
        </w:rPr>
        <w:t>ويمكن إيجاز أهم الفروق بين التوجيه المهني والاختيار المهني فيما يلي:</w:t>
      </w:r>
    </w:p>
    <w:p w:rsidR="00832CEE" w:rsidRPr="00832CEE" w:rsidRDefault="00832CEE" w:rsidP="00832CEE">
      <w:pPr>
        <w:widowControl w:val="0"/>
        <w:numPr>
          <w:ilvl w:val="0"/>
          <w:numId w:val="3"/>
        </w:numPr>
        <w:autoSpaceDE w:val="0"/>
        <w:autoSpaceDN w:val="0"/>
        <w:bidi/>
        <w:adjustRightInd w:val="0"/>
        <w:spacing w:after="0" w:line="276" w:lineRule="auto"/>
        <w:contextualSpacing/>
        <w:jc w:val="both"/>
        <w:rPr>
          <w:rFonts w:ascii="Simplified Arabic" w:eastAsiaTheme="minorEastAsia" w:hAnsi="Simplified Arabic" w:cs="Simplified Arabic"/>
          <w:b/>
          <w:sz w:val="36"/>
          <w:szCs w:val="28"/>
        </w:rPr>
      </w:pPr>
      <w:r w:rsidRPr="00832CEE">
        <w:rPr>
          <w:rFonts w:ascii="Simplified Arabic" w:eastAsiaTheme="minorEastAsia" w:hAnsi="Simplified Arabic" w:cs="Simplified Arabic" w:hint="cs"/>
          <w:b/>
          <w:sz w:val="36"/>
          <w:szCs w:val="28"/>
          <w:rtl/>
        </w:rPr>
        <w:t>أن الاهتمام بالتوجيه المهني يتركز حول الفرد نفسه، أما في الاختيار المهني فيتركز حول العمل.</w:t>
      </w:r>
    </w:p>
    <w:p w:rsidR="00832CEE" w:rsidRPr="00832CEE" w:rsidRDefault="00832CEE" w:rsidP="00832CEE">
      <w:pPr>
        <w:widowControl w:val="0"/>
        <w:numPr>
          <w:ilvl w:val="0"/>
          <w:numId w:val="3"/>
        </w:numPr>
        <w:autoSpaceDE w:val="0"/>
        <w:autoSpaceDN w:val="0"/>
        <w:bidi/>
        <w:adjustRightInd w:val="0"/>
        <w:spacing w:after="0" w:line="276" w:lineRule="auto"/>
        <w:contextualSpacing/>
        <w:jc w:val="both"/>
        <w:rPr>
          <w:rFonts w:ascii="Simplified Arabic" w:eastAsiaTheme="minorEastAsia" w:hAnsi="Simplified Arabic" w:cs="Simplified Arabic"/>
          <w:b/>
          <w:sz w:val="36"/>
          <w:szCs w:val="28"/>
        </w:rPr>
      </w:pPr>
      <w:r w:rsidRPr="00832CEE">
        <w:rPr>
          <w:rFonts w:ascii="Simplified Arabic" w:eastAsiaTheme="minorEastAsia" w:hAnsi="Simplified Arabic" w:cs="Simplified Arabic" w:hint="cs"/>
          <w:b/>
          <w:sz w:val="36"/>
          <w:szCs w:val="28"/>
          <w:rtl/>
        </w:rPr>
        <w:t>في الاختيار المهني يزداد الاهتمام بتحليل العمل وتحديد مستلزماته أو مواصفاته، أما في التوجيه المهني فالاهتمام موجه نحو تحليل قدرات الفرد وإمكانياته، ثم إمداده بالمعلومات المهنية اللازمة.</w:t>
      </w:r>
    </w:p>
    <w:p w:rsidR="00832CEE" w:rsidRPr="00832CEE" w:rsidRDefault="00832CEE" w:rsidP="00832CEE">
      <w:pPr>
        <w:widowControl w:val="0"/>
        <w:numPr>
          <w:ilvl w:val="0"/>
          <w:numId w:val="3"/>
        </w:numPr>
        <w:autoSpaceDE w:val="0"/>
        <w:autoSpaceDN w:val="0"/>
        <w:bidi/>
        <w:adjustRightInd w:val="0"/>
        <w:spacing w:after="0" w:line="276" w:lineRule="auto"/>
        <w:contextualSpacing/>
        <w:jc w:val="both"/>
        <w:rPr>
          <w:rFonts w:ascii="Simplified Arabic" w:eastAsiaTheme="minorEastAsia" w:hAnsi="Simplified Arabic" w:cs="Simplified Arabic"/>
          <w:b/>
          <w:sz w:val="36"/>
          <w:szCs w:val="28"/>
        </w:rPr>
      </w:pPr>
      <w:r w:rsidRPr="00832CEE">
        <w:rPr>
          <w:rFonts w:ascii="Simplified Arabic" w:eastAsiaTheme="minorEastAsia" w:hAnsi="Simplified Arabic" w:cs="Simplified Arabic" w:hint="cs"/>
          <w:b/>
          <w:sz w:val="36"/>
          <w:szCs w:val="28"/>
          <w:rtl/>
        </w:rPr>
        <w:t>يهدف الاختيار المهني إلى استغلال القوى البشرية لصالح العمل، بينما يهدف التوجيه المهني إلى استغلال الأعمال لصالح الأفراد. (كامل محمد عويضة، 1996، ص42)</w:t>
      </w:r>
    </w:p>
    <w:p w:rsidR="00832CEE" w:rsidRPr="00832CEE" w:rsidRDefault="00832CEE" w:rsidP="00832CEE">
      <w:pPr>
        <w:bidi/>
        <w:spacing w:after="0" w:line="276" w:lineRule="auto"/>
        <w:ind w:left="720"/>
        <w:contextualSpacing/>
        <w:jc w:val="both"/>
        <w:rPr>
          <w:rFonts w:ascii="Simplified Arabic" w:eastAsiaTheme="minorEastAsia" w:hAnsi="Simplified Arabic" w:cs="Simplified Arabic"/>
          <w:b/>
          <w:sz w:val="36"/>
          <w:szCs w:val="28"/>
        </w:rPr>
      </w:pP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bCs/>
          <w:color w:val="000000" w:themeColor="text1"/>
          <w:sz w:val="28"/>
          <w:szCs w:val="28"/>
        </w:rPr>
      </w:pPr>
      <w:r w:rsidRPr="00832CEE">
        <w:rPr>
          <w:rFonts w:ascii="Simplified Arabic" w:eastAsiaTheme="minorEastAsia" w:hAnsi="Simplified Arabic" w:cs="Simplified Arabic" w:hint="cs"/>
          <w:bCs/>
          <w:sz w:val="36"/>
          <w:szCs w:val="28"/>
          <w:rtl/>
        </w:rPr>
        <w:t>الفرق بين الانتقاء المهني والاختيار المهني:</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0"/>
          <w:szCs w:val="28"/>
          <w:rtl/>
          <w:lang w:eastAsia="fr-FR"/>
        </w:rPr>
      </w:pPr>
      <w:r w:rsidRPr="00832CEE">
        <w:rPr>
          <w:rFonts w:ascii="Simplified Arabic" w:eastAsia="Times New Roman" w:hAnsi="Simplified Arabic" w:cs="Simplified Arabic" w:hint="cs"/>
          <w:color w:val="000000"/>
          <w:sz w:val="20"/>
          <w:szCs w:val="28"/>
          <w:rtl/>
          <w:lang w:eastAsia="fr-FR"/>
        </w:rPr>
        <w:t xml:space="preserve">تعتبر فتحية يحي وابتسام </w:t>
      </w:r>
      <w:proofErr w:type="spellStart"/>
      <w:r w:rsidRPr="00832CEE">
        <w:rPr>
          <w:rFonts w:ascii="Simplified Arabic" w:eastAsia="Times New Roman" w:hAnsi="Simplified Arabic" w:cs="Simplified Arabic" w:hint="cs"/>
          <w:color w:val="000000"/>
          <w:sz w:val="20"/>
          <w:szCs w:val="28"/>
          <w:rtl/>
          <w:lang w:eastAsia="fr-FR"/>
        </w:rPr>
        <w:t>بزوح</w:t>
      </w:r>
      <w:proofErr w:type="spellEnd"/>
      <w:r w:rsidRPr="00832CEE">
        <w:rPr>
          <w:rFonts w:ascii="Simplified Arabic" w:eastAsia="Times New Roman" w:hAnsi="Simplified Arabic" w:cs="Simplified Arabic" w:hint="cs"/>
          <w:color w:val="000000"/>
          <w:sz w:val="20"/>
          <w:szCs w:val="28"/>
          <w:rtl/>
          <w:lang w:eastAsia="fr-FR"/>
        </w:rPr>
        <w:t xml:space="preserve"> (2020، ص60) أن الانتقاء المهني: "من المفاهيم ذات الأهمية في حياة الفرد الحاضرة والمستقبلية حيث يعني اختيار الفرد لمهنة من المهن حسب قدراته وميوله وسماته الشخصية وظروفه الاجتماعية، وشمل هذا التعريف ثلاث خطوات مهمة وهي:</w:t>
      </w:r>
    </w:p>
    <w:p w:rsidR="00832CEE" w:rsidRPr="00832CEE" w:rsidRDefault="00832CEE" w:rsidP="00832CEE">
      <w:pPr>
        <w:widowControl w:val="0"/>
        <w:numPr>
          <w:ilvl w:val="0"/>
          <w:numId w:val="3"/>
        </w:numPr>
        <w:autoSpaceDE w:val="0"/>
        <w:autoSpaceDN w:val="0"/>
        <w:bidi/>
        <w:adjustRightInd w:val="0"/>
        <w:spacing w:after="0" w:line="276" w:lineRule="auto"/>
        <w:contextualSpacing/>
        <w:jc w:val="both"/>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معرفة الفرد لنفسه من حيث قدراته وميوله وسماته وظروفه البيئية ونوع مستوى تعليمه وتدريبه</w:t>
      </w:r>
    </w:p>
    <w:p w:rsidR="00832CEE" w:rsidRPr="00832CEE" w:rsidRDefault="00832CEE" w:rsidP="00832CEE">
      <w:pPr>
        <w:widowControl w:val="0"/>
        <w:numPr>
          <w:ilvl w:val="0"/>
          <w:numId w:val="3"/>
        </w:numPr>
        <w:autoSpaceDE w:val="0"/>
        <w:autoSpaceDN w:val="0"/>
        <w:bidi/>
        <w:adjustRightInd w:val="0"/>
        <w:spacing w:after="0" w:line="276" w:lineRule="auto"/>
        <w:contextualSpacing/>
        <w:jc w:val="both"/>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معرفة المهن المختلفة وما تتطلب من قدرات وسمات تعليم وتدريب</w:t>
      </w:r>
    </w:p>
    <w:p w:rsidR="00832CEE" w:rsidRPr="00832CEE" w:rsidRDefault="00832CEE" w:rsidP="00832CEE">
      <w:pPr>
        <w:widowControl w:val="0"/>
        <w:numPr>
          <w:ilvl w:val="0"/>
          <w:numId w:val="3"/>
        </w:numPr>
        <w:autoSpaceDE w:val="0"/>
        <w:autoSpaceDN w:val="0"/>
        <w:bidi/>
        <w:adjustRightInd w:val="0"/>
        <w:spacing w:after="0" w:line="276" w:lineRule="auto"/>
        <w:contextualSpacing/>
        <w:jc w:val="both"/>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المطابقة بين الخطوتين السابقتين حتى يتم الانتقاء الموفق".</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0"/>
          <w:szCs w:val="28"/>
          <w:rtl/>
          <w:lang w:eastAsia="fr-FR" w:bidi="ar-DZ"/>
        </w:rPr>
      </w:pPr>
      <w:r w:rsidRPr="00832CEE">
        <w:rPr>
          <w:rFonts w:ascii="Simplified Arabic" w:eastAsia="Times New Roman" w:hAnsi="Simplified Arabic" w:cs="Simplified Arabic" w:hint="cs"/>
          <w:color w:val="000000"/>
          <w:sz w:val="20"/>
          <w:szCs w:val="28"/>
          <w:rtl/>
          <w:lang w:eastAsia="fr-FR"/>
        </w:rPr>
        <w:t>لذلك يعتبر سوبر (</w:t>
      </w:r>
      <w:r w:rsidRPr="00832CEE">
        <w:rPr>
          <w:rFonts w:ascii="Simplified Arabic" w:eastAsia="Times New Roman" w:hAnsi="Simplified Arabic" w:cs="Simplified Arabic"/>
          <w:color w:val="000000"/>
          <w:sz w:val="20"/>
          <w:szCs w:val="28"/>
          <w:lang w:val="en-US" w:eastAsia="fr-FR"/>
        </w:rPr>
        <w:t>Super</w:t>
      </w:r>
      <w:r w:rsidRPr="00832CEE">
        <w:rPr>
          <w:rFonts w:ascii="Simplified Arabic" w:eastAsia="Times New Roman" w:hAnsi="Simplified Arabic" w:cs="Simplified Arabic" w:hint="cs"/>
          <w:color w:val="000000"/>
          <w:sz w:val="20"/>
          <w:szCs w:val="28"/>
          <w:rtl/>
          <w:lang w:eastAsia="fr-FR" w:bidi="ar-DZ"/>
        </w:rPr>
        <w:t xml:space="preserve">) أن: "اختيار الفرد لمهنته هي واحدة من لحظات الحياة التي يدعي الفرد من خلالها إلى تأكيد التصور الذاتي لنفسه بشكل واضح، وذلك بمواجهة مختلف النماذج المتنوعة التي تمنحها المهن، والتي هو ملزم بالاختيار من بينها". </w:t>
      </w:r>
      <w:proofErr w:type="gramStart"/>
      <w:r w:rsidRPr="00832CEE">
        <w:rPr>
          <w:rFonts w:ascii="Simplified Arabic" w:eastAsia="Times New Roman" w:hAnsi="Simplified Arabic" w:cs="Simplified Arabic" w:hint="cs"/>
          <w:color w:val="000000"/>
          <w:sz w:val="20"/>
          <w:szCs w:val="28"/>
          <w:rtl/>
          <w:lang w:eastAsia="fr-FR" w:bidi="ar-DZ"/>
        </w:rPr>
        <w:t>( ص</w:t>
      </w:r>
      <w:proofErr w:type="gramEnd"/>
      <w:r w:rsidRPr="00832CEE">
        <w:rPr>
          <w:rFonts w:ascii="Simplified Arabic" w:eastAsia="Times New Roman" w:hAnsi="Simplified Arabic" w:cs="Simplified Arabic" w:hint="cs"/>
          <w:color w:val="000000"/>
          <w:sz w:val="20"/>
          <w:szCs w:val="28"/>
          <w:rtl/>
          <w:lang w:eastAsia="fr-FR" w:bidi="ar-DZ"/>
        </w:rPr>
        <w:t>263)</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0"/>
          <w:szCs w:val="28"/>
          <w:lang w:eastAsia="fr-FR" w:bidi="ar-DZ"/>
        </w:rPr>
      </w:pPr>
      <w:r w:rsidRPr="00832CEE">
        <w:rPr>
          <w:rFonts w:ascii="Simplified Arabic" w:eastAsia="Times New Roman" w:hAnsi="Simplified Arabic" w:cs="Simplified Arabic" w:hint="cs"/>
          <w:color w:val="000000"/>
          <w:sz w:val="20"/>
          <w:szCs w:val="28"/>
          <w:rtl/>
          <w:lang w:eastAsia="fr-FR" w:bidi="ar-DZ"/>
        </w:rPr>
        <w:t>غير أن الجدير بالذكر، هو أن الفرق بين مصطلحي الانتقاء المهني وبين مصطلح الاختيار المهني هو فرق في السياق التي الذي يتم فيه الجمع بين الفرد المناسب والمكان المناسب؛ فإذا تناولنا السياق الفردي سيتضح لنا أن أمر اختيار المهنة المناسبة ينطلق من الفرد ورؤيته وتقديره لذاته وبعدها يتجه نحو المهنة التي ترضيه مبدئيا، في حين سيتضح لنا من خلال السياق التنظيمي أن عملية الاختيار المهني تنطلق من الوظيفة أو المسمى الوظيفي أو المهني الشاغر</w:t>
      </w:r>
      <w:r w:rsidRPr="00832CEE">
        <w:rPr>
          <w:rFonts w:ascii="Simplified Arabic" w:eastAsia="Times New Roman" w:hAnsi="Simplified Arabic" w:cs="Simplified Arabic"/>
          <w:color w:val="000000"/>
          <w:sz w:val="28"/>
          <w:szCs w:val="40"/>
          <w:lang w:eastAsia="fr-FR" w:bidi="ar-DZ"/>
        </w:rPr>
        <w:t>.</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0"/>
          <w:szCs w:val="28"/>
          <w:rtl/>
          <w:lang w:eastAsia="fr-FR" w:bidi="ar-DZ"/>
        </w:rPr>
      </w:pPr>
      <w:r w:rsidRPr="00832CEE">
        <w:rPr>
          <w:rFonts w:ascii="Simplified Arabic" w:eastAsia="Times New Roman" w:hAnsi="Simplified Arabic" w:cs="Simplified Arabic" w:hint="cs"/>
          <w:color w:val="000000"/>
          <w:sz w:val="20"/>
          <w:szCs w:val="28"/>
          <w:rtl/>
          <w:lang w:eastAsia="fr-FR" w:bidi="ar-DZ"/>
        </w:rPr>
        <w:t>بمعنى آخر الفرق بين التوجيه المهني والاختيار المهني هو التالي:</w:t>
      </w: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hint="cs"/>
          <w:b/>
          <w:color w:val="000000" w:themeColor="text1"/>
          <w:sz w:val="28"/>
          <w:szCs w:val="28"/>
          <w:lang w:bidi="ar-DZ"/>
        </w:rPr>
      </w:pPr>
      <w:r w:rsidRPr="00832CEE">
        <w:rPr>
          <w:rFonts w:ascii="Simplified Arabic" w:eastAsiaTheme="minorEastAsia" w:hAnsi="Simplified Arabic" w:cs="Simplified Arabic" w:hint="cs"/>
          <w:b/>
          <w:color w:val="000000" w:themeColor="text1"/>
          <w:sz w:val="28"/>
          <w:szCs w:val="28"/>
          <w:rtl/>
          <w:lang w:bidi="ar-DZ"/>
        </w:rPr>
        <w:t>التوجيه يبدأ من الفرد، ويركز اهتمامه فيه، في حين أن الاختيار يبدأ من مهنة معينة ويهتم بها في المقام الأول.</w:t>
      </w: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hint="cs"/>
          <w:b/>
          <w:color w:val="000000" w:themeColor="text1"/>
          <w:sz w:val="28"/>
          <w:szCs w:val="28"/>
          <w:lang w:bidi="ar-DZ"/>
        </w:rPr>
      </w:pPr>
      <w:r w:rsidRPr="00832CEE">
        <w:rPr>
          <w:rFonts w:ascii="Simplified Arabic" w:eastAsiaTheme="minorEastAsia" w:hAnsi="Simplified Arabic" w:cs="Simplified Arabic" w:hint="cs"/>
          <w:b/>
          <w:color w:val="000000" w:themeColor="text1"/>
          <w:sz w:val="28"/>
          <w:szCs w:val="28"/>
          <w:rtl/>
          <w:lang w:bidi="ar-DZ"/>
        </w:rPr>
        <w:t>التوجيه يعمل على المعرفة، والإرشاد لصالح الفرد، ويقوم على أساس أن كل إنسان يجب أن عمله بين مختلف الوظائف الاجتماعية حتى إن كان عاجزاً، أو مريضًا، أو ذا عاهة، في حين أن الاختيار يعمل على التصفية والاستبعاد، ولا يهتم بمصير من يستبعدهم من الأفراد.</w:t>
      </w: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hint="cs"/>
          <w:b/>
          <w:color w:val="000000" w:themeColor="text1"/>
          <w:sz w:val="28"/>
          <w:szCs w:val="28"/>
          <w:lang w:bidi="ar-DZ"/>
        </w:rPr>
      </w:pPr>
      <w:r w:rsidRPr="00832CEE">
        <w:rPr>
          <w:rFonts w:ascii="Simplified Arabic" w:eastAsiaTheme="minorEastAsia" w:hAnsi="Simplified Arabic" w:cs="Simplified Arabic" w:hint="cs"/>
          <w:b/>
          <w:color w:val="000000" w:themeColor="text1"/>
          <w:sz w:val="28"/>
          <w:szCs w:val="28"/>
          <w:rtl/>
          <w:lang w:bidi="ar-DZ"/>
        </w:rPr>
        <w:t>الاختيار المهني يهتم بتحليل العمل، وتحديد مستلزماته ومواصفاته، أما في التوجيه المهني فيهتم بتحليل قدرات الفرد، وإمكانياته، ثم إمداده بالمعلومات المهنية اللازمة.</w:t>
      </w:r>
    </w:p>
    <w:p w:rsidR="00832CEE" w:rsidRPr="00832CEE" w:rsidRDefault="00832CEE" w:rsidP="00832CEE">
      <w:pPr>
        <w:widowControl w:val="0"/>
        <w:numPr>
          <w:ilvl w:val="0"/>
          <w:numId w:val="1"/>
        </w:numPr>
        <w:autoSpaceDE w:val="0"/>
        <w:autoSpaceDN w:val="0"/>
        <w:bidi/>
        <w:adjustRightInd w:val="0"/>
        <w:spacing w:after="0" w:line="276" w:lineRule="auto"/>
        <w:contextualSpacing/>
        <w:jc w:val="both"/>
        <w:rPr>
          <w:rFonts w:ascii="Simplified Arabic" w:eastAsiaTheme="minorEastAsia" w:hAnsi="Simplified Arabic" w:cs="Simplified Arabic"/>
          <w:b/>
          <w:color w:val="000000" w:themeColor="text1"/>
          <w:sz w:val="28"/>
          <w:szCs w:val="28"/>
          <w:rtl/>
          <w:lang w:bidi="ar-DZ"/>
        </w:rPr>
      </w:pPr>
      <w:r w:rsidRPr="00832CEE">
        <w:rPr>
          <w:rFonts w:ascii="Simplified Arabic" w:eastAsiaTheme="minorEastAsia" w:hAnsi="Simplified Arabic" w:cs="Simplified Arabic" w:hint="cs"/>
          <w:b/>
          <w:color w:val="000000" w:themeColor="text1"/>
          <w:sz w:val="28"/>
          <w:szCs w:val="28"/>
          <w:rtl/>
          <w:lang w:bidi="ar-DZ"/>
        </w:rPr>
        <w:t xml:space="preserve">يهدف الاختيار المهني إلى استغلال القوى البشرية لصالح العمل، بينما يهدف التوجيه المهني إلى استغلال الأعمال لصالح الأفراد. (الإدارة العامة </w:t>
      </w:r>
      <w:proofErr w:type="gramStart"/>
      <w:r w:rsidRPr="00832CEE">
        <w:rPr>
          <w:rFonts w:ascii="Simplified Arabic" w:eastAsiaTheme="minorEastAsia" w:hAnsi="Simplified Arabic" w:cs="Simplified Arabic" w:hint="cs"/>
          <w:b/>
          <w:color w:val="000000" w:themeColor="text1"/>
          <w:sz w:val="28"/>
          <w:szCs w:val="28"/>
          <w:rtl/>
          <w:lang w:bidi="ar-DZ"/>
        </w:rPr>
        <w:t>لتصميم  وتطوير</w:t>
      </w:r>
      <w:proofErr w:type="gramEnd"/>
      <w:r w:rsidRPr="00832CEE">
        <w:rPr>
          <w:rFonts w:ascii="Simplified Arabic" w:eastAsiaTheme="minorEastAsia" w:hAnsi="Simplified Arabic" w:cs="Simplified Arabic" w:hint="cs"/>
          <w:b/>
          <w:color w:val="000000" w:themeColor="text1"/>
          <w:sz w:val="28"/>
          <w:szCs w:val="28"/>
          <w:rtl/>
          <w:lang w:bidi="ar-DZ"/>
        </w:rPr>
        <w:t xml:space="preserve"> المناهج، 2020، ص82-83)</w:t>
      </w:r>
    </w:p>
    <w:p w:rsidR="00832CEE" w:rsidRPr="00832CEE" w:rsidRDefault="00832CEE" w:rsidP="00832CEE">
      <w:pPr>
        <w:widowControl w:val="0"/>
        <w:autoSpaceDE w:val="0"/>
        <w:autoSpaceDN w:val="0"/>
        <w:bidi/>
        <w:adjustRightInd w:val="0"/>
        <w:spacing w:after="0" w:line="276" w:lineRule="auto"/>
        <w:ind w:firstLine="360"/>
        <w:jc w:val="both"/>
        <w:rPr>
          <w:rFonts w:ascii="Simplified Arabic" w:eastAsia="Times New Roman" w:hAnsi="Simplified Arabic" w:cs="Simplified Arabic"/>
          <w:color w:val="000000"/>
          <w:sz w:val="20"/>
          <w:szCs w:val="28"/>
          <w:rtl/>
          <w:lang w:eastAsia="fr-FR" w:bidi="ar-DZ"/>
        </w:rPr>
      </w:pPr>
    </w:p>
    <w:p w:rsidR="00832CEE" w:rsidRPr="00832CEE" w:rsidRDefault="00832CEE" w:rsidP="00832CEE">
      <w:pPr>
        <w:widowControl w:val="0"/>
        <w:numPr>
          <w:ilvl w:val="0"/>
          <w:numId w:val="2"/>
        </w:numPr>
        <w:autoSpaceDE w:val="0"/>
        <w:autoSpaceDN w:val="0"/>
        <w:bidi/>
        <w:adjustRightInd w:val="0"/>
        <w:spacing w:after="0" w:line="276" w:lineRule="auto"/>
        <w:jc w:val="both"/>
        <w:rPr>
          <w:rFonts w:ascii="Simplified Arabic" w:eastAsiaTheme="minorEastAsia" w:hAnsi="Simplified Arabic" w:cs="Simplified Arabic"/>
          <w:b/>
          <w:bCs/>
          <w:color w:val="000000" w:themeColor="text1"/>
          <w:sz w:val="28"/>
          <w:szCs w:val="28"/>
          <w:rtl/>
        </w:rPr>
      </w:pPr>
      <w:r w:rsidRPr="00832CEE">
        <w:rPr>
          <w:rFonts w:ascii="Simplified Arabic" w:eastAsiaTheme="minorEastAsia" w:hAnsi="Simplified Arabic" w:cs="Simplified Arabic" w:hint="cs"/>
          <w:b/>
          <w:bCs/>
          <w:color w:val="000000" w:themeColor="text1"/>
          <w:sz w:val="28"/>
          <w:szCs w:val="28"/>
          <w:rtl/>
        </w:rPr>
        <w:t>دوافع الاختيار المهني:</w:t>
      </w:r>
    </w:p>
    <w:p w:rsidR="00832CEE" w:rsidRPr="00832CEE" w:rsidRDefault="00832CEE" w:rsidP="00832CEE">
      <w:pPr>
        <w:bidi/>
        <w:spacing w:after="0" w:line="276" w:lineRule="auto"/>
        <w:ind w:left="360"/>
        <w:jc w:val="both"/>
        <w:rPr>
          <w:rFonts w:ascii="Simplified Arabic" w:eastAsiaTheme="minorEastAsia" w:hAnsi="Simplified Arabic" w:cs="Simplified Arabic"/>
          <w:color w:val="000000" w:themeColor="text1"/>
          <w:sz w:val="28"/>
          <w:szCs w:val="28"/>
          <w:rtl/>
        </w:rPr>
      </w:pPr>
      <w:r w:rsidRPr="00832CEE">
        <w:rPr>
          <w:rFonts w:ascii="Simplified Arabic" w:eastAsiaTheme="minorEastAsia" w:hAnsi="Simplified Arabic" w:cs="Simplified Arabic" w:hint="cs"/>
          <w:color w:val="000000" w:themeColor="text1"/>
          <w:sz w:val="28"/>
          <w:szCs w:val="28"/>
          <w:rtl/>
        </w:rPr>
        <w:t>هناك العديد من العوامل التي تتقاطع لاختيار الفرد المناسب للعمل في المنصب المرجو شُغله، يمكن توضيحها فيما يلي:</w:t>
      </w:r>
    </w:p>
    <w:p w:rsidR="00832CEE" w:rsidRPr="00832CEE" w:rsidRDefault="00832CEE" w:rsidP="00832CEE">
      <w:pPr>
        <w:widowControl w:val="0"/>
        <w:numPr>
          <w:ilvl w:val="0"/>
          <w:numId w:val="4"/>
        </w:numPr>
        <w:autoSpaceDE w:val="0"/>
        <w:autoSpaceDN w:val="0"/>
        <w:bidi/>
        <w:adjustRightInd w:val="0"/>
        <w:spacing w:after="0" w:line="276" w:lineRule="auto"/>
        <w:jc w:val="both"/>
        <w:rPr>
          <w:rFonts w:ascii="Simplified Arabic" w:eastAsiaTheme="minorEastAsia" w:hAnsi="Simplified Arabic" w:cs="Simplified Arabic"/>
          <w:color w:val="000000" w:themeColor="text1"/>
          <w:sz w:val="28"/>
          <w:szCs w:val="28"/>
        </w:rPr>
      </w:pPr>
      <w:r w:rsidRPr="00832CEE">
        <w:rPr>
          <w:rFonts w:ascii="Simplified Arabic" w:eastAsiaTheme="minorEastAsia" w:hAnsi="Simplified Arabic" w:cs="Simplified Arabic" w:hint="cs"/>
          <w:b/>
          <w:bCs/>
          <w:color w:val="000000" w:themeColor="text1"/>
          <w:sz w:val="28"/>
          <w:szCs w:val="28"/>
          <w:rtl/>
        </w:rPr>
        <w:t>الشاغر الوظيفي لدى المؤسسات:</w:t>
      </w:r>
      <w:r w:rsidRPr="00832CEE">
        <w:rPr>
          <w:rFonts w:ascii="Simplified Arabic" w:eastAsiaTheme="minorEastAsia" w:hAnsi="Simplified Arabic" w:cs="Simplified Arabic" w:hint="cs"/>
          <w:color w:val="000000" w:themeColor="text1"/>
          <w:sz w:val="28"/>
          <w:szCs w:val="28"/>
          <w:rtl/>
        </w:rPr>
        <w:t xml:space="preserve"> فوجود منصب شاغر في المؤسسة، يدفع الإدارة الى اتخاذ الاجراء المناسب للتعامل معه لتجنب تعطيل العمل أو الهدر الوظيفي، ومن هذه الإجراءات هي الترقية، النقل الوظيفي، التدوير </w:t>
      </w:r>
      <w:proofErr w:type="gramStart"/>
      <w:r w:rsidRPr="00832CEE">
        <w:rPr>
          <w:rFonts w:ascii="Simplified Arabic" w:eastAsiaTheme="minorEastAsia" w:hAnsi="Simplified Arabic" w:cs="Simplified Arabic" w:hint="cs"/>
          <w:color w:val="000000" w:themeColor="text1"/>
          <w:sz w:val="28"/>
          <w:szCs w:val="28"/>
          <w:rtl/>
        </w:rPr>
        <w:t>الوظيفي..،</w:t>
      </w:r>
      <w:proofErr w:type="gramEnd"/>
      <w:r w:rsidRPr="00832CEE">
        <w:rPr>
          <w:rFonts w:ascii="Simplified Arabic" w:eastAsiaTheme="minorEastAsia" w:hAnsi="Simplified Arabic" w:cs="Simplified Arabic" w:hint="cs"/>
          <w:color w:val="000000" w:themeColor="text1"/>
          <w:sz w:val="28"/>
          <w:szCs w:val="28"/>
          <w:rtl/>
        </w:rPr>
        <w:t xml:space="preserve"> ولكن يبقى الاختيار المهني واحدا من أبرز هاته الإجراءات بُغية استقطاب وتوظيف الفرد المناسب لهذا الشاغر الوظيفي.</w:t>
      </w:r>
    </w:p>
    <w:p w:rsidR="00832CEE" w:rsidRPr="00832CEE" w:rsidRDefault="00832CEE" w:rsidP="00832CEE">
      <w:pPr>
        <w:widowControl w:val="0"/>
        <w:numPr>
          <w:ilvl w:val="0"/>
          <w:numId w:val="4"/>
        </w:numPr>
        <w:autoSpaceDE w:val="0"/>
        <w:autoSpaceDN w:val="0"/>
        <w:bidi/>
        <w:adjustRightInd w:val="0"/>
        <w:spacing w:after="0" w:line="276" w:lineRule="auto"/>
        <w:jc w:val="both"/>
        <w:rPr>
          <w:rFonts w:ascii="Simplified Arabic" w:eastAsiaTheme="minorEastAsia" w:hAnsi="Simplified Arabic" w:cs="Simplified Arabic"/>
          <w:color w:val="000000" w:themeColor="text1"/>
          <w:sz w:val="28"/>
          <w:szCs w:val="28"/>
        </w:rPr>
      </w:pPr>
      <w:r w:rsidRPr="00832CEE">
        <w:rPr>
          <w:rFonts w:ascii="Simplified Arabic" w:eastAsiaTheme="minorEastAsia" w:hAnsi="Simplified Arabic" w:cs="Simplified Arabic" w:hint="cs"/>
          <w:b/>
          <w:bCs/>
          <w:color w:val="000000" w:themeColor="text1"/>
          <w:sz w:val="28"/>
          <w:szCs w:val="28"/>
          <w:rtl/>
        </w:rPr>
        <w:t>استحداث مناصب وظيفية جديدة</w:t>
      </w:r>
      <w:r w:rsidRPr="00832CEE">
        <w:rPr>
          <w:rFonts w:ascii="Simplified Arabic" w:eastAsiaTheme="minorEastAsia" w:hAnsi="Simplified Arabic" w:cs="Simplified Arabic" w:hint="cs"/>
          <w:color w:val="000000" w:themeColor="text1"/>
          <w:sz w:val="28"/>
          <w:szCs w:val="28"/>
          <w:rtl/>
        </w:rPr>
        <w:t>: مثلما يتم الان استحداث وظائف مهندسي وتقنيي البيانات الكبيرة (</w:t>
      </w:r>
      <w:proofErr w:type="spellStart"/>
      <w:r w:rsidRPr="00832CEE">
        <w:rPr>
          <w:rFonts w:ascii="Simplified Arabic" w:eastAsiaTheme="minorEastAsia" w:hAnsi="Simplified Arabic" w:cs="Simplified Arabic"/>
          <w:color w:val="000000" w:themeColor="text1"/>
          <w:sz w:val="28"/>
          <w:szCs w:val="28"/>
        </w:rPr>
        <w:t>Big</w:t>
      </w:r>
      <w:proofErr w:type="spellEnd"/>
      <w:r w:rsidRPr="00832CEE">
        <w:rPr>
          <w:rFonts w:ascii="Simplified Arabic" w:eastAsiaTheme="minorEastAsia" w:hAnsi="Simplified Arabic" w:cs="Simplified Arabic"/>
          <w:color w:val="000000" w:themeColor="text1"/>
          <w:sz w:val="28"/>
          <w:szCs w:val="28"/>
        </w:rPr>
        <w:t>-Data</w:t>
      </w:r>
      <w:r w:rsidRPr="00832CEE">
        <w:rPr>
          <w:rFonts w:ascii="Simplified Arabic" w:eastAsiaTheme="minorEastAsia" w:hAnsi="Simplified Arabic" w:cs="Simplified Arabic" w:hint="cs"/>
          <w:color w:val="000000" w:themeColor="text1"/>
          <w:sz w:val="28"/>
          <w:szCs w:val="28"/>
          <w:rtl/>
          <w:lang w:bidi="ar-DZ"/>
        </w:rPr>
        <w:t>)</w:t>
      </w:r>
    </w:p>
    <w:p w:rsidR="00832CEE" w:rsidRPr="00832CEE" w:rsidRDefault="00832CEE" w:rsidP="00832CEE">
      <w:pPr>
        <w:widowControl w:val="0"/>
        <w:numPr>
          <w:ilvl w:val="0"/>
          <w:numId w:val="4"/>
        </w:numPr>
        <w:autoSpaceDE w:val="0"/>
        <w:autoSpaceDN w:val="0"/>
        <w:bidi/>
        <w:adjustRightInd w:val="0"/>
        <w:spacing w:after="0" w:line="276" w:lineRule="auto"/>
        <w:jc w:val="both"/>
        <w:rPr>
          <w:rFonts w:ascii="Simplified Arabic" w:eastAsiaTheme="minorEastAsia" w:hAnsi="Simplified Arabic" w:cs="Simplified Arabic"/>
          <w:color w:val="000000" w:themeColor="text1"/>
          <w:sz w:val="28"/>
          <w:szCs w:val="28"/>
        </w:rPr>
      </w:pPr>
      <w:r w:rsidRPr="00832CEE">
        <w:rPr>
          <w:rFonts w:ascii="Simplified Arabic" w:eastAsiaTheme="minorEastAsia" w:hAnsi="Simplified Arabic" w:cs="Simplified Arabic" w:hint="cs"/>
          <w:b/>
          <w:bCs/>
          <w:color w:val="000000" w:themeColor="text1"/>
          <w:sz w:val="28"/>
          <w:szCs w:val="28"/>
          <w:rtl/>
          <w:lang w:bidi="ar-DZ"/>
        </w:rPr>
        <w:t xml:space="preserve">متطلبات </w:t>
      </w:r>
      <w:proofErr w:type="spellStart"/>
      <w:r w:rsidRPr="00832CEE">
        <w:rPr>
          <w:rFonts w:ascii="Simplified Arabic" w:eastAsiaTheme="minorEastAsia" w:hAnsi="Simplified Arabic" w:cs="Simplified Arabic" w:hint="cs"/>
          <w:b/>
          <w:bCs/>
          <w:color w:val="000000" w:themeColor="text1"/>
          <w:sz w:val="28"/>
          <w:szCs w:val="28"/>
          <w:rtl/>
          <w:lang w:bidi="ar-DZ"/>
        </w:rPr>
        <w:t>مهارية</w:t>
      </w:r>
      <w:proofErr w:type="spellEnd"/>
      <w:r w:rsidRPr="00832CEE">
        <w:rPr>
          <w:rFonts w:ascii="Simplified Arabic" w:eastAsiaTheme="minorEastAsia" w:hAnsi="Simplified Arabic" w:cs="Simplified Arabic" w:hint="cs"/>
          <w:b/>
          <w:bCs/>
          <w:color w:val="000000" w:themeColor="text1"/>
          <w:sz w:val="28"/>
          <w:szCs w:val="28"/>
          <w:rtl/>
          <w:lang w:bidi="ar-DZ"/>
        </w:rPr>
        <w:t xml:space="preserve"> حديثة للأدوار الوظيفية</w:t>
      </w:r>
      <w:r w:rsidRPr="00832CEE">
        <w:rPr>
          <w:rFonts w:ascii="Simplified Arabic" w:eastAsiaTheme="minorEastAsia" w:hAnsi="Simplified Arabic" w:cs="Simplified Arabic" w:hint="cs"/>
          <w:color w:val="000000" w:themeColor="text1"/>
          <w:sz w:val="28"/>
          <w:szCs w:val="28"/>
          <w:rtl/>
          <w:lang w:bidi="ar-DZ"/>
        </w:rPr>
        <w:t xml:space="preserve">: فالموظف الإداري سابقا كان يمكنه أن يزاول عمله كتابيا أو بآلة النسخ، أما اليوم فقد باتت مهارة استخدام الكومبيوتر والمهارات التقنية المختلفة مطلبا ضروريا بالرغم من عدم تغير المسمى الوظيفي للعديد من المهن كالسكرتير، الموظفين الإداريين، إدارة الموارد </w:t>
      </w:r>
      <w:proofErr w:type="spellStart"/>
      <w:proofErr w:type="gramStart"/>
      <w:r w:rsidRPr="00832CEE">
        <w:rPr>
          <w:rFonts w:ascii="Simplified Arabic" w:eastAsiaTheme="minorEastAsia" w:hAnsi="Simplified Arabic" w:cs="Simplified Arabic" w:hint="cs"/>
          <w:color w:val="000000" w:themeColor="text1"/>
          <w:sz w:val="28"/>
          <w:szCs w:val="28"/>
          <w:rtl/>
          <w:lang w:bidi="ar-DZ"/>
        </w:rPr>
        <w:t>البشرية..</w:t>
      </w:r>
      <w:proofErr w:type="gramEnd"/>
      <w:r w:rsidRPr="00832CEE">
        <w:rPr>
          <w:rFonts w:ascii="Simplified Arabic" w:eastAsiaTheme="minorEastAsia" w:hAnsi="Simplified Arabic" w:cs="Simplified Arabic" w:hint="cs"/>
          <w:color w:val="000000" w:themeColor="text1"/>
          <w:sz w:val="28"/>
          <w:szCs w:val="28"/>
          <w:rtl/>
          <w:lang w:bidi="ar-DZ"/>
        </w:rPr>
        <w:t>وغيرها</w:t>
      </w:r>
      <w:proofErr w:type="spellEnd"/>
      <w:r w:rsidRPr="00832CEE">
        <w:rPr>
          <w:rFonts w:ascii="Simplified Arabic" w:eastAsiaTheme="minorEastAsia" w:hAnsi="Simplified Arabic" w:cs="Simplified Arabic" w:hint="cs"/>
          <w:color w:val="000000" w:themeColor="text1"/>
          <w:sz w:val="28"/>
          <w:szCs w:val="28"/>
          <w:rtl/>
          <w:lang w:bidi="ar-DZ"/>
        </w:rPr>
        <w:t xml:space="preserve"> من الأدوار أو حتى المهن كالتعليم والطب </w:t>
      </w:r>
      <w:proofErr w:type="spellStart"/>
      <w:r w:rsidRPr="00832CEE">
        <w:rPr>
          <w:rFonts w:ascii="Simplified Arabic" w:eastAsiaTheme="minorEastAsia" w:hAnsi="Simplified Arabic" w:cs="Simplified Arabic" w:hint="cs"/>
          <w:color w:val="000000" w:themeColor="text1"/>
          <w:sz w:val="28"/>
          <w:szCs w:val="28"/>
          <w:rtl/>
          <w:lang w:bidi="ar-DZ"/>
        </w:rPr>
        <w:t>والمحاماة..الخ</w:t>
      </w:r>
      <w:proofErr w:type="spellEnd"/>
      <w:r w:rsidRPr="00832CEE">
        <w:rPr>
          <w:rFonts w:ascii="Simplified Arabic" w:eastAsiaTheme="minorEastAsia" w:hAnsi="Simplified Arabic" w:cs="Simplified Arabic" w:hint="cs"/>
          <w:color w:val="000000" w:themeColor="text1"/>
          <w:sz w:val="28"/>
          <w:szCs w:val="28"/>
          <w:rtl/>
          <w:lang w:bidi="ar-DZ"/>
        </w:rPr>
        <w:t>.</w:t>
      </w:r>
    </w:p>
    <w:p w:rsidR="00832CEE" w:rsidRPr="00832CEE" w:rsidRDefault="00832CEE" w:rsidP="00832CEE">
      <w:pPr>
        <w:widowControl w:val="0"/>
        <w:numPr>
          <w:ilvl w:val="0"/>
          <w:numId w:val="4"/>
        </w:numPr>
        <w:autoSpaceDE w:val="0"/>
        <w:autoSpaceDN w:val="0"/>
        <w:bidi/>
        <w:adjustRightInd w:val="0"/>
        <w:spacing w:after="0" w:line="276" w:lineRule="auto"/>
        <w:jc w:val="both"/>
        <w:rPr>
          <w:rFonts w:ascii="Simplified Arabic" w:eastAsiaTheme="minorEastAsia" w:hAnsi="Simplified Arabic" w:cs="Simplified Arabic"/>
          <w:color w:val="000000" w:themeColor="text1"/>
          <w:sz w:val="28"/>
          <w:szCs w:val="28"/>
        </w:rPr>
      </w:pPr>
      <w:r w:rsidRPr="00832CEE">
        <w:rPr>
          <w:rFonts w:ascii="Simplified Arabic" w:eastAsiaTheme="minorEastAsia" w:hAnsi="Simplified Arabic" w:cs="Simplified Arabic" w:hint="cs"/>
          <w:b/>
          <w:bCs/>
          <w:color w:val="000000" w:themeColor="text1"/>
          <w:sz w:val="28"/>
          <w:szCs w:val="28"/>
          <w:rtl/>
        </w:rPr>
        <w:t>إعادة الهيكلة التنظيمية للأدوار الوظيفية:</w:t>
      </w:r>
      <w:r w:rsidRPr="00832CEE">
        <w:rPr>
          <w:rFonts w:ascii="Simplified Arabic" w:eastAsiaTheme="minorEastAsia" w:hAnsi="Simplified Arabic" w:cs="Simplified Arabic" w:hint="cs"/>
          <w:color w:val="000000" w:themeColor="text1"/>
          <w:sz w:val="28"/>
          <w:szCs w:val="28"/>
          <w:rtl/>
        </w:rPr>
        <w:t xml:space="preserve"> عندما تقوم المؤسسة بإعادة هيكلة تنظيمها الإداري يتبين أن هناك بعض الوظائف تحتاج إلى "التبسيط الوظيفي" أي تقسيم المهام الموكلة لدور وظيفي ما إلى أدوار وظيفية مساعدة (مثلا: أن نجد دور مسؤول إدارة المواد البشرية يحتاج إلى التقسيم إلى ثلاث أو أربع وظائف، فبدل أن يقوم به شخص واحد أصبح من الضروري أن يقوم به ثلاث أو أربع أشخاص)، أم أن تحتاج بعض الوظائف إلى "التركيز أو التجميع الوظيفي" أي أن يتم جمع وظيفيتين أو أكثر في وظيفة واحدة (مثلا: أن نجد وظيفة سكرتير ووظيفة مبرمج ووظيفة منسق إداري، يتم جمعها في وظيفة إدارة واحدة وهي وظيفة مشرف إداري أو سكرتير عام).</w:t>
      </w:r>
    </w:p>
    <w:p w:rsidR="00832CEE" w:rsidRPr="00832CEE" w:rsidRDefault="00832CEE" w:rsidP="00832CEE">
      <w:pPr>
        <w:widowControl w:val="0"/>
        <w:numPr>
          <w:ilvl w:val="0"/>
          <w:numId w:val="4"/>
        </w:numPr>
        <w:autoSpaceDE w:val="0"/>
        <w:autoSpaceDN w:val="0"/>
        <w:bidi/>
        <w:adjustRightInd w:val="0"/>
        <w:spacing w:after="0" w:line="276" w:lineRule="auto"/>
        <w:jc w:val="both"/>
        <w:rPr>
          <w:rFonts w:ascii="Simplified Arabic" w:eastAsiaTheme="minorEastAsia" w:hAnsi="Simplified Arabic" w:cs="Simplified Arabic"/>
          <w:color w:val="000000" w:themeColor="text1"/>
          <w:sz w:val="28"/>
          <w:szCs w:val="28"/>
        </w:rPr>
      </w:pPr>
      <w:r w:rsidRPr="00832CEE">
        <w:rPr>
          <w:rFonts w:ascii="Simplified Arabic" w:eastAsiaTheme="minorEastAsia" w:hAnsi="Simplified Arabic" w:cs="Simplified Arabic" w:hint="cs"/>
          <w:b/>
          <w:bCs/>
          <w:color w:val="000000" w:themeColor="text1"/>
          <w:sz w:val="28"/>
          <w:szCs w:val="28"/>
          <w:rtl/>
        </w:rPr>
        <w:t>التطوير الوظيفي:</w:t>
      </w:r>
      <w:r w:rsidRPr="00832CEE">
        <w:rPr>
          <w:rFonts w:ascii="Simplified Arabic" w:eastAsiaTheme="minorEastAsia" w:hAnsi="Simplified Arabic" w:cs="Simplified Arabic" w:hint="cs"/>
          <w:color w:val="000000" w:themeColor="text1"/>
          <w:sz w:val="28"/>
          <w:szCs w:val="28"/>
          <w:rtl/>
        </w:rPr>
        <w:t xml:space="preserve"> ويحدث في عدة حالات منها: حينما تتوسع المؤسسة في أدائها المهني وترفع من مستوى جودته، أو أن يزداد عدد العملاء الذين تقدم لهم خدماتها أو حتى المناطق الجغرافية التي تتواجد بها، فيتوجب ذلك أن تستحدث المؤسسة مناصب وظيفية جديدة لم تكون تحتاجها سابقا. </w:t>
      </w:r>
    </w:p>
    <w:p w:rsidR="00832CEE" w:rsidRPr="00832CEE" w:rsidRDefault="00832CEE" w:rsidP="00832CEE">
      <w:pPr>
        <w:bidi/>
        <w:spacing w:after="0" w:line="276" w:lineRule="auto"/>
        <w:ind w:left="720"/>
        <w:jc w:val="both"/>
        <w:rPr>
          <w:rFonts w:ascii="Simplified Arabic" w:eastAsiaTheme="minorEastAsia" w:hAnsi="Simplified Arabic" w:cs="Simplified Arabic"/>
          <w:color w:val="000000" w:themeColor="text1"/>
          <w:sz w:val="2"/>
          <w:szCs w:val="2"/>
        </w:rPr>
      </w:pPr>
    </w:p>
    <w:p w:rsidR="00832CEE" w:rsidRPr="00832CEE" w:rsidRDefault="00832CEE" w:rsidP="00832CEE">
      <w:pPr>
        <w:widowControl w:val="0"/>
        <w:numPr>
          <w:ilvl w:val="0"/>
          <w:numId w:val="2"/>
        </w:numPr>
        <w:autoSpaceDE w:val="0"/>
        <w:autoSpaceDN w:val="0"/>
        <w:bidi/>
        <w:adjustRightInd w:val="0"/>
        <w:spacing w:after="0" w:line="276" w:lineRule="auto"/>
        <w:contextualSpacing/>
        <w:jc w:val="both"/>
        <w:rPr>
          <w:rFonts w:ascii="Simplified Arabic" w:eastAsiaTheme="minorEastAsia" w:hAnsi="Simplified Arabic" w:cs="Simplified Arabic"/>
          <w:bCs/>
          <w:color w:val="000000" w:themeColor="text1"/>
          <w:sz w:val="28"/>
          <w:szCs w:val="28"/>
        </w:rPr>
      </w:pPr>
      <w:r w:rsidRPr="00832CEE">
        <w:rPr>
          <w:rFonts w:ascii="Simplified Arabic" w:eastAsiaTheme="minorEastAsia" w:hAnsi="Simplified Arabic" w:cs="Simplified Arabic" w:hint="cs"/>
          <w:bCs/>
          <w:color w:val="000000" w:themeColor="text1"/>
          <w:sz w:val="28"/>
          <w:szCs w:val="28"/>
          <w:rtl/>
        </w:rPr>
        <w:t>أهداف عملية الاختيار المهني:</w:t>
      </w:r>
    </w:p>
    <w:p w:rsidR="00832CEE" w:rsidRPr="00832CEE" w:rsidRDefault="00832CEE" w:rsidP="00832CEE">
      <w:pPr>
        <w:widowControl w:val="0"/>
        <w:autoSpaceDE w:val="0"/>
        <w:autoSpaceDN w:val="0"/>
        <w:bidi/>
        <w:adjustRightInd w:val="0"/>
        <w:spacing w:after="0" w:line="276" w:lineRule="auto"/>
        <w:ind w:left="360"/>
        <w:jc w:val="both"/>
        <w:rPr>
          <w:rFonts w:ascii="Simplified Arabic" w:eastAsia="Times New Roman" w:hAnsi="Simplified Arabic" w:cs="Simplified Arabic"/>
          <w:color w:val="000000"/>
          <w:sz w:val="20"/>
          <w:szCs w:val="28"/>
          <w:rtl/>
          <w:lang w:eastAsia="fr-FR"/>
        </w:rPr>
      </w:pPr>
      <w:r w:rsidRPr="00832CEE">
        <w:rPr>
          <w:rFonts w:ascii="Simplified Arabic" w:eastAsia="Times New Roman" w:hAnsi="Simplified Arabic" w:cs="Simplified Arabic" w:hint="cs"/>
          <w:color w:val="000000"/>
          <w:sz w:val="20"/>
          <w:szCs w:val="28"/>
          <w:rtl/>
          <w:lang w:eastAsia="fr-FR"/>
        </w:rPr>
        <w:t xml:space="preserve"> بحسب عبد النور </w:t>
      </w:r>
      <w:proofErr w:type="spellStart"/>
      <w:r w:rsidRPr="00832CEE">
        <w:rPr>
          <w:rFonts w:ascii="Simplified Arabic" w:eastAsia="Times New Roman" w:hAnsi="Simplified Arabic" w:cs="Simplified Arabic" w:hint="cs"/>
          <w:color w:val="000000"/>
          <w:sz w:val="20"/>
          <w:szCs w:val="28"/>
          <w:rtl/>
          <w:lang w:eastAsia="fr-FR"/>
        </w:rPr>
        <w:t>أرزقي</w:t>
      </w:r>
      <w:proofErr w:type="spellEnd"/>
      <w:r w:rsidRPr="00832CEE">
        <w:rPr>
          <w:rFonts w:ascii="Simplified Arabic" w:eastAsia="Times New Roman" w:hAnsi="Simplified Arabic" w:cs="Simplified Arabic" w:hint="cs"/>
          <w:color w:val="000000"/>
          <w:sz w:val="20"/>
          <w:szCs w:val="28"/>
          <w:rtl/>
          <w:lang w:eastAsia="fr-FR"/>
        </w:rPr>
        <w:t xml:space="preserve"> (ص21) يسعى الاختيار المهني إلى تكييف الأفراد مع المهن الكثيرة والمتنوعة، وذلك بالتوفيق بين الفروق الموجودة بين الأفراد، أي يسعى لعقلنة هذه الفروق مع تنوّع المهن وقطاعات العمل، بمعنى اختيار لكلّ مهنة الفرد أو الأفراد المناسبين لها، القادرين على أدائها، ولولا الفروق لكان من السهل توزيع الأفراد على المهن بشكل اعتباطي، ولما كان لا بد من عملية الاختيار، وقد أثبتت الدراسات والبحوث في ميدان العمل منذ مدة لا تساوي الأفراد أمام المهام التي يؤدونها في كيفية التعامل معها وفي درجة التكيّف والتناسق مع متطلباتها، مما أدى إلى بروز حتمية الاختيار، وحتى في المهن البسيطة والتي لا تتطلب وقتا طويلا ولا جهدا كبيرا لتعلمها ظهر نوع من الاختلاف من حيث المردود. وفي ضوء ذلك يمكن أن نجمل أهداف الاختيار المهني في: </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إيجاد لكل مهنة أو عائلة مهنية ما يناسبها من قدرات ومهارات</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توفير للفرد المجال المهني الذي يمكنه من توظيف كل ما لديه ويطور قدراته</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تحقيق أقصى ما يمكن من بذل وعطاء</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توزيع المهارات توزيعا صحيحا ومفيدا</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تفادي هدر المورد البشري</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 xml:space="preserve">تحقيق الاستثمار الأمثل في الطاقة </w:t>
      </w:r>
      <w:bookmarkStart w:id="0" w:name="_GoBack"/>
      <w:bookmarkEnd w:id="0"/>
      <w:r w:rsidRPr="00832CEE">
        <w:rPr>
          <w:rFonts w:ascii="Simplified Arabic" w:eastAsiaTheme="minorEastAsia" w:hAnsi="Simplified Arabic" w:cs="Simplified Arabic" w:hint="cs"/>
          <w:b/>
          <w:color w:val="000000" w:themeColor="text1"/>
          <w:sz w:val="28"/>
          <w:szCs w:val="28"/>
          <w:rtl/>
        </w:rPr>
        <w:t>البشرية</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ضمان استقرار اليد العاملة وبالتالي تقليص معدلات التسرب المهني</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الاسهام في رعاية المتفوقين والممتازين والحفاظ على تفوقهم والحيلولة دون ضياع القدرات الفائقة التي يمتلكوها</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Pr>
      </w:pPr>
      <w:r w:rsidRPr="00832CEE">
        <w:rPr>
          <w:rFonts w:ascii="Simplified Arabic" w:eastAsiaTheme="minorEastAsia" w:hAnsi="Simplified Arabic" w:cs="Simplified Arabic" w:hint="cs"/>
          <w:b/>
          <w:color w:val="000000" w:themeColor="text1"/>
          <w:sz w:val="28"/>
          <w:szCs w:val="28"/>
          <w:rtl/>
        </w:rPr>
        <w:t xml:space="preserve">الاستفادة من قدرات غير الأسوياء بتوفير المناصب مع نقائصهم </w:t>
      </w:r>
    </w:p>
    <w:p w:rsidR="00832CEE" w:rsidRPr="00832CEE" w:rsidRDefault="00832CEE" w:rsidP="00832CEE">
      <w:pPr>
        <w:widowControl w:val="0"/>
        <w:numPr>
          <w:ilvl w:val="0"/>
          <w:numId w:val="5"/>
        </w:numPr>
        <w:autoSpaceDE w:val="0"/>
        <w:autoSpaceDN w:val="0"/>
        <w:bidi/>
        <w:adjustRightInd w:val="0"/>
        <w:spacing w:after="0" w:line="276" w:lineRule="auto"/>
        <w:contextualSpacing/>
        <w:rPr>
          <w:rFonts w:ascii="Simplified Arabic" w:eastAsiaTheme="minorEastAsia" w:hAnsi="Simplified Arabic" w:cs="Simplified Arabic"/>
          <w:b/>
          <w:color w:val="000000" w:themeColor="text1"/>
          <w:sz w:val="28"/>
          <w:szCs w:val="28"/>
          <w:rtl/>
        </w:rPr>
      </w:pPr>
      <w:r w:rsidRPr="00832CEE">
        <w:rPr>
          <w:rFonts w:ascii="Simplified Arabic" w:eastAsiaTheme="minorEastAsia" w:hAnsi="Simplified Arabic" w:cs="Simplified Arabic" w:hint="cs"/>
          <w:b/>
          <w:color w:val="000000" w:themeColor="text1"/>
          <w:sz w:val="28"/>
          <w:szCs w:val="28"/>
          <w:rtl/>
        </w:rPr>
        <w:t>تحقيق التكيف المهني بأقل جهد وأقل تكلفة وفي أقل مدة زمنية.</w:t>
      </w:r>
    </w:p>
    <w:p w:rsidR="00C63DB0" w:rsidRDefault="00C63DB0"/>
    <w:sectPr w:rsidR="00C63DB0" w:rsidSect="00832CEE">
      <w:pgSz w:w="9072" w:h="13608" w:code="9"/>
      <w:pgMar w:top="1134" w:right="1134" w:bottom="1134" w:left="1134" w:header="851"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F7332"/>
    <w:multiLevelType w:val="hybridMultilevel"/>
    <w:tmpl w:val="23CE0DD8"/>
    <w:lvl w:ilvl="0" w:tplc="40D0D00E">
      <w:start w:val="3"/>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406902"/>
    <w:multiLevelType w:val="hybridMultilevel"/>
    <w:tmpl w:val="79786838"/>
    <w:lvl w:ilvl="0" w:tplc="C5A4C8B8">
      <w:start w:val="1"/>
      <w:numFmt w:val="bullet"/>
      <w:lvlText w:val=""/>
      <w:lvlJc w:val="left"/>
      <w:pPr>
        <w:tabs>
          <w:tab w:val="num" w:pos="360"/>
        </w:tabs>
        <w:ind w:left="0" w:firstLine="360"/>
      </w:pPr>
      <w:rPr>
        <w:rFonts w:ascii="Symbol" w:hAnsi="Symbol" w:hint="default"/>
        <w:b/>
        <w:bCs w:val="0"/>
        <w:sz w:val="28"/>
        <w:szCs w:val="28"/>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
    <w:nsid w:val="42B43B4F"/>
    <w:multiLevelType w:val="multilevel"/>
    <w:tmpl w:val="A28A30FC"/>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59902C09"/>
    <w:multiLevelType w:val="hybridMultilevel"/>
    <w:tmpl w:val="F29287CA"/>
    <w:lvl w:ilvl="0" w:tplc="7F069322">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F7A7759"/>
    <w:multiLevelType w:val="hybridMultilevel"/>
    <w:tmpl w:val="B0AAD506"/>
    <w:lvl w:ilvl="0" w:tplc="DD08100A">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EE"/>
    <w:rsid w:val="001803C0"/>
    <w:rsid w:val="00832CEE"/>
    <w:rsid w:val="00C63D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938BC-E9D9-4C4D-8466-B3CE73BA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D7B86F-616A-4590-A22B-3392C418A195}" type="doc">
      <dgm:prSet loTypeId="urn:microsoft.com/office/officeart/2009/3/layout/RandomtoResultProcess" loCatId="process" qsTypeId="urn:microsoft.com/office/officeart/2005/8/quickstyle/simple1" qsCatId="simple" csTypeId="urn:microsoft.com/office/officeart/2005/8/colors/colorful1" csCatId="colorful" phldr="1"/>
      <dgm:spPr/>
      <dgm:t>
        <a:bodyPr/>
        <a:lstStyle/>
        <a:p>
          <a:endParaRPr lang="fr-FR"/>
        </a:p>
      </dgm:t>
    </dgm:pt>
    <dgm:pt modelId="{BF7BA8E8-860A-4F34-B610-CC6D461DEA81}">
      <dgm:prSet phldrT="[Texte]"/>
      <dgm:spPr>
        <a:xfrm>
          <a:off x="634670" y="623644"/>
          <a:ext cx="1748475" cy="576202"/>
        </a:xfrm>
        <a:noFill/>
        <a:ln>
          <a:noFill/>
        </a:ln>
        <a:effectLst/>
      </dgm:spPr>
      <dgm:t>
        <a:bodyPr/>
        <a:lstStyle/>
        <a:p>
          <a:pPr algn="ctr"/>
          <a:r>
            <a:rPr lang="ar-DZ">
              <a:solidFill>
                <a:sysClr val="windowText" lastClr="000000">
                  <a:hueOff val="0"/>
                  <a:satOff val="0"/>
                  <a:lumOff val="0"/>
                  <a:alphaOff val="0"/>
                </a:sysClr>
              </a:solidFill>
              <a:latin typeface="Calibri" panose="020F0502020204030204"/>
              <a:ea typeface="+mn-ea"/>
              <a:cs typeface="Arial" panose="020B0604020202020204" pitchFamily="34" charset="0"/>
            </a:rPr>
            <a:t>الأفراد</a:t>
          </a:r>
          <a:endParaRPr lang="fr-FR">
            <a:solidFill>
              <a:sysClr val="windowText" lastClr="000000">
                <a:hueOff val="0"/>
                <a:satOff val="0"/>
                <a:lumOff val="0"/>
                <a:alphaOff val="0"/>
              </a:sysClr>
            </a:solidFill>
            <a:latin typeface="Calibri" panose="020F0502020204030204"/>
            <a:ea typeface="+mn-ea"/>
            <a:cs typeface="+mn-cs"/>
          </a:endParaRPr>
        </a:p>
      </dgm:t>
    </dgm:pt>
    <dgm:pt modelId="{DEC94080-C684-4EDC-8D96-B844B34B501C}" type="parTrans" cxnId="{050E6DA8-D81A-41BA-8532-A975A13B411C}">
      <dgm:prSet/>
      <dgm:spPr/>
      <dgm:t>
        <a:bodyPr/>
        <a:lstStyle/>
        <a:p>
          <a:pPr algn="ctr"/>
          <a:endParaRPr lang="fr-FR"/>
        </a:p>
      </dgm:t>
    </dgm:pt>
    <dgm:pt modelId="{279A7DDE-0E42-4CD7-85F4-49B4FB82F673}" type="sibTrans" cxnId="{050E6DA8-D81A-41BA-8532-A975A13B411C}">
      <dgm:prSet/>
      <dgm:spPr/>
      <dgm:t>
        <a:bodyPr/>
        <a:lstStyle/>
        <a:p>
          <a:pPr algn="ctr"/>
          <a:endParaRPr lang="fr-FR"/>
        </a:p>
      </dgm:t>
    </dgm:pt>
    <dgm:pt modelId="{F0AA050F-60FE-437A-92EC-62BE59CCABE5}">
      <dgm:prSet phldrT="[Texte]">
        <dgm:style>
          <a:lnRef idx="2">
            <a:schemeClr val="accent2"/>
          </a:lnRef>
          <a:fillRef idx="1">
            <a:schemeClr val="lt1"/>
          </a:fillRef>
          <a:effectRef idx="0">
            <a:schemeClr val="accent2"/>
          </a:effectRef>
          <a:fontRef idx="minor">
            <a:schemeClr val="dk1"/>
          </a:fontRef>
        </dgm:style>
      </dgm:prSet>
      <dgm:spPr>
        <a:xfrm>
          <a:off x="2345300" y="38056"/>
          <a:ext cx="1286510" cy="393183"/>
        </a:xfrm>
        <a:solidFill>
          <a:sysClr val="window" lastClr="FFFFFF"/>
        </a:solidFill>
        <a:ln w="12700" cap="flat" cmpd="sng" algn="ctr">
          <a:solidFill>
            <a:srgbClr val="ED7D31"/>
          </a:solidFill>
          <a:prstDash val="solid"/>
          <a:miter lim="800000"/>
        </a:ln>
        <a:effectLst/>
      </dgm:spPr>
      <dgm:t>
        <a:bodyPr/>
        <a:lstStyle/>
        <a:p>
          <a:pPr algn="ctr"/>
          <a:r>
            <a:rPr lang="ar-DZ">
              <a:solidFill>
                <a:sysClr val="windowText" lastClr="000000">
                  <a:hueOff val="0"/>
                  <a:satOff val="0"/>
                  <a:lumOff val="0"/>
                  <a:alphaOff val="0"/>
                </a:sysClr>
              </a:solidFill>
              <a:latin typeface="Calibri" panose="020F0502020204030204"/>
              <a:ea typeface="+mn-ea"/>
              <a:cs typeface="Arial" panose="020B0604020202020204" pitchFamily="34" charset="0"/>
            </a:rPr>
            <a:t>التوجيه المهني</a:t>
          </a:r>
          <a:endParaRPr lang="fr-FR">
            <a:solidFill>
              <a:sysClr val="windowText" lastClr="000000">
                <a:hueOff val="0"/>
                <a:satOff val="0"/>
                <a:lumOff val="0"/>
                <a:alphaOff val="0"/>
              </a:sysClr>
            </a:solidFill>
            <a:latin typeface="Calibri" panose="020F0502020204030204"/>
            <a:ea typeface="+mn-ea"/>
            <a:cs typeface="+mn-cs"/>
          </a:endParaRPr>
        </a:p>
      </dgm:t>
    </dgm:pt>
    <dgm:pt modelId="{F8078E00-7DC8-4F26-858D-CBA2A575181D}" type="parTrans" cxnId="{CAA307D7-7461-4754-8B17-3156DFC6ADC5}">
      <dgm:prSet/>
      <dgm:spPr/>
      <dgm:t>
        <a:bodyPr/>
        <a:lstStyle/>
        <a:p>
          <a:pPr algn="ctr"/>
          <a:endParaRPr lang="fr-FR"/>
        </a:p>
      </dgm:t>
    </dgm:pt>
    <dgm:pt modelId="{3DE510DC-8BDC-4726-B5C5-D6E568997CCD}" type="sibTrans" cxnId="{CAA307D7-7461-4754-8B17-3156DFC6ADC5}">
      <dgm:prSet/>
      <dgm:spPr/>
      <dgm:t>
        <a:bodyPr/>
        <a:lstStyle/>
        <a:p>
          <a:pPr algn="ctr"/>
          <a:endParaRPr lang="fr-FR"/>
        </a:p>
      </dgm:t>
    </dgm:pt>
    <dgm:pt modelId="{1410BB80-A7B6-4754-9137-61AF2996A535}">
      <dgm:prSet phldrT="[Texte]"/>
      <dgm:spPr>
        <a:xfrm>
          <a:off x="3408301" y="205368"/>
          <a:ext cx="1487989" cy="148798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ar-DZ">
              <a:solidFill>
                <a:sysClr val="window" lastClr="FFFFFF"/>
              </a:solidFill>
              <a:latin typeface="Calibri" panose="020F0502020204030204"/>
              <a:ea typeface="+mn-ea"/>
              <a:cs typeface="Arial" panose="020B0604020202020204" pitchFamily="34" charset="0"/>
            </a:rPr>
            <a:t>المهنة</a:t>
          </a:r>
          <a:endParaRPr lang="fr-FR">
            <a:solidFill>
              <a:sysClr val="window" lastClr="FFFFFF"/>
            </a:solidFill>
            <a:latin typeface="Calibri" panose="020F0502020204030204"/>
            <a:ea typeface="+mn-ea"/>
            <a:cs typeface="+mn-cs"/>
          </a:endParaRPr>
        </a:p>
      </dgm:t>
    </dgm:pt>
    <dgm:pt modelId="{BB5F6693-2DB4-4918-B147-37E9BD887DBD}" type="parTrans" cxnId="{2FA49DC7-05C5-42AC-9337-3B41EDB1498D}">
      <dgm:prSet/>
      <dgm:spPr/>
      <dgm:t>
        <a:bodyPr/>
        <a:lstStyle/>
        <a:p>
          <a:pPr algn="ctr"/>
          <a:endParaRPr lang="fr-FR"/>
        </a:p>
      </dgm:t>
    </dgm:pt>
    <dgm:pt modelId="{DF67CF42-4AC9-4F78-8B01-A652E0AFC757}" type="sibTrans" cxnId="{2FA49DC7-05C5-42AC-9337-3B41EDB1498D}">
      <dgm:prSet/>
      <dgm:spPr/>
      <dgm:t>
        <a:bodyPr/>
        <a:lstStyle/>
        <a:p>
          <a:pPr algn="ctr"/>
          <a:endParaRPr lang="fr-FR"/>
        </a:p>
      </dgm:t>
    </dgm:pt>
    <dgm:pt modelId="{FEF8CBE4-DD37-4BFB-A142-1018F5FCD443}">
      <dgm:prSet phldrT="[Texte]">
        <dgm:style>
          <a:lnRef idx="2">
            <a:schemeClr val="accent3"/>
          </a:lnRef>
          <a:fillRef idx="1">
            <a:schemeClr val="lt1"/>
          </a:fillRef>
          <a:effectRef idx="0">
            <a:schemeClr val="accent3"/>
          </a:effectRef>
          <a:fontRef idx="minor">
            <a:schemeClr val="dk1"/>
          </a:fontRef>
        </dgm:style>
      </dgm:prSet>
      <dgm:spPr>
        <a:xfrm>
          <a:off x="2324616" y="1706743"/>
          <a:ext cx="1293798" cy="370459"/>
        </a:xfrm>
        <a:solidFill>
          <a:sysClr val="window" lastClr="FFFFFF"/>
        </a:solidFill>
        <a:ln w="12700" cap="flat" cmpd="sng" algn="ctr">
          <a:solidFill>
            <a:srgbClr val="A5A5A5"/>
          </a:solidFill>
          <a:prstDash val="solid"/>
          <a:miter lim="800000"/>
        </a:ln>
        <a:effectLst/>
      </dgm:spPr>
      <dgm:t>
        <a:bodyPr/>
        <a:lstStyle/>
        <a:p>
          <a:pPr algn="ctr"/>
          <a:r>
            <a:rPr lang="ar-DZ">
              <a:solidFill>
                <a:sysClr val="windowText" lastClr="000000">
                  <a:hueOff val="0"/>
                  <a:satOff val="0"/>
                  <a:lumOff val="0"/>
                  <a:alphaOff val="0"/>
                </a:sysClr>
              </a:solidFill>
              <a:latin typeface="Calibri" panose="020F0502020204030204"/>
              <a:ea typeface="+mn-ea"/>
              <a:cs typeface="Arial" panose="020B0604020202020204" pitchFamily="34" charset="0"/>
            </a:rPr>
            <a:t>الاختيار المهني</a:t>
          </a:r>
          <a:endParaRPr lang="fr-FR">
            <a:solidFill>
              <a:sysClr val="windowText" lastClr="000000">
                <a:hueOff val="0"/>
                <a:satOff val="0"/>
                <a:lumOff val="0"/>
                <a:alphaOff val="0"/>
              </a:sysClr>
            </a:solidFill>
            <a:latin typeface="Calibri" panose="020F0502020204030204"/>
            <a:ea typeface="+mn-ea"/>
            <a:cs typeface="+mn-cs"/>
          </a:endParaRPr>
        </a:p>
      </dgm:t>
    </dgm:pt>
    <dgm:pt modelId="{2A2111CB-6977-4651-B917-5DB50871DB6A}" type="sibTrans" cxnId="{05C49654-335D-4314-A2D7-7E624E80D447}">
      <dgm:prSet/>
      <dgm:spPr/>
      <dgm:t>
        <a:bodyPr/>
        <a:lstStyle/>
        <a:p>
          <a:pPr algn="ctr"/>
          <a:endParaRPr lang="fr-FR"/>
        </a:p>
      </dgm:t>
    </dgm:pt>
    <dgm:pt modelId="{D65C1F21-C50C-4013-8C3F-B38656D99720}" type="parTrans" cxnId="{05C49654-335D-4314-A2D7-7E624E80D447}">
      <dgm:prSet/>
      <dgm:spPr/>
      <dgm:t>
        <a:bodyPr/>
        <a:lstStyle/>
        <a:p>
          <a:pPr algn="ctr"/>
          <a:endParaRPr lang="fr-FR"/>
        </a:p>
      </dgm:t>
    </dgm:pt>
    <dgm:pt modelId="{A6351B63-50F3-4B54-9142-D1DE9B9ACA14}" type="pres">
      <dgm:prSet presAssocID="{F1D7B86F-616A-4590-A22B-3392C418A195}" presName="Name0" presStyleCnt="0">
        <dgm:presLayoutVars>
          <dgm:dir/>
          <dgm:animOne val="branch"/>
          <dgm:animLvl val="lvl"/>
        </dgm:presLayoutVars>
      </dgm:prSet>
      <dgm:spPr/>
      <dgm:t>
        <a:bodyPr/>
        <a:lstStyle/>
        <a:p>
          <a:endParaRPr lang="fr-FR"/>
        </a:p>
      </dgm:t>
    </dgm:pt>
    <dgm:pt modelId="{428D9EF3-EB95-4114-B48A-B419D93FB6D1}" type="pres">
      <dgm:prSet presAssocID="{BF7BA8E8-860A-4F34-B610-CC6D461DEA81}" presName="chaos" presStyleCnt="0"/>
      <dgm:spPr/>
    </dgm:pt>
    <dgm:pt modelId="{FE6EC126-17CF-42C2-BF4E-52ABF9BE0E3A}" type="pres">
      <dgm:prSet presAssocID="{BF7BA8E8-860A-4F34-B610-CC6D461DEA81}" presName="parTx1" presStyleLbl="revTx" presStyleIdx="0" presStyleCnt="3"/>
      <dgm:spPr>
        <a:prstGeom prst="rect">
          <a:avLst/>
        </a:prstGeom>
      </dgm:spPr>
      <dgm:t>
        <a:bodyPr/>
        <a:lstStyle/>
        <a:p>
          <a:endParaRPr lang="fr-FR"/>
        </a:p>
      </dgm:t>
    </dgm:pt>
    <dgm:pt modelId="{7A2366F9-786F-4E2E-9408-6A0004789BF9}" type="pres">
      <dgm:prSet presAssocID="{BF7BA8E8-860A-4F34-B610-CC6D461DEA81}" presName="desTx1" presStyleLbl="revTx" presStyleIdx="1" presStyleCnt="3" custScaleX="73579" custScaleY="36422" custLinFactY="-98585" custLinFactNeighborX="84625" custLinFactNeighborY="-100000">
        <dgm:presLayoutVars>
          <dgm:bulletEnabled val="1"/>
        </dgm:presLayoutVars>
      </dgm:prSet>
      <dgm:spPr>
        <a:prstGeom prst="rect">
          <a:avLst/>
        </a:prstGeom>
      </dgm:spPr>
      <dgm:t>
        <a:bodyPr/>
        <a:lstStyle/>
        <a:p>
          <a:endParaRPr lang="fr-FR"/>
        </a:p>
      </dgm:t>
    </dgm:pt>
    <dgm:pt modelId="{F26738E5-56A4-4D90-B1F5-A5EFF3B79DD4}" type="pres">
      <dgm:prSet presAssocID="{BF7BA8E8-860A-4F34-B610-CC6D461DEA81}" presName="c1" presStyleLbl="node1" presStyleIdx="0" presStyleCnt="19"/>
      <dgm:spPr>
        <a:xfrm>
          <a:off x="632683" y="448399"/>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1F405F64-5A6C-4E3F-8FA1-C096BF9420E4}" type="pres">
      <dgm:prSet presAssocID="{BF7BA8E8-860A-4F34-B610-CC6D461DEA81}" presName="c2" presStyleLbl="node1" presStyleIdx="1" presStyleCnt="19"/>
      <dgm:spPr>
        <a:xfrm>
          <a:off x="730042" y="253682"/>
          <a:ext cx="139083" cy="13908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3937167F-C959-4E30-880E-CD552ECB7E90}" type="pres">
      <dgm:prSet presAssocID="{BF7BA8E8-860A-4F34-B610-CC6D461DEA81}" presName="c3" presStyleLbl="node1" presStyleIdx="2" presStyleCnt="19"/>
      <dgm:spPr>
        <a:xfrm>
          <a:off x="963702" y="292626"/>
          <a:ext cx="218559" cy="218559"/>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A71CC154-3FD9-4AFE-8431-23A6ED21CD96}" type="pres">
      <dgm:prSet presAssocID="{BF7BA8E8-860A-4F34-B610-CC6D461DEA81}" presName="c4" presStyleLbl="node1" presStyleIdx="3" presStyleCnt="19"/>
      <dgm:spPr>
        <a:xfrm>
          <a:off x="1158418" y="78437"/>
          <a:ext cx="139083" cy="13908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648A8CA8-C309-4280-B623-37D503FB8BD1}" type="pres">
      <dgm:prSet presAssocID="{BF7BA8E8-860A-4F34-B610-CC6D461DEA81}" presName="c5" presStyleLbl="node1" presStyleIdx="4" presStyleCnt="19"/>
      <dgm:spPr>
        <a:xfrm>
          <a:off x="1411550" y="551"/>
          <a:ext cx="139083" cy="139083"/>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6681BF09-1181-4AD3-A449-774124ED749E}" type="pres">
      <dgm:prSet presAssocID="{BF7BA8E8-860A-4F34-B610-CC6D461DEA81}" presName="c6" presStyleLbl="node1" presStyleIdx="5" presStyleCnt="19"/>
      <dgm:spPr>
        <a:xfrm>
          <a:off x="1723096" y="136852"/>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2C6FF06E-CEB3-469E-84C3-35B75BF44878}" type="pres">
      <dgm:prSet presAssocID="{BF7BA8E8-860A-4F34-B610-CC6D461DEA81}" presName="c7" presStyleLbl="node1" presStyleIdx="6" presStyleCnt="19"/>
      <dgm:spPr>
        <a:xfrm>
          <a:off x="1917813" y="234211"/>
          <a:ext cx="218559" cy="218559"/>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4B4CA5FB-DBE7-43E2-B338-07C0377DDD26}" type="pres">
      <dgm:prSet presAssocID="{BF7BA8E8-860A-4F34-B610-CC6D461DEA81}" presName="c8" presStyleLbl="node1" presStyleIdx="7" presStyleCnt="19"/>
      <dgm:spPr>
        <a:xfrm>
          <a:off x="2190416" y="448399"/>
          <a:ext cx="139083" cy="139083"/>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7F40AF75-A6D6-4A5A-9EE7-2378ECF96511}" type="pres">
      <dgm:prSet presAssocID="{BF7BA8E8-860A-4F34-B610-CC6D461DEA81}" presName="c9" presStyleLbl="node1" presStyleIdx="8" presStyleCnt="19"/>
      <dgm:spPr>
        <a:xfrm>
          <a:off x="2307246" y="662587"/>
          <a:ext cx="139083" cy="13908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99BBA625-6F70-4219-A3B9-3F907A9823C7}" type="pres">
      <dgm:prSet presAssocID="{BF7BA8E8-860A-4F34-B610-CC6D461DEA81}" presName="c10" presStyleLbl="node1" presStyleIdx="9" presStyleCnt="19"/>
      <dgm:spPr>
        <a:xfrm>
          <a:off x="1294720" y="253682"/>
          <a:ext cx="357642" cy="357642"/>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4CE01D4B-8AB9-4575-BD0A-33477C6E864F}" type="pres">
      <dgm:prSet presAssocID="{BF7BA8E8-860A-4F34-B610-CC6D461DEA81}" presName="c11" presStyleLbl="node1" presStyleIdx="10" presStyleCnt="19"/>
      <dgm:spPr>
        <a:xfrm>
          <a:off x="535325" y="993605"/>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CB152952-4646-427E-8E2B-7D33F61FF844}" type="pres">
      <dgm:prSet presAssocID="{BF7BA8E8-860A-4F34-B610-CC6D461DEA81}" presName="c12" presStyleLbl="node1" presStyleIdx="11" presStyleCnt="19"/>
      <dgm:spPr>
        <a:xfrm>
          <a:off x="652155" y="1168850"/>
          <a:ext cx="218559" cy="218559"/>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4EE49F0E-EBE5-48EB-BB51-7B8EC0CA00DB}" type="pres">
      <dgm:prSet presAssocID="{BF7BA8E8-860A-4F34-B610-CC6D461DEA81}" presName="c13" presStyleLbl="node1" presStyleIdx="12" presStyleCnt="19"/>
      <dgm:spPr>
        <a:xfrm>
          <a:off x="944230" y="1324623"/>
          <a:ext cx="317904" cy="31790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E6E52ADD-C280-44CA-A6F5-BD9BD0DE8BFA}" type="pres">
      <dgm:prSet presAssocID="{BF7BA8E8-860A-4F34-B610-CC6D461DEA81}" presName="c14" presStyleLbl="node1" presStyleIdx="13" presStyleCnt="19"/>
      <dgm:spPr>
        <a:xfrm>
          <a:off x="1353135" y="1577755"/>
          <a:ext cx="139083" cy="13908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B66F3D12-6B05-48BD-81ED-A525E5DA046C}" type="pres">
      <dgm:prSet presAssocID="{BF7BA8E8-860A-4F34-B610-CC6D461DEA81}" presName="c15" presStyleLbl="node1" presStyleIdx="14" presStyleCnt="19"/>
      <dgm:spPr>
        <a:xfrm>
          <a:off x="1431021" y="1324623"/>
          <a:ext cx="218559" cy="218559"/>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9EF25E2F-67BF-49CB-BEC7-7950DBA2EBF5}" type="pres">
      <dgm:prSet presAssocID="{BF7BA8E8-860A-4F34-B610-CC6D461DEA81}" presName="c16" presStyleLbl="node1" presStyleIdx="15" presStyleCnt="19"/>
      <dgm:spPr>
        <a:xfrm>
          <a:off x="1625738" y="1597227"/>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E63FE2FA-8DCD-4846-B5F6-A873D669EF19}" type="pres">
      <dgm:prSet presAssocID="{BF7BA8E8-860A-4F34-B610-CC6D461DEA81}" presName="c17" presStyleLbl="node1" presStyleIdx="16" presStyleCnt="19"/>
      <dgm:spPr>
        <a:xfrm>
          <a:off x="1800983" y="1285680"/>
          <a:ext cx="317904" cy="31790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4AF0F127-F799-4F60-AEF0-FCD675E2AF19}" type="pres">
      <dgm:prSet presAssocID="{BF7BA8E8-860A-4F34-B610-CC6D461DEA81}" presName="c18" presStyleLbl="node1" presStyleIdx="17" presStyleCnt="19"/>
      <dgm:spPr>
        <a:xfrm>
          <a:off x="2229359" y="1207793"/>
          <a:ext cx="218559" cy="218559"/>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r-FR"/>
        </a:p>
      </dgm:t>
    </dgm:pt>
    <dgm:pt modelId="{057E05FC-8AFD-4C51-A3EE-8AEC58F18B1D}" type="pres">
      <dgm:prSet presAssocID="{279A7DDE-0E42-4CD7-85F4-49B4FB82F673}" presName="chevronComposite1" presStyleCnt="0"/>
      <dgm:spPr/>
    </dgm:pt>
    <dgm:pt modelId="{C8B5F143-084E-49D0-A8F7-A49B3C4E5FBA}" type="pres">
      <dgm:prSet presAssocID="{279A7DDE-0E42-4CD7-85F4-49B4FB82F673}" presName="chevron1" presStyleLbl="sibTrans2D1" presStyleIdx="0" presStyleCnt="2" custScaleX="55977" custScaleY="39908" custLinFactNeighborX="75206" custLinFactNeighborY="-9805"/>
      <dgm:spPr>
        <a:xfrm>
          <a:off x="3071936" y="540338"/>
          <a:ext cx="359303" cy="489038"/>
        </a:xfrm>
        <a:prstGeom prst="chevron">
          <a:avLst>
            <a:gd name="adj" fmla="val 62310"/>
          </a:avLst>
        </a:prstGeom>
        <a:solidFill>
          <a:srgbClr val="FF0000"/>
        </a:solidFill>
        <a:ln>
          <a:noFill/>
        </a:ln>
        <a:effectLst/>
      </dgm:spPr>
      <dgm:t>
        <a:bodyPr/>
        <a:lstStyle/>
        <a:p>
          <a:endParaRPr lang="fr-FR"/>
        </a:p>
      </dgm:t>
    </dgm:pt>
    <dgm:pt modelId="{68FD8815-9CAE-4249-B1EB-D498BA3342B6}" type="pres">
      <dgm:prSet presAssocID="{279A7DDE-0E42-4CD7-85F4-49B4FB82F673}" presName="spChevron1" presStyleCnt="0"/>
      <dgm:spPr/>
    </dgm:pt>
    <dgm:pt modelId="{6DC21B83-0C9A-45A6-B819-35F015E37414}" type="pres">
      <dgm:prSet presAssocID="{279A7DDE-0E42-4CD7-85F4-49B4FB82F673}" presName="overlap" presStyleCnt="0"/>
      <dgm:spPr/>
    </dgm:pt>
    <dgm:pt modelId="{1BC5722D-64BC-4D1B-931B-EBB40446BC88}" type="pres">
      <dgm:prSet presAssocID="{279A7DDE-0E42-4CD7-85F4-49B4FB82F673}" presName="chevronComposite2" presStyleCnt="0"/>
      <dgm:spPr/>
    </dgm:pt>
    <dgm:pt modelId="{F9A5D956-5677-46A5-AD53-493835D78704}" type="pres">
      <dgm:prSet presAssocID="{279A7DDE-0E42-4CD7-85F4-49B4FB82F673}" presName="chevron2" presStyleLbl="sibTrans2D1" presStyleIdx="1" presStyleCnt="2" custAng="10800000" custScaleX="57810" custScaleY="38776" custLinFactNeighborX="-70112" custLinFactNeighborY="34811"/>
      <dgm:spPr>
        <a:xfrm rot="10800000">
          <a:off x="2517175" y="1094005"/>
          <a:ext cx="371069" cy="475166"/>
        </a:xfrm>
        <a:prstGeom prst="chevron">
          <a:avLst>
            <a:gd name="adj" fmla="val 62310"/>
          </a:avLst>
        </a:prstGeom>
        <a:solidFill>
          <a:srgbClr val="A5A5A5">
            <a:hueOff val="0"/>
            <a:satOff val="0"/>
            <a:lumOff val="0"/>
            <a:alphaOff val="0"/>
          </a:srgbClr>
        </a:solidFill>
        <a:ln>
          <a:noFill/>
        </a:ln>
        <a:effectLst/>
      </dgm:spPr>
      <dgm:t>
        <a:bodyPr/>
        <a:lstStyle/>
        <a:p>
          <a:endParaRPr lang="fr-FR"/>
        </a:p>
      </dgm:t>
    </dgm:pt>
    <dgm:pt modelId="{6E14235D-9A65-41B1-A791-4CF1177BEF8D}" type="pres">
      <dgm:prSet presAssocID="{279A7DDE-0E42-4CD7-85F4-49B4FB82F673}" presName="spChevron2" presStyleCnt="0"/>
      <dgm:spPr/>
    </dgm:pt>
    <dgm:pt modelId="{299FED6D-7959-4C00-A184-0A7709A605A1}" type="pres">
      <dgm:prSet presAssocID="{1410BB80-A7B6-4754-9137-61AF2996A535}" presName="last" presStyleCnt="0"/>
      <dgm:spPr/>
    </dgm:pt>
    <dgm:pt modelId="{CBBAFA47-78CE-420B-A795-E16E2783FCF5}" type="pres">
      <dgm:prSet presAssocID="{1410BB80-A7B6-4754-9137-61AF2996A535}" presName="circleTx" presStyleLbl="node1" presStyleIdx="18" presStyleCnt="19"/>
      <dgm:spPr>
        <a:prstGeom prst="ellipse">
          <a:avLst/>
        </a:prstGeom>
      </dgm:spPr>
      <dgm:t>
        <a:bodyPr/>
        <a:lstStyle/>
        <a:p>
          <a:endParaRPr lang="fr-FR"/>
        </a:p>
      </dgm:t>
    </dgm:pt>
    <dgm:pt modelId="{E47E6ADD-0AF7-4C25-843E-FEA8EFA32C64}" type="pres">
      <dgm:prSet presAssocID="{1410BB80-A7B6-4754-9137-61AF2996A535}" presName="desTxN" presStyleLbl="revTx" presStyleIdx="2" presStyleCnt="3" custScaleX="73907" custScaleY="34317" custLinFactNeighborX="-67451" custLinFactNeighborY="-45061">
        <dgm:presLayoutVars>
          <dgm:bulletEnabled val="1"/>
        </dgm:presLayoutVars>
      </dgm:prSet>
      <dgm:spPr>
        <a:prstGeom prst="rect">
          <a:avLst/>
        </a:prstGeom>
      </dgm:spPr>
      <dgm:t>
        <a:bodyPr/>
        <a:lstStyle/>
        <a:p>
          <a:endParaRPr lang="fr-FR"/>
        </a:p>
      </dgm:t>
    </dgm:pt>
    <dgm:pt modelId="{07554EB9-AD8E-441C-BEAB-896F4E880AFB}" type="pres">
      <dgm:prSet presAssocID="{1410BB80-A7B6-4754-9137-61AF2996A535}" presName="spN" presStyleCnt="0"/>
      <dgm:spPr/>
    </dgm:pt>
  </dgm:ptLst>
  <dgm:cxnLst>
    <dgm:cxn modelId="{8CA9EF69-680C-4545-8D37-44F2DC638267}" type="presOf" srcId="{BF7BA8E8-860A-4F34-B610-CC6D461DEA81}" destId="{FE6EC126-17CF-42C2-BF4E-52ABF9BE0E3A}" srcOrd="0" destOrd="0" presId="urn:microsoft.com/office/officeart/2009/3/layout/RandomtoResultProcess"/>
    <dgm:cxn modelId="{050E6DA8-D81A-41BA-8532-A975A13B411C}" srcId="{F1D7B86F-616A-4590-A22B-3392C418A195}" destId="{BF7BA8E8-860A-4F34-B610-CC6D461DEA81}" srcOrd="0" destOrd="0" parTransId="{DEC94080-C684-4EDC-8D96-B844B34B501C}" sibTransId="{279A7DDE-0E42-4CD7-85F4-49B4FB82F673}"/>
    <dgm:cxn modelId="{CAA307D7-7461-4754-8B17-3156DFC6ADC5}" srcId="{BF7BA8E8-860A-4F34-B610-CC6D461DEA81}" destId="{F0AA050F-60FE-437A-92EC-62BE59CCABE5}" srcOrd="0" destOrd="0" parTransId="{F8078E00-7DC8-4F26-858D-CBA2A575181D}" sibTransId="{3DE510DC-8BDC-4726-B5C5-D6E568997CCD}"/>
    <dgm:cxn modelId="{0419C11D-57B1-4EFF-8D01-26D4210CAA8B}" type="presOf" srcId="{F1D7B86F-616A-4590-A22B-3392C418A195}" destId="{A6351B63-50F3-4B54-9142-D1DE9B9ACA14}" srcOrd="0" destOrd="0" presId="urn:microsoft.com/office/officeart/2009/3/layout/RandomtoResultProcess"/>
    <dgm:cxn modelId="{05C49654-335D-4314-A2D7-7E624E80D447}" srcId="{1410BB80-A7B6-4754-9137-61AF2996A535}" destId="{FEF8CBE4-DD37-4BFB-A142-1018F5FCD443}" srcOrd="0" destOrd="0" parTransId="{D65C1F21-C50C-4013-8C3F-B38656D99720}" sibTransId="{2A2111CB-6977-4651-B917-5DB50871DB6A}"/>
    <dgm:cxn modelId="{ABA7B383-53E3-446F-BAD4-3DDC94C0E2C1}" type="presOf" srcId="{FEF8CBE4-DD37-4BFB-A142-1018F5FCD443}" destId="{E47E6ADD-0AF7-4C25-843E-FEA8EFA32C64}" srcOrd="0" destOrd="0" presId="urn:microsoft.com/office/officeart/2009/3/layout/RandomtoResultProcess"/>
    <dgm:cxn modelId="{C91094C0-1654-43E7-A422-0795841A1451}" type="presOf" srcId="{1410BB80-A7B6-4754-9137-61AF2996A535}" destId="{CBBAFA47-78CE-420B-A795-E16E2783FCF5}" srcOrd="0" destOrd="0" presId="urn:microsoft.com/office/officeart/2009/3/layout/RandomtoResultProcess"/>
    <dgm:cxn modelId="{7C3F8D41-CD11-47FB-BCF9-C2E68550CE00}" type="presOf" srcId="{F0AA050F-60FE-437A-92EC-62BE59CCABE5}" destId="{7A2366F9-786F-4E2E-9408-6A0004789BF9}" srcOrd="0" destOrd="0" presId="urn:microsoft.com/office/officeart/2009/3/layout/RandomtoResultProcess"/>
    <dgm:cxn modelId="{2FA49DC7-05C5-42AC-9337-3B41EDB1498D}" srcId="{F1D7B86F-616A-4590-A22B-3392C418A195}" destId="{1410BB80-A7B6-4754-9137-61AF2996A535}" srcOrd="1" destOrd="0" parTransId="{BB5F6693-2DB4-4918-B147-37E9BD887DBD}" sibTransId="{DF67CF42-4AC9-4F78-8B01-A652E0AFC757}"/>
    <dgm:cxn modelId="{BD36C830-E532-4340-BDFF-4BE58A94D0AB}" type="presParOf" srcId="{A6351B63-50F3-4B54-9142-D1DE9B9ACA14}" destId="{428D9EF3-EB95-4114-B48A-B419D93FB6D1}" srcOrd="0" destOrd="0" presId="urn:microsoft.com/office/officeart/2009/3/layout/RandomtoResultProcess"/>
    <dgm:cxn modelId="{58AA62E0-0C3D-4166-9510-C18D6879C1C5}" type="presParOf" srcId="{428D9EF3-EB95-4114-B48A-B419D93FB6D1}" destId="{FE6EC126-17CF-42C2-BF4E-52ABF9BE0E3A}" srcOrd="0" destOrd="0" presId="urn:microsoft.com/office/officeart/2009/3/layout/RandomtoResultProcess"/>
    <dgm:cxn modelId="{B80BE72D-C71B-4E61-A795-64943D0B0E23}" type="presParOf" srcId="{428D9EF3-EB95-4114-B48A-B419D93FB6D1}" destId="{7A2366F9-786F-4E2E-9408-6A0004789BF9}" srcOrd="1" destOrd="0" presId="urn:microsoft.com/office/officeart/2009/3/layout/RandomtoResultProcess"/>
    <dgm:cxn modelId="{35AE0635-7339-496A-9560-49BE4382C08A}" type="presParOf" srcId="{428D9EF3-EB95-4114-B48A-B419D93FB6D1}" destId="{F26738E5-56A4-4D90-B1F5-A5EFF3B79DD4}" srcOrd="2" destOrd="0" presId="urn:microsoft.com/office/officeart/2009/3/layout/RandomtoResultProcess"/>
    <dgm:cxn modelId="{8CA4928E-58EB-4A22-BC0E-EF5CBFE60EA7}" type="presParOf" srcId="{428D9EF3-EB95-4114-B48A-B419D93FB6D1}" destId="{1F405F64-5A6C-4E3F-8FA1-C096BF9420E4}" srcOrd="3" destOrd="0" presId="urn:microsoft.com/office/officeart/2009/3/layout/RandomtoResultProcess"/>
    <dgm:cxn modelId="{9A9BF932-716A-420B-8C39-D69788EE0B44}" type="presParOf" srcId="{428D9EF3-EB95-4114-B48A-B419D93FB6D1}" destId="{3937167F-C959-4E30-880E-CD552ECB7E90}" srcOrd="4" destOrd="0" presId="urn:microsoft.com/office/officeart/2009/3/layout/RandomtoResultProcess"/>
    <dgm:cxn modelId="{49190961-4618-4057-92F7-0999E5429280}" type="presParOf" srcId="{428D9EF3-EB95-4114-B48A-B419D93FB6D1}" destId="{A71CC154-3FD9-4AFE-8431-23A6ED21CD96}" srcOrd="5" destOrd="0" presId="urn:microsoft.com/office/officeart/2009/3/layout/RandomtoResultProcess"/>
    <dgm:cxn modelId="{7F1F285C-8EEA-4174-901E-698D94F876A4}" type="presParOf" srcId="{428D9EF3-EB95-4114-B48A-B419D93FB6D1}" destId="{648A8CA8-C309-4280-B623-37D503FB8BD1}" srcOrd="6" destOrd="0" presId="urn:microsoft.com/office/officeart/2009/3/layout/RandomtoResultProcess"/>
    <dgm:cxn modelId="{0B0A3532-114E-41CD-9C08-07F4FF3C7D5E}" type="presParOf" srcId="{428D9EF3-EB95-4114-B48A-B419D93FB6D1}" destId="{6681BF09-1181-4AD3-A449-774124ED749E}" srcOrd="7" destOrd="0" presId="urn:microsoft.com/office/officeart/2009/3/layout/RandomtoResultProcess"/>
    <dgm:cxn modelId="{E9D354D7-3048-4792-8B9A-1378544E0F8F}" type="presParOf" srcId="{428D9EF3-EB95-4114-B48A-B419D93FB6D1}" destId="{2C6FF06E-CEB3-469E-84C3-35B75BF44878}" srcOrd="8" destOrd="0" presId="urn:microsoft.com/office/officeart/2009/3/layout/RandomtoResultProcess"/>
    <dgm:cxn modelId="{F7C1FA73-EB7A-4B64-8550-CC7FE68E4DBE}" type="presParOf" srcId="{428D9EF3-EB95-4114-B48A-B419D93FB6D1}" destId="{4B4CA5FB-DBE7-43E2-B338-07C0377DDD26}" srcOrd="9" destOrd="0" presId="urn:microsoft.com/office/officeart/2009/3/layout/RandomtoResultProcess"/>
    <dgm:cxn modelId="{6C0A125F-A8A8-45B3-9BD2-A7B62B5F6821}" type="presParOf" srcId="{428D9EF3-EB95-4114-B48A-B419D93FB6D1}" destId="{7F40AF75-A6D6-4A5A-9EE7-2378ECF96511}" srcOrd="10" destOrd="0" presId="urn:microsoft.com/office/officeart/2009/3/layout/RandomtoResultProcess"/>
    <dgm:cxn modelId="{8F15FF9E-51FD-439F-B5D1-8F113702C69C}" type="presParOf" srcId="{428D9EF3-EB95-4114-B48A-B419D93FB6D1}" destId="{99BBA625-6F70-4219-A3B9-3F907A9823C7}" srcOrd="11" destOrd="0" presId="urn:microsoft.com/office/officeart/2009/3/layout/RandomtoResultProcess"/>
    <dgm:cxn modelId="{197B237E-6B2F-4FB8-8FC8-9E9F4FFBBFC2}" type="presParOf" srcId="{428D9EF3-EB95-4114-B48A-B419D93FB6D1}" destId="{4CE01D4B-8AB9-4575-BD0A-33477C6E864F}" srcOrd="12" destOrd="0" presId="urn:microsoft.com/office/officeart/2009/3/layout/RandomtoResultProcess"/>
    <dgm:cxn modelId="{54577CFA-868F-4974-8D93-C55F18796643}" type="presParOf" srcId="{428D9EF3-EB95-4114-B48A-B419D93FB6D1}" destId="{CB152952-4646-427E-8E2B-7D33F61FF844}" srcOrd="13" destOrd="0" presId="urn:microsoft.com/office/officeart/2009/3/layout/RandomtoResultProcess"/>
    <dgm:cxn modelId="{D6EC5D4B-CD69-4DEC-8DCC-8BDA2FF3B402}" type="presParOf" srcId="{428D9EF3-EB95-4114-B48A-B419D93FB6D1}" destId="{4EE49F0E-EBE5-48EB-BB51-7B8EC0CA00DB}" srcOrd="14" destOrd="0" presId="urn:microsoft.com/office/officeart/2009/3/layout/RandomtoResultProcess"/>
    <dgm:cxn modelId="{B611EE42-A51D-40B4-A9C6-4FFDB58F02E3}" type="presParOf" srcId="{428D9EF3-EB95-4114-B48A-B419D93FB6D1}" destId="{E6E52ADD-C280-44CA-A6F5-BD9BD0DE8BFA}" srcOrd="15" destOrd="0" presId="urn:microsoft.com/office/officeart/2009/3/layout/RandomtoResultProcess"/>
    <dgm:cxn modelId="{1A248B0B-80C5-4C2A-9E18-E689D7863A93}" type="presParOf" srcId="{428D9EF3-EB95-4114-B48A-B419D93FB6D1}" destId="{B66F3D12-6B05-48BD-81ED-A525E5DA046C}" srcOrd="16" destOrd="0" presId="urn:microsoft.com/office/officeart/2009/3/layout/RandomtoResultProcess"/>
    <dgm:cxn modelId="{B7B1D5A1-22AE-4D2C-B83A-6C7DD4412D32}" type="presParOf" srcId="{428D9EF3-EB95-4114-B48A-B419D93FB6D1}" destId="{9EF25E2F-67BF-49CB-BEC7-7950DBA2EBF5}" srcOrd="17" destOrd="0" presId="urn:microsoft.com/office/officeart/2009/3/layout/RandomtoResultProcess"/>
    <dgm:cxn modelId="{47631BB6-FFAF-4FD2-81AB-301E8517D053}" type="presParOf" srcId="{428D9EF3-EB95-4114-B48A-B419D93FB6D1}" destId="{E63FE2FA-8DCD-4846-B5F6-A873D669EF19}" srcOrd="18" destOrd="0" presId="urn:microsoft.com/office/officeart/2009/3/layout/RandomtoResultProcess"/>
    <dgm:cxn modelId="{079652C5-EFDD-4B87-8528-D45E8504EEB2}" type="presParOf" srcId="{428D9EF3-EB95-4114-B48A-B419D93FB6D1}" destId="{4AF0F127-F799-4F60-AEF0-FCD675E2AF19}" srcOrd="19" destOrd="0" presId="urn:microsoft.com/office/officeart/2009/3/layout/RandomtoResultProcess"/>
    <dgm:cxn modelId="{599783F2-1EA6-4D6E-B34A-9B606FE673F2}" type="presParOf" srcId="{A6351B63-50F3-4B54-9142-D1DE9B9ACA14}" destId="{057E05FC-8AFD-4C51-A3EE-8AEC58F18B1D}" srcOrd="1" destOrd="0" presId="urn:microsoft.com/office/officeart/2009/3/layout/RandomtoResultProcess"/>
    <dgm:cxn modelId="{63FA1B38-9DC2-4A96-B87B-5C71D40D6EE6}" type="presParOf" srcId="{057E05FC-8AFD-4C51-A3EE-8AEC58F18B1D}" destId="{C8B5F143-084E-49D0-A8F7-A49B3C4E5FBA}" srcOrd="0" destOrd="0" presId="urn:microsoft.com/office/officeart/2009/3/layout/RandomtoResultProcess"/>
    <dgm:cxn modelId="{E39000C6-8A4A-4A11-BEFF-CCFA81F86D23}" type="presParOf" srcId="{057E05FC-8AFD-4C51-A3EE-8AEC58F18B1D}" destId="{68FD8815-9CAE-4249-B1EB-D498BA3342B6}" srcOrd="1" destOrd="0" presId="urn:microsoft.com/office/officeart/2009/3/layout/RandomtoResultProcess"/>
    <dgm:cxn modelId="{F41FE2B1-074F-400E-A878-A42D02E87216}" type="presParOf" srcId="{A6351B63-50F3-4B54-9142-D1DE9B9ACA14}" destId="{6DC21B83-0C9A-45A6-B819-35F015E37414}" srcOrd="2" destOrd="0" presId="urn:microsoft.com/office/officeart/2009/3/layout/RandomtoResultProcess"/>
    <dgm:cxn modelId="{2FB09780-8178-4E4B-9FBC-2B1694F55B3B}" type="presParOf" srcId="{A6351B63-50F3-4B54-9142-D1DE9B9ACA14}" destId="{1BC5722D-64BC-4D1B-931B-EBB40446BC88}" srcOrd="3" destOrd="0" presId="urn:microsoft.com/office/officeart/2009/3/layout/RandomtoResultProcess"/>
    <dgm:cxn modelId="{9CAD1B70-45C9-4C42-BD81-B3B9737C8D43}" type="presParOf" srcId="{1BC5722D-64BC-4D1B-931B-EBB40446BC88}" destId="{F9A5D956-5677-46A5-AD53-493835D78704}" srcOrd="0" destOrd="0" presId="urn:microsoft.com/office/officeart/2009/3/layout/RandomtoResultProcess"/>
    <dgm:cxn modelId="{963E4EB1-8EE3-46DC-A56D-11BF750CA2D4}" type="presParOf" srcId="{1BC5722D-64BC-4D1B-931B-EBB40446BC88}" destId="{6E14235D-9A65-41B1-A791-4CF1177BEF8D}" srcOrd="1" destOrd="0" presId="urn:microsoft.com/office/officeart/2009/3/layout/RandomtoResultProcess"/>
    <dgm:cxn modelId="{2DD38625-6ECB-4332-A400-A56C4BD2BA56}" type="presParOf" srcId="{A6351B63-50F3-4B54-9142-D1DE9B9ACA14}" destId="{299FED6D-7959-4C00-A184-0A7709A605A1}" srcOrd="4" destOrd="0" presId="urn:microsoft.com/office/officeart/2009/3/layout/RandomtoResultProcess"/>
    <dgm:cxn modelId="{D7795191-16AB-4189-ACC8-3C3A5C59BF8E}" type="presParOf" srcId="{299FED6D-7959-4C00-A184-0A7709A605A1}" destId="{CBBAFA47-78CE-420B-A795-E16E2783FCF5}" srcOrd="0" destOrd="0" presId="urn:microsoft.com/office/officeart/2009/3/layout/RandomtoResultProcess"/>
    <dgm:cxn modelId="{14E6D733-96B5-4A61-8DFF-35E2153F1827}" type="presParOf" srcId="{299FED6D-7959-4C00-A184-0A7709A605A1}" destId="{E47E6ADD-0AF7-4C25-843E-FEA8EFA32C64}" srcOrd="1" destOrd="0" presId="urn:microsoft.com/office/officeart/2009/3/layout/RandomtoResultProcess"/>
    <dgm:cxn modelId="{40E2CBD7-26E0-4636-AC34-F1A6F80DF30C}" type="presParOf" srcId="{299FED6D-7959-4C00-A184-0A7709A605A1}" destId="{07554EB9-AD8E-441C-BEAB-896F4E880AFB}" srcOrd="2" destOrd="0" presId="urn:microsoft.com/office/officeart/2009/3/layout/RandomtoResultProcess"/>
  </dgm:cxnLst>
  <dgm:bg/>
  <dgm:whole>
    <a:ln w="28575">
      <a:solidFill>
        <a:schemeClr val="tx1">
          <a:lumMod val="95000"/>
          <a:lumOff val="5000"/>
        </a:schemeClr>
      </a:solid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6EC126-17CF-42C2-BF4E-52ABF9BE0E3A}">
      <dsp:nvSpPr>
        <dsp:cNvPr id="0" name=""/>
        <dsp:cNvSpPr/>
      </dsp:nvSpPr>
      <dsp:spPr>
        <a:xfrm>
          <a:off x="634670" y="623644"/>
          <a:ext cx="1748475" cy="5762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3180" tIns="43180" rIns="43180" bIns="43180" numCol="1" spcCol="1270" anchor="ctr" anchorCtr="0">
          <a:noAutofit/>
        </a:bodyPr>
        <a:lstStyle/>
        <a:p>
          <a:pPr lvl="0" algn="ctr" defTabSz="1511300">
            <a:lnSpc>
              <a:spcPct val="90000"/>
            </a:lnSpc>
            <a:spcBef>
              <a:spcPct val="0"/>
            </a:spcBef>
            <a:spcAft>
              <a:spcPct val="35000"/>
            </a:spcAft>
          </a:pPr>
          <a:r>
            <a:rPr lang="ar-DZ" sz="3400" kern="1200">
              <a:solidFill>
                <a:sysClr val="windowText" lastClr="000000">
                  <a:hueOff val="0"/>
                  <a:satOff val="0"/>
                  <a:lumOff val="0"/>
                  <a:alphaOff val="0"/>
                </a:sysClr>
              </a:solidFill>
              <a:latin typeface="Calibri" panose="020F0502020204030204"/>
              <a:ea typeface="+mn-ea"/>
              <a:cs typeface="Arial" panose="020B0604020202020204" pitchFamily="34" charset="0"/>
            </a:rPr>
            <a:t>الأفراد</a:t>
          </a:r>
          <a:endParaRPr lang="fr-FR" sz="3400" kern="1200">
            <a:solidFill>
              <a:sysClr val="windowText" lastClr="000000">
                <a:hueOff val="0"/>
                <a:satOff val="0"/>
                <a:lumOff val="0"/>
                <a:alphaOff val="0"/>
              </a:sysClr>
            </a:solidFill>
            <a:latin typeface="Calibri" panose="020F0502020204030204"/>
            <a:ea typeface="+mn-ea"/>
            <a:cs typeface="+mn-cs"/>
          </a:endParaRPr>
        </a:p>
      </dsp:txBody>
      <dsp:txXfrm>
        <a:off x="634670" y="623644"/>
        <a:ext cx="1748475" cy="576202"/>
      </dsp:txXfrm>
    </dsp:sp>
    <dsp:sp modelId="{7A2366F9-786F-4E2E-9408-6A0004789BF9}">
      <dsp:nvSpPr>
        <dsp:cNvPr id="0" name=""/>
        <dsp:cNvSpPr/>
      </dsp:nvSpPr>
      <dsp:spPr>
        <a:xfrm>
          <a:off x="2345300" y="38056"/>
          <a:ext cx="1286510" cy="393183"/>
        </a:xfrm>
        <a:prstGeom prst="rect">
          <a:avLst/>
        </a:prstGeom>
        <a:solidFill>
          <a:sysClr val="window" lastClr="FFFFFF"/>
        </a:solidFill>
        <a:ln w="12700" cap="flat" cmpd="sng" algn="ctr">
          <a:solidFill>
            <a:srgbClr val="ED7D3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DZ" sz="2000" kern="1200">
              <a:solidFill>
                <a:sysClr val="windowText" lastClr="000000">
                  <a:hueOff val="0"/>
                  <a:satOff val="0"/>
                  <a:lumOff val="0"/>
                  <a:alphaOff val="0"/>
                </a:sysClr>
              </a:solidFill>
              <a:latin typeface="Calibri" panose="020F0502020204030204"/>
              <a:ea typeface="+mn-ea"/>
              <a:cs typeface="Arial" panose="020B0604020202020204" pitchFamily="34" charset="0"/>
            </a:rPr>
            <a:t>التوجيه المهني</a:t>
          </a:r>
          <a:endParaRPr lang="fr-FR" sz="2000" kern="1200">
            <a:solidFill>
              <a:sysClr val="windowText" lastClr="000000">
                <a:hueOff val="0"/>
                <a:satOff val="0"/>
                <a:lumOff val="0"/>
                <a:alphaOff val="0"/>
              </a:sysClr>
            </a:solidFill>
            <a:latin typeface="Calibri" panose="020F0502020204030204"/>
            <a:ea typeface="+mn-ea"/>
            <a:cs typeface="+mn-cs"/>
          </a:endParaRPr>
        </a:p>
      </dsp:txBody>
      <dsp:txXfrm>
        <a:off x="2345300" y="38056"/>
        <a:ext cx="1286510" cy="393183"/>
      </dsp:txXfrm>
    </dsp:sp>
    <dsp:sp modelId="{F26738E5-56A4-4D90-B1F5-A5EFF3B79DD4}">
      <dsp:nvSpPr>
        <dsp:cNvPr id="0" name=""/>
        <dsp:cNvSpPr/>
      </dsp:nvSpPr>
      <dsp:spPr>
        <a:xfrm>
          <a:off x="632683" y="448399"/>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405F64-5A6C-4E3F-8FA1-C096BF9420E4}">
      <dsp:nvSpPr>
        <dsp:cNvPr id="0" name=""/>
        <dsp:cNvSpPr/>
      </dsp:nvSpPr>
      <dsp:spPr>
        <a:xfrm>
          <a:off x="730042" y="253682"/>
          <a:ext cx="139083" cy="13908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37167F-C959-4E30-880E-CD552ECB7E90}">
      <dsp:nvSpPr>
        <dsp:cNvPr id="0" name=""/>
        <dsp:cNvSpPr/>
      </dsp:nvSpPr>
      <dsp:spPr>
        <a:xfrm>
          <a:off x="963702" y="292626"/>
          <a:ext cx="218559" cy="218559"/>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1CC154-3FD9-4AFE-8431-23A6ED21CD96}">
      <dsp:nvSpPr>
        <dsp:cNvPr id="0" name=""/>
        <dsp:cNvSpPr/>
      </dsp:nvSpPr>
      <dsp:spPr>
        <a:xfrm>
          <a:off x="1158418" y="78437"/>
          <a:ext cx="139083" cy="13908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8A8CA8-C309-4280-B623-37D503FB8BD1}">
      <dsp:nvSpPr>
        <dsp:cNvPr id="0" name=""/>
        <dsp:cNvSpPr/>
      </dsp:nvSpPr>
      <dsp:spPr>
        <a:xfrm>
          <a:off x="1411550" y="551"/>
          <a:ext cx="139083" cy="139083"/>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81BF09-1181-4AD3-A449-774124ED749E}">
      <dsp:nvSpPr>
        <dsp:cNvPr id="0" name=""/>
        <dsp:cNvSpPr/>
      </dsp:nvSpPr>
      <dsp:spPr>
        <a:xfrm>
          <a:off x="1723096" y="136852"/>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6FF06E-CEB3-469E-84C3-35B75BF44878}">
      <dsp:nvSpPr>
        <dsp:cNvPr id="0" name=""/>
        <dsp:cNvSpPr/>
      </dsp:nvSpPr>
      <dsp:spPr>
        <a:xfrm>
          <a:off x="1917813" y="234211"/>
          <a:ext cx="218559" cy="218559"/>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4CA5FB-DBE7-43E2-B338-07C0377DDD26}">
      <dsp:nvSpPr>
        <dsp:cNvPr id="0" name=""/>
        <dsp:cNvSpPr/>
      </dsp:nvSpPr>
      <dsp:spPr>
        <a:xfrm>
          <a:off x="2190416" y="448399"/>
          <a:ext cx="139083" cy="139083"/>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40AF75-A6D6-4A5A-9EE7-2378ECF96511}">
      <dsp:nvSpPr>
        <dsp:cNvPr id="0" name=""/>
        <dsp:cNvSpPr/>
      </dsp:nvSpPr>
      <dsp:spPr>
        <a:xfrm>
          <a:off x="2307246" y="662587"/>
          <a:ext cx="139083" cy="13908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BBA625-6F70-4219-A3B9-3F907A9823C7}">
      <dsp:nvSpPr>
        <dsp:cNvPr id="0" name=""/>
        <dsp:cNvSpPr/>
      </dsp:nvSpPr>
      <dsp:spPr>
        <a:xfrm>
          <a:off x="1294720" y="253682"/>
          <a:ext cx="357642" cy="357642"/>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E01D4B-8AB9-4575-BD0A-33477C6E864F}">
      <dsp:nvSpPr>
        <dsp:cNvPr id="0" name=""/>
        <dsp:cNvSpPr/>
      </dsp:nvSpPr>
      <dsp:spPr>
        <a:xfrm>
          <a:off x="535325" y="993605"/>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152952-4646-427E-8E2B-7D33F61FF844}">
      <dsp:nvSpPr>
        <dsp:cNvPr id="0" name=""/>
        <dsp:cNvSpPr/>
      </dsp:nvSpPr>
      <dsp:spPr>
        <a:xfrm>
          <a:off x="652155" y="1168850"/>
          <a:ext cx="218559" cy="218559"/>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E49F0E-EBE5-48EB-BB51-7B8EC0CA00DB}">
      <dsp:nvSpPr>
        <dsp:cNvPr id="0" name=""/>
        <dsp:cNvSpPr/>
      </dsp:nvSpPr>
      <dsp:spPr>
        <a:xfrm>
          <a:off x="944230" y="1324623"/>
          <a:ext cx="317904" cy="31790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E52ADD-C280-44CA-A6F5-BD9BD0DE8BFA}">
      <dsp:nvSpPr>
        <dsp:cNvPr id="0" name=""/>
        <dsp:cNvSpPr/>
      </dsp:nvSpPr>
      <dsp:spPr>
        <a:xfrm>
          <a:off x="1353135" y="1577755"/>
          <a:ext cx="139083" cy="13908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6F3D12-6B05-48BD-81ED-A525E5DA046C}">
      <dsp:nvSpPr>
        <dsp:cNvPr id="0" name=""/>
        <dsp:cNvSpPr/>
      </dsp:nvSpPr>
      <dsp:spPr>
        <a:xfrm>
          <a:off x="1431021" y="1324623"/>
          <a:ext cx="218559" cy="218559"/>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F25E2F-67BF-49CB-BEC7-7950DBA2EBF5}">
      <dsp:nvSpPr>
        <dsp:cNvPr id="0" name=""/>
        <dsp:cNvSpPr/>
      </dsp:nvSpPr>
      <dsp:spPr>
        <a:xfrm>
          <a:off x="1625738" y="1597227"/>
          <a:ext cx="139083" cy="13908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3FE2FA-8DCD-4846-B5F6-A873D669EF19}">
      <dsp:nvSpPr>
        <dsp:cNvPr id="0" name=""/>
        <dsp:cNvSpPr/>
      </dsp:nvSpPr>
      <dsp:spPr>
        <a:xfrm>
          <a:off x="1800983" y="1285680"/>
          <a:ext cx="317904" cy="31790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F0F127-F799-4F60-AEF0-FCD675E2AF19}">
      <dsp:nvSpPr>
        <dsp:cNvPr id="0" name=""/>
        <dsp:cNvSpPr/>
      </dsp:nvSpPr>
      <dsp:spPr>
        <a:xfrm>
          <a:off x="2229359" y="1207793"/>
          <a:ext cx="218559" cy="218559"/>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B5F143-084E-49D0-A8F7-A49B3C4E5FBA}">
      <dsp:nvSpPr>
        <dsp:cNvPr id="0" name=""/>
        <dsp:cNvSpPr/>
      </dsp:nvSpPr>
      <dsp:spPr>
        <a:xfrm>
          <a:off x="3071936" y="540338"/>
          <a:ext cx="359303" cy="489038"/>
        </a:xfrm>
        <a:prstGeom prst="chevron">
          <a:avLst>
            <a:gd name="adj" fmla="val 6231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sp>
    <dsp:sp modelId="{F9A5D956-5677-46A5-AD53-493835D78704}">
      <dsp:nvSpPr>
        <dsp:cNvPr id="0" name=""/>
        <dsp:cNvSpPr/>
      </dsp:nvSpPr>
      <dsp:spPr>
        <a:xfrm rot="10800000">
          <a:off x="2517175" y="1094005"/>
          <a:ext cx="371069" cy="475166"/>
        </a:xfrm>
        <a:prstGeom prst="chevron">
          <a:avLst>
            <a:gd name="adj" fmla="val 6231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BBAFA47-78CE-420B-A795-E16E2783FCF5}">
      <dsp:nvSpPr>
        <dsp:cNvPr id="0" name=""/>
        <dsp:cNvSpPr/>
      </dsp:nvSpPr>
      <dsp:spPr>
        <a:xfrm>
          <a:off x="3408301" y="205368"/>
          <a:ext cx="1487989" cy="148798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511300">
            <a:lnSpc>
              <a:spcPct val="90000"/>
            </a:lnSpc>
            <a:spcBef>
              <a:spcPct val="0"/>
            </a:spcBef>
            <a:spcAft>
              <a:spcPct val="35000"/>
            </a:spcAft>
          </a:pPr>
          <a:r>
            <a:rPr lang="ar-DZ" sz="3400" kern="1200">
              <a:solidFill>
                <a:sysClr val="window" lastClr="FFFFFF"/>
              </a:solidFill>
              <a:latin typeface="Calibri" panose="020F0502020204030204"/>
              <a:ea typeface="+mn-ea"/>
              <a:cs typeface="Arial" panose="020B0604020202020204" pitchFamily="34" charset="0"/>
            </a:rPr>
            <a:t>المهنة</a:t>
          </a:r>
          <a:endParaRPr lang="fr-FR" sz="3400" kern="1200">
            <a:solidFill>
              <a:sysClr val="window" lastClr="FFFFFF"/>
            </a:solidFill>
            <a:latin typeface="Calibri" panose="020F0502020204030204"/>
            <a:ea typeface="+mn-ea"/>
            <a:cs typeface="+mn-cs"/>
          </a:endParaRPr>
        </a:p>
      </dsp:txBody>
      <dsp:txXfrm>
        <a:off x="3626212" y="423279"/>
        <a:ext cx="1052167" cy="1052167"/>
      </dsp:txXfrm>
    </dsp:sp>
    <dsp:sp modelId="{E47E6ADD-0AF7-4C25-843E-FEA8EFA32C64}">
      <dsp:nvSpPr>
        <dsp:cNvPr id="0" name=""/>
        <dsp:cNvSpPr/>
      </dsp:nvSpPr>
      <dsp:spPr>
        <a:xfrm>
          <a:off x="2324616" y="1706743"/>
          <a:ext cx="1293798" cy="370459"/>
        </a:xfrm>
        <a:prstGeom prst="rect">
          <a:avLst/>
        </a:prstGeom>
        <a:solidFill>
          <a:sysClr val="window" lastClr="FFFFFF"/>
        </a:solidFill>
        <a:ln w="12700" cap="flat" cmpd="sng" algn="ctr">
          <a:solidFill>
            <a:srgbClr val="A5A5A5"/>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DZ" sz="2000" kern="1200">
              <a:solidFill>
                <a:sysClr val="windowText" lastClr="000000">
                  <a:hueOff val="0"/>
                  <a:satOff val="0"/>
                  <a:lumOff val="0"/>
                  <a:alphaOff val="0"/>
                </a:sysClr>
              </a:solidFill>
              <a:latin typeface="Calibri" panose="020F0502020204030204"/>
              <a:ea typeface="+mn-ea"/>
              <a:cs typeface="Arial" panose="020B0604020202020204" pitchFamily="34" charset="0"/>
            </a:rPr>
            <a:t>الاختيار المهني</a:t>
          </a:r>
          <a:endParaRPr lang="fr-FR" sz="2000" kern="1200">
            <a:solidFill>
              <a:sysClr val="windowText" lastClr="000000">
                <a:hueOff val="0"/>
                <a:satOff val="0"/>
                <a:lumOff val="0"/>
                <a:alphaOff val="0"/>
              </a:sysClr>
            </a:solidFill>
            <a:latin typeface="Calibri" panose="020F0502020204030204"/>
            <a:ea typeface="+mn-ea"/>
            <a:cs typeface="+mn-cs"/>
          </a:endParaRPr>
        </a:p>
      </dsp:txBody>
      <dsp:txXfrm>
        <a:off x="2324616" y="1706743"/>
        <a:ext cx="1293798" cy="370459"/>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1333</Words>
  <Characters>7336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2024-02-27T22:12:00Z</dcterms:created>
  <dcterms:modified xsi:type="dcterms:W3CDTF">2024-02-27T22:13:00Z</dcterms:modified>
</cp:coreProperties>
</file>