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rPr>
      </w:pPr>
      <w:bookmarkStart w:id="2" w:name="_GoBack"/>
      <w:r>
        <w:rPr>
          <w:b/>
          <w:bCs/>
          <w:sz w:val="28"/>
          <w:szCs w:val="28"/>
        </w:rPr>
        <w:t xml:space="preserve">Détail du coût de réalisation </w:t>
      </w:r>
      <w:r>
        <w:rPr>
          <w:rFonts w:hint="default"/>
          <w:b/>
          <w:bCs/>
          <w:sz w:val="28"/>
          <w:szCs w:val="28"/>
          <w:lang w:val="en-US"/>
        </w:rPr>
        <w:t>et prix de vente</w:t>
      </w:r>
    </w:p>
    <w:p>
      <w:pPr>
        <w:rPr>
          <w:b/>
          <w:bCs/>
          <w:sz w:val="28"/>
          <w:szCs w:val="28"/>
        </w:rPr>
      </w:pPr>
    </w:p>
    <w:p>
      <w:pPr>
        <w:spacing w:line="360" w:lineRule="auto"/>
        <w:jc w:val="both"/>
        <w:rPr>
          <w:b/>
          <w:bCs/>
          <w:sz w:val="28"/>
          <w:szCs w:val="28"/>
        </w:rPr>
      </w:pPr>
      <w:r>
        <w:rPr>
          <w:b/>
          <w:bCs/>
          <w:sz w:val="28"/>
          <w:szCs w:val="28"/>
        </w:rPr>
        <w:t>1 Introduction</w:t>
      </w:r>
    </w:p>
    <w:p>
      <w:pPr>
        <w:spacing w:line="360" w:lineRule="auto"/>
        <w:jc w:val="both"/>
        <w:rPr>
          <w:sz w:val="28"/>
          <w:szCs w:val="28"/>
        </w:rPr>
      </w:pPr>
      <w:r>
        <w:rPr>
          <w:sz w:val="28"/>
          <w:szCs w:val="28"/>
        </w:rPr>
        <w:t>Un projet est une démarche spécifique qui permet de structurer méthodiquement une réalité à</w:t>
      </w:r>
    </w:p>
    <w:p>
      <w:pPr>
        <w:spacing w:line="360" w:lineRule="auto"/>
        <w:jc w:val="both"/>
        <w:rPr>
          <w:sz w:val="28"/>
          <w:szCs w:val="28"/>
        </w:rPr>
      </w:pPr>
      <w:r>
        <w:rPr>
          <w:sz w:val="28"/>
          <w:szCs w:val="28"/>
        </w:rPr>
        <w:t>venir et implique un objectif à atteindre avec des ressources données</w:t>
      </w:r>
    </w:p>
    <w:p>
      <w:pPr>
        <w:spacing w:line="360" w:lineRule="auto"/>
        <w:rPr>
          <w:sz w:val="28"/>
          <w:szCs w:val="28"/>
        </w:rPr>
      </w:pPr>
      <w:r>
        <w:rPr>
          <w:sz w:val="28"/>
          <w:szCs w:val="28"/>
        </w:rPr>
        <w:t>Un projet est une démarche spécifique qui permet de structurer méthodiquement une réalité à</w:t>
      </w:r>
    </w:p>
    <w:p>
      <w:pPr>
        <w:spacing w:line="360" w:lineRule="auto"/>
        <w:jc w:val="both"/>
        <w:rPr>
          <w:sz w:val="28"/>
          <w:szCs w:val="28"/>
        </w:rPr>
      </w:pPr>
      <w:r>
        <w:rPr>
          <w:sz w:val="28"/>
          <w:szCs w:val="28"/>
        </w:rPr>
        <w:t>venir et implique un objectif à atteindre avec des ressources données</w:t>
      </w:r>
    </w:p>
    <w:p>
      <w:pPr>
        <w:rPr>
          <w:b/>
          <w:bCs/>
          <w:sz w:val="28"/>
          <w:szCs w:val="28"/>
        </w:rPr>
      </w:pPr>
    </w:p>
    <w:p>
      <w:pPr>
        <w:rPr>
          <w:b/>
          <w:bCs/>
          <w:sz w:val="28"/>
          <w:szCs w:val="28"/>
        </w:rPr>
      </w:pPr>
      <w:r>
        <w:rPr>
          <w:rFonts w:hint="default"/>
          <w:b/>
          <w:bCs/>
          <w:sz w:val="28"/>
          <w:szCs w:val="28"/>
          <w:lang w:val="en-US"/>
        </w:rPr>
        <w:t>2</w:t>
      </w:r>
      <w:r>
        <w:rPr>
          <w:b/>
          <w:bCs/>
          <w:sz w:val="28"/>
          <w:szCs w:val="28"/>
        </w:rPr>
        <w:t xml:space="preserve"> Déboursés secs et Prix de Vente</w:t>
      </w:r>
    </w:p>
    <w:p>
      <w:pPr>
        <w:jc w:val="center"/>
        <w:rPr>
          <w:b/>
          <w:bCs/>
          <w:sz w:val="28"/>
          <w:szCs w:val="28"/>
        </w:rPr>
      </w:pPr>
    </w:p>
    <w:p>
      <w:pPr>
        <w:spacing w:line="360" w:lineRule="auto"/>
        <w:jc w:val="both"/>
        <w:rPr>
          <w:sz w:val="28"/>
          <w:szCs w:val="28"/>
        </w:rPr>
      </w:pPr>
      <w:r>
        <w:rPr>
          <w:sz w:val="28"/>
          <w:szCs w:val="28"/>
        </w:rPr>
        <w:t>Le document contenu dans le cahier des charges qui servira aux entrepreneurs pour remettre leur offre s’appelle :</w:t>
      </w:r>
    </w:p>
    <w:p>
      <w:pPr>
        <w:pStyle w:val="23"/>
        <w:numPr>
          <w:ilvl w:val="0"/>
          <w:numId w:val="1"/>
        </w:numPr>
        <w:spacing w:line="360" w:lineRule="auto"/>
        <w:jc w:val="both"/>
        <w:rPr>
          <w:sz w:val="28"/>
          <w:szCs w:val="28"/>
        </w:rPr>
      </w:pPr>
      <w:r>
        <w:rPr>
          <w:sz w:val="28"/>
          <w:szCs w:val="28"/>
        </w:rPr>
        <w:t>La Décomposition du prix Global et Forfaitaire (DPGF)</w:t>
      </w:r>
    </w:p>
    <w:p>
      <w:pPr>
        <w:pStyle w:val="23"/>
        <w:numPr>
          <w:ilvl w:val="0"/>
          <w:numId w:val="1"/>
        </w:numPr>
        <w:spacing w:line="360" w:lineRule="auto"/>
        <w:jc w:val="both"/>
        <w:rPr>
          <w:sz w:val="28"/>
          <w:szCs w:val="28"/>
        </w:rPr>
      </w:pPr>
      <w:r>
        <w:rPr>
          <w:sz w:val="28"/>
          <w:szCs w:val="28"/>
        </w:rPr>
        <w:t>Ou Le Devis Quantitatif Estimatif (DQE)</w:t>
      </w:r>
    </w:p>
    <w:p>
      <w:pPr>
        <w:spacing w:line="360" w:lineRule="auto"/>
        <w:jc w:val="both"/>
        <w:rPr>
          <w:sz w:val="28"/>
          <w:szCs w:val="28"/>
        </w:rPr>
      </w:pPr>
      <w:r>
        <w:rPr>
          <w:sz w:val="28"/>
          <w:szCs w:val="28"/>
        </w:rPr>
        <w:t>Le maître d’œuvre établira le cadre de la DPGF à partir des ouvrages du Cahier des Charges Techniques Particulières (CCTP) et selon sa mission, il devra, ou non, compléter les quantités.</w:t>
      </w:r>
    </w:p>
    <w:p>
      <w:pPr>
        <w:spacing w:line="360" w:lineRule="auto"/>
        <w:jc w:val="both"/>
        <w:rPr>
          <w:sz w:val="28"/>
          <w:szCs w:val="28"/>
        </w:rPr>
      </w:pPr>
      <w:r>
        <w:rPr>
          <w:sz w:val="28"/>
          <w:szCs w:val="28"/>
        </w:rPr>
        <w:t>L’entreprise qui remettra son offre devra quant à elle  renseigner les prix dans le  DQE, et pour cela, elle devra  mener ce qu’on appelle une étude de prix.</w:t>
      </w:r>
    </w:p>
    <w:p>
      <w:pPr>
        <w:spacing w:line="360" w:lineRule="auto"/>
        <w:jc w:val="both"/>
        <w:rPr>
          <w:b/>
          <w:bCs/>
          <w:sz w:val="28"/>
          <w:szCs w:val="28"/>
        </w:rPr>
      </w:pPr>
      <w:r>
        <w:rPr>
          <w:rFonts w:hint="default"/>
          <w:b/>
          <w:bCs/>
          <w:sz w:val="28"/>
          <w:szCs w:val="28"/>
          <w:lang w:val="en-US"/>
        </w:rPr>
        <w:t>3</w:t>
      </w:r>
      <w:r>
        <w:rPr>
          <w:b/>
          <w:bCs/>
          <w:sz w:val="28"/>
          <w:szCs w:val="28"/>
        </w:rPr>
        <w:t xml:space="preserve"> </w:t>
      </w:r>
      <w:r>
        <w:rPr>
          <w:b/>
          <w:bCs/>
          <w:sz w:val="28"/>
          <w:szCs w:val="28"/>
          <w:lang w:val="en-US"/>
        </w:rPr>
        <w:t>Étude</w:t>
      </w:r>
      <w:r>
        <w:rPr>
          <w:b/>
          <w:bCs/>
          <w:sz w:val="28"/>
          <w:szCs w:val="28"/>
        </w:rPr>
        <w:t xml:space="preserve"> de prix</w:t>
      </w:r>
    </w:p>
    <w:p>
      <w:pPr>
        <w:spacing w:line="360" w:lineRule="auto"/>
        <w:jc w:val="both"/>
        <w:rPr>
          <w:sz w:val="28"/>
          <w:szCs w:val="28"/>
        </w:rPr>
      </w:pPr>
      <w:r>
        <w:rPr>
          <w:sz w:val="28"/>
          <w:szCs w:val="28"/>
        </w:rPr>
        <w:t xml:space="preserve">Une étude de prix est un ensemble de calculs conduisant à la détermination d’un prix de vente hors taxes (PVHT). Ces prix de vente hors taxes sont établis par ouvrage élémentaire (OE), puis reportés dans un devis Quantitatif Estimatif (DQE), pour aboutir au prix à payer par le maître d’ouvrage. </w:t>
      </w:r>
    </w:p>
    <w:p>
      <w:pPr>
        <w:spacing w:line="360" w:lineRule="auto"/>
        <w:jc w:val="both"/>
        <w:rPr>
          <w:sz w:val="28"/>
          <w:szCs w:val="28"/>
        </w:rPr>
      </w:pPr>
      <w:r>
        <w:rPr>
          <w:sz w:val="28"/>
          <w:szCs w:val="28"/>
        </w:rPr>
        <w:t>Les calculs de prix de vente des ouvrages élémentaires sont particulièrement importants car :</w:t>
      </w:r>
    </w:p>
    <w:p>
      <w:pPr>
        <w:numPr>
          <w:ilvl w:val="0"/>
          <w:numId w:val="2"/>
        </w:numPr>
        <w:spacing w:line="360" w:lineRule="auto"/>
        <w:jc w:val="both"/>
        <w:rPr>
          <w:sz w:val="28"/>
          <w:szCs w:val="28"/>
        </w:rPr>
      </w:pPr>
      <w:r>
        <w:rPr>
          <w:sz w:val="28"/>
          <w:szCs w:val="28"/>
        </w:rPr>
        <w:t>L’entreprise les calcule une fois pour toutes. Elle les actualise et les adapte d’un chantier à l’autre.</w:t>
      </w:r>
    </w:p>
    <w:p>
      <w:pPr>
        <w:numPr>
          <w:ilvl w:val="0"/>
          <w:numId w:val="2"/>
        </w:numPr>
        <w:spacing w:line="360" w:lineRule="auto"/>
        <w:jc w:val="both"/>
        <w:rPr>
          <w:sz w:val="28"/>
          <w:szCs w:val="28"/>
        </w:rPr>
      </w:pPr>
      <w:r>
        <w:rPr>
          <w:sz w:val="28"/>
          <w:szCs w:val="28"/>
        </w:rPr>
        <w:t>Les prix étant fixés avant le début du chantier, il ne faut rien oublier sous peine de pertes financières pour l’entreprise.</w:t>
      </w:r>
    </w:p>
    <w:p>
      <w:pPr>
        <w:spacing w:line="360" w:lineRule="auto"/>
        <w:jc w:val="both"/>
        <w:rPr>
          <w:sz w:val="28"/>
          <w:szCs w:val="28"/>
        </w:rPr>
      </w:pPr>
      <w:r>
        <w:rPr>
          <w:sz w:val="28"/>
          <w:szCs w:val="28"/>
        </w:rPr>
        <w:sym w:font="Wingdings" w:char="F0F0"/>
      </w:r>
      <w:r>
        <w:rPr>
          <w:sz w:val="28"/>
          <w:szCs w:val="28"/>
        </w:rPr>
        <w:t xml:space="preserve"> Il faut une méthode rigoureuse appelée </w:t>
      </w:r>
      <w:r>
        <w:rPr>
          <w:b/>
          <w:sz w:val="28"/>
          <w:szCs w:val="28"/>
          <w:highlight w:val="yellow"/>
          <w:u w:val="single"/>
        </w:rPr>
        <w:t>sous-détail de prix</w:t>
      </w:r>
      <w:r>
        <w:rPr>
          <w:sz w:val="28"/>
          <w:szCs w:val="28"/>
        </w:rPr>
        <w:t xml:space="preserve">. </w:t>
      </w:r>
    </w:p>
    <w:p>
      <w:pPr>
        <w:jc w:val="both"/>
        <w:rPr>
          <w:b/>
          <w:bCs/>
          <w:color w:val="000000" w:themeColor="text1"/>
          <w:sz w:val="28"/>
          <w14:textFill>
            <w14:solidFill>
              <w14:schemeClr w14:val="tx1"/>
            </w14:solidFill>
          </w14:textFill>
        </w:rPr>
      </w:pPr>
    </w:p>
    <w:p>
      <w:pPr>
        <w:jc w:val="both"/>
        <w:rPr>
          <w:b/>
          <w:bCs/>
          <w:color w:val="000000" w:themeColor="text1"/>
          <w:sz w:val="28"/>
          <w14:textFill>
            <w14:solidFill>
              <w14:schemeClr w14:val="tx1"/>
            </w14:solidFill>
          </w14:textFill>
        </w:rPr>
      </w:pPr>
    </w:p>
    <w:p>
      <w:pPr>
        <w:jc w:val="both"/>
        <w:rPr>
          <w:b/>
          <w:bCs/>
          <w:color w:val="000000" w:themeColor="text1"/>
          <w:sz w:val="28"/>
          <w14:textFill>
            <w14:solidFill>
              <w14:schemeClr w14:val="tx1"/>
            </w14:solidFill>
          </w14:textFill>
        </w:rPr>
      </w:pPr>
    </w:p>
    <w:p>
      <w:pPr>
        <w:jc w:val="both"/>
        <w:rPr>
          <w:b/>
          <w:bCs/>
          <w:color w:val="000000" w:themeColor="text1"/>
          <w:sz w:val="28"/>
          <w14:textFill>
            <w14:solidFill>
              <w14:schemeClr w14:val="tx1"/>
            </w14:solidFill>
          </w14:textFill>
        </w:rPr>
      </w:pPr>
      <w:r>
        <w:rPr>
          <w:rFonts w:hint="default"/>
          <w:b/>
          <w:bCs/>
          <w:color w:val="000000" w:themeColor="text1"/>
          <w:sz w:val="28"/>
          <w:lang w:val="en-US"/>
          <w14:textFill>
            <w14:solidFill>
              <w14:schemeClr w14:val="tx1"/>
            </w14:solidFill>
          </w14:textFill>
        </w:rPr>
        <w:t>3</w:t>
      </w:r>
      <w:r>
        <w:rPr>
          <w:b/>
          <w:bCs/>
          <w:color w:val="000000" w:themeColor="text1"/>
          <w:sz w:val="28"/>
          <w14:textFill>
            <w14:solidFill>
              <w14:schemeClr w14:val="tx1"/>
            </w14:solidFill>
          </w14:textFill>
        </w:rPr>
        <w:t xml:space="preserve">.1  </w:t>
      </w:r>
      <w:r>
        <w:rPr>
          <w:b/>
          <w:bCs/>
          <w:color w:val="000000" w:themeColor="text1"/>
          <w:sz w:val="28"/>
          <w:lang w:val="en-US"/>
          <w14:textFill>
            <w14:solidFill>
              <w14:schemeClr w14:val="tx1"/>
            </w14:solidFill>
          </w14:textFill>
        </w:rPr>
        <w:t>Éléments</w:t>
      </w:r>
      <w:r>
        <w:rPr>
          <w:b/>
          <w:bCs/>
          <w:color w:val="000000" w:themeColor="text1"/>
          <w:sz w:val="28"/>
          <w14:textFill>
            <w14:solidFill>
              <w14:schemeClr w14:val="tx1"/>
            </w14:solidFill>
          </w14:textFill>
        </w:rPr>
        <w:t xml:space="preserve"> de sous-détail de prix</w:t>
      </w:r>
    </w:p>
    <w:p>
      <w:pPr>
        <w:jc w:val="both"/>
        <w:rPr>
          <w:sz w:val="24"/>
        </w:rPr>
      </w:pPr>
    </w:p>
    <w:p>
      <w:pPr>
        <w:spacing w:line="360" w:lineRule="auto"/>
        <w:jc w:val="both"/>
        <w:rPr>
          <w:b/>
          <w:bCs/>
          <w:color w:val="0000FF"/>
          <w:sz w:val="28"/>
          <w:szCs w:val="28"/>
          <w:u w:val="single"/>
        </w:rPr>
      </w:pPr>
      <w:r>
        <w:rPr>
          <w:b/>
          <w:bCs/>
          <w:color w:val="0000FF"/>
          <w:sz w:val="28"/>
          <w:szCs w:val="28"/>
          <w:u w:val="single"/>
        </w:rPr>
        <w:t>1 – Coût des matériaux</w:t>
      </w:r>
    </w:p>
    <w:p>
      <w:pPr>
        <w:spacing w:line="360" w:lineRule="auto"/>
        <w:jc w:val="both"/>
        <w:rPr>
          <w:sz w:val="28"/>
          <w:szCs w:val="28"/>
        </w:rPr>
      </w:pPr>
      <w:r>
        <w:rPr>
          <w:sz w:val="28"/>
          <w:szCs w:val="28"/>
        </w:rPr>
        <w:t>Il englobe le coût :</w:t>
      </w:r>
    </w:p>
    <w:p>
      <w:pPr>
        <w:numPr>
          <w:ilvl w:val="0"/>
          <w:numId w:val="2"/>
        </w:numPr>
        <w:spacing w:line="360" w:lineRule="auto"/>
        <w:jc w:val="both"/>
        <w:rPr>
          <w:sz w:val="28"/>
          <w:szCs w:val="28"/>
        </w:rPr>
      </w:pPr>
      <w:r>
        <w:rPr>
          <w:sz w:val="28"/>
          <w:szCs w:val="28"/>
        </w:rPr>
        <w:t>de leur transport</w:t>
      </w:r>
    </w:p>
    <w:p>
      <w:pPr>
        <w:numPr>
          <w:ilvl w:val="0"/>
          <w:numId w:val="2"/>
        </w:numPr>
        <w:spacing w:line="360" w:lineRule="auto"/>
        <w:jc w:val="both"/>
        <w:rPr>
          <w:sz w:val="28"/>
          <w:szCs w:val="28"/>
        </w:rPr>
      </w:pPr>
      <w:r>
        <w:rPr>
          <w:sz w:val="28"/>
          <w:szCs w:val="28"/>
        </w:rPr>
        <w:t>de leur manutention</w:t>
      </w:r>
    </w:p>
    <w:p>
      <w:pPr>
        <w:numPr>
          <w:ilvl w:val="0"/>
          <w:numId w:val="2"/>
        </w:numPr>
        <w:spacing w:line="360" w:lineRule="auto"/>
        <w:jc w:val="both"/>
        <w:rPr>
          <w:sz w:val="28"/>
          <w:szCs w:val="28"/>
        </w:rPr>
      </w:pPr>
      <w:r>
        <w:rPr>
          <w:sz w:val="28"/>
          <w:szCs w:val="28"/>
        </w:rPr>
        <w:t>des pertes dues à leur utilisation (chutes d’acier, découpes d’agglomérés,…)</w:t>
      </w:r>
    </w:p>
    <w:p>
      <w:pPr>
        <w:numPr>
          <w:ilvl w:val="0"/>
          <w:numId w:val="2"/>
        </w:numPr>
        <w:spacing w:line="360" w:lineRule="auto"/>
        <w:jc w:val="both"/>
        <w:rPr>
          <w:sz w:val="28"/>
          <w:szCs w:val="28"/>
        </w:rPr>
      </w:pPr>
      <w:r>
        <w:rPr>
          <w:sz w:val="28"/>
          <w:szCs w:val="28"/>
        </w:rPr>
        <w:t>éventuellement des remises</w:t>
      </w:r>
    </w:p>
    <w:p>
      <w:pPr>
        <w:spacing w:line="360" w:lineRule="auto"/>
        <w:jc w:val="both"/>
        <w:rPr>
          <w:b/>
          <w:bCs/>
          <w:color w:val="0000FF"/>
          <w:sz w:val="28"/>
          <w:szCs w:val="28"/>
          <w:u w:val="single"/>
        </w:rPr>
      </w:pPr>
      <w:r>
        <w:rPr>
          <w:b/>
          <w:bCs/>
          <w:color w:val="0000FF"/>
          <w:sz w:val="28"/>
          <w:szCs w:val="28"/>
          <w:u w:val="single"/>
        </w:rPr>
        <w:t>2 – Coût des matériels</w:t>
      </w:r>
    </w:p>
    <w:p>
      <w:pPr>
        <w:spacing w:line="360" w:lineRule="auto"/>
        <w:jc w:val="both"/>
        <w:rPr>
          <w:sz w:val="28"/>
          <w:szCs w:val="28"/>
        </w:rPr>
      </w:pPr>
      <w:r>
        <w:rPr>
          <w:sz w:val="28"/>
          <w:szCs w:val="28"/>
        </w:rPr>
        <w:t>Il doit prendre en compte :</w:t>
      </w:r>
    </w:p>
    <w:p>
      <w:pPr>
        <w:numPr>
          <w:ilvl w:val="0"/>
          <w:numId w:val="2"/>
        </w:numPr>
        <w:spacing w:line="360" w:lineRule="auto"/>
        <w:jc w:val="both"/>
        <w:rPr>
          <w:sz w:val="28"/>
          <w:szCs w:val="28"/>
        </w:rPr>
      </w:pPr>
      <w:r>
        <w:rPr>
          <w:sz w:val="28"/>
          <w:szCs w:val="28"/>
        </w:rPr>
        <w:t>l’amortissement des matériels</w:t>
      </w:r>
    </w:p>
    <w:p>
      <w:pPr>
        <w:numPr>
          <w:ilvl w:val="0"/>
          <w:numId w:val="2"/>
        </w:numPr>
        <w:spacing w:line="360" w:lineRule="auto"/>
        <w:jc w:val="both"/>
        <w:rPr>
          <w:sz w:val="28"/>
          <w:szCs w:val="28"/>
        </w:rPr>
      </w:pPr>
      <w:r>
        <w:rPr>
          <w:sz w:val="28"/>
          <w:szCs w:val="28"/>
        </w:rPr>
        <w:t>leur entretien</w:t>
      </w:r>
    </w:p>
    <w:p>
      <w:pPr>
        <w:numPr>
          <w:ilvl w:val="0"/>
          <w:numId w:val="2"/>
        </w:numPr>
        <w:spacing w:line="360" w:lineRule="auto"/>
        <w:jc w:val="both"/>
        <w:rPr>
          <w:sz w:val="28"/>
          <w:szCs w:val="28"/>
        </w:rPr>
      </w:pPr>
      <w:r>
        <w:rPr>
          <w:sz w:val="28"/>
          <w:szCs w:val="28"/>
        </w:rPr>
        <w:t>les consommables (huile, essence,…)</w:t>
      </w:r>
    </w:p>
    <w:p>
      <w:pPr>
        <w:numPr>
          <w:ilvl w:val="0"/>
          <w:numId w:val="2"/>
        </w:numPr>
        <w:spacing w:line="360" w:lineRule="auto"/>
        <w:jc w:val="both"/>
        <w:rPr>
          <w:sz w:val="28"/>
          <w:szCs w:val="28"/>
        </w:rPr>
      </w:pPr>
      <w:r>
        <w:rPr>
          <w:sz w:val="28"/>
          <w:szCs w:val="28"/>
        </w:rPr>
        <w:t>les frais (assurances,…)</w:t>
      </w:r>
    </w:p>
    <w:p>
      <w:pPr>
        <w:spacing w:line="360" w:lineRule="auto"/>
        <w:jc w:val="both"/>
        <w:rPr>
          <w:color w:val="FF0000"/>
          <w:sz w:val="24"/>
        </w:rPr>
      </w:pPr>
      <w:r>
        <w:rPr>
          <w:b/>
          <w:bCs/>
          <w:color w:val="0000FF"/>
          <w:sz w:val="28"/>
          <w:szCs w:val="28"/>
          <w:u w:val="single"/>
        </w:rPr>
        <w:t>3 – Temps unitaires</w:t>
      </w:r>
      <w:r>
        <w:rPr>
          <w:rFonts w:hint="default"/>
          <w:b/>
          <w:bCs/>
          <w:color w:val="0000FF"/>
          <w:sz w:val="28"/>
          <w:szCs w:val="28"/>
          <w:u w:val="single"/>
          <w:lang w:val="en-US"/>
        </w:rPr>
        <w:t xml:space="preserve"> de la MO</w:t>
      </w:r>
    </w:p>
    <w:p>
      <w:pPr>
        <w:jc w:val="both"/>
        <w:rPr>
          <w:rFonts w:hint="default"/>
          <w:sz w:val="24"/>
          <w:lang w:val="en-US"/>
        </w:rPr>
      </w:pPr>
      <w:r>
        <w:rPr>
          <w:rFonts w:hint="default"/>
          <w:sz w:val="24"/>
        </w:rPr>
        <w:t xml:space="preserve">Ce sont des temps d’exécution de main d’œuvre productive nécessaire à la réalisation d’une unité d’ouvrage élémentaire. Ils s’expriment en h/m3, h/m2, etc.…. Ils représentent le temps que mettrait un ouvrier pour réaliser une unité </w:t>
      </w:r>
      <w:r>
        <w:rPr>
          <w:rFonts w:hint="default"/>
          <w:sz w:val="24"/>
          <w:lang w:val="en-US"/>
        </w:rPr>
        <w:t xml:space="preserve">d’ouvrage </w:t>
      </w:r>
      <w:r>
        <w:rPr>
          <w:rFonts w:hint="default"/>
          <w:sz w:val="24"/>
        </w:rPr>
        <w:t>é</w:t>
      </w:r>
      <w:r>
        <w:rPr>
          <w:rFonts w:hint="default"/>
          <w:sz w:val="24"/>
          <w:lang w:val="en-US"/>
        </w:rPr>
        <w:t>lémentaire</w:t>
      </w:r>
    </w:p>
    <w:p>
      <w:pPr>
        <w:jc w:val="both"/>
        <w:rPr>
          <w:b/>
          <w:bCs/>
          <w:color w:val="0000FF"/>
          <w:sz w:val="28"/>
          <w:szCs w:val="28"/>
          <w:u w:val="single"/>
        </w:rPr>
      </w:pPr>
      <w:r>
        <w:rPr>
          <w:b/>
          <w:bCs/>
          <w:color w:val="0000FF"/>
          <w:sz w:val="28"/>
          <w:szCs w:val="28"/>
          <w:u w:val="single"/>
        </w:rPr>
        <w:t>4 – Coût de la Main d’Œuvre</w:t>
      </w:r>
    </w:p>
    <w:p>
      <w:pPr>
        <w:jc w:val="both"/>
        <w:rPr>
          <w:sz w:val="28"/>
          <w:szCs w:val="28"/>
        </w:rPr>
      </w:pPr>
      <w:r>
        <w:rPr>
          <w:sz w:val="28"/>
          <w:szCs w:val="28"/>
        </w:rPr>
        <w:t xml:space="preserve">Elle est évaluée à partir des Déboursés Horaires de Main d’œuvre, </w:t>
      </w:r>
    </w:p>
    <w:p>
      <w:pPr>
        <w:jc w:val="both"/>
        <w:rPr>
          <w:sz w:val="28"/>
          <w:szCs w:val="28"/>
        </w:rPr>
      </w:pPr>
    </w:p>
    <w:p>
      <w:pPr>
        <w:jc w:val="both"/>
        <w:rPr>
          <w:b/>
          <w:bCs/>
          <w:color w:val="0000FF"/>
          <w:sz w:val="28"/>
          <w:szCs w:val="28"/>
          <w:u w:val="single"/>
        </w:rPr>
      </w:pPr>
      <w:r>
        <w:rPr>
          <w:b/>
          <w:bCs/>
          <w:color w:val="0000FF"/>
          <w:sz w:val="28"/>
          <w:szCs w:val="28"/>
          <w:u w:val="single"/>
        </w:rPr>
        <w:t>5 – Déboursés secs</w:t>
      </w:r>
    </w:p>
    <w:p>
      <w:pPr>
        <w:jc w:val="both"/>
        <w:rPr>
          <w:color w:val="0000FF"/>
          <w:sz w:val="24"/>
          <w:u w:val="single"/>
        </w:rPr>
      </w:pPr>
    </w:p>
    <w:p>
      <w:pPr>
        <w:spacing w:line="360" w:lineRule="auto"/>
        <w:jc w:val="both"/>
        <w:rPr>
          <w:sz w:val="28"/>
          <w:szCs w:val="28"/>
        </w:rPr>
      </w:pPr>
      <w:r>
        <w:rPr>
          <w:sz w:val="28"/>
          <w:szCs w:val="28"/>
        </w:rPr>
        <w:t>C’est le coût d’un ouvrage ou d’un Ouvrage Elémentaire en ne tenant compte que des dépenses entrant directement dans sa réalisation.</w:t>
      </w:r>
    </w:p>
    <w:p>
      <w:pPr>
        <w:spacing w:line="360" w:lineRule="auto"/>
        <w:jc w:val="both"/>
        <w:rPr>
          <w:sz w:val="28"/>
          <w:szCs w:val="28"/>
        </w:rPr>
      </w:pPr>
      <w:r>
        <w:rPr>
          <w:sz w:val="28"/>
          <w:szCs w:val="28"/>
        </w:rPr>
        <w:t>Il s’agit :</w:t>
      </w:r>
    </w:p>
    <w:p>
      <w:pPr>
        <w:numPr>
          <w:ilvl w:val="0"/>
          <w:numId w:val="2"/>
        </w:numPr>
        <w:spacing w:line="360" w:lineRule="auto"/>
        <w:jc w:val="both"/>
        <w:rPr>
          <w:sz w:val="28"/>
          <w:szCs w:val="28"/>
        </w:rPr>
      </w:pPr>
      <w:r>
        <w:rPr>
          <w:sz w:val="28"/>
          <w:szCs w:val="28"/>
        </w:rPr>
        <w:t>des matériaux</w:t>
      </w:r>
    </w:p>
    <w:p>
      <w:pPr>
        <w:numPr>
          <w:ilvl w:val="0"/>
          <w:numId w:val="2"/>
        </w:numPr>
        <w:spacing w:line="360" w:lineRule="auto"/>
        <w:jc w:val="both"/>
        <w:rPr>
          <w:sz w:val="28"/>
          <w:szCs w:val="28"/>
        </w:rPr>
      </w:pPr>
      <w:r>
        <w:rPr>
          <w:sz w:val="28"/>
          <w:szCs w:val="28"/>
        </w:rPr>
        <w:t>des matériels</w:t>
      </w:r>
    </w:p>
    <w:p>
      <w:pPr>
        <w:numPr>
          <w:ilvl w:val="0"/>
          <w:numId w:val="2"/>
        </w:numPr>
        <w:spacing w:line="360" w:lineRule="auto"/>
        <w:jc w:val="both"/>
        <w:rPr>
          <w:sz w:val="28"/>
          <w:szCs w:val="28"/>
        </w:rPr>
      </w:pPr>
      <w:r>
        <w:rPr>
          <w:sz w:val="28"/>
          <w:szCs w:val="28"/>
        </w:rPr>
        <w:t>de la main d’œuvre</w:t>
      </w:r>
    </w:p>
    <w:p>
      <w:pPr>
        <w:jc w:val="both"/>
        <w:rPr>
          <w:sz w:val="24"/>
        </w:rPr>
      </w:pPr>
    </w:p>
    <w:p>
      <w:pPr>
        <w:jc w:val="both"/>
        <w:rPr>
          <w:b/>
          <w:bCs/>
          <w:color w:val="auto"/>
          <w:sz w:val="28"/>
          <w:szCs w:val="28"/>
          <w:u w:val="none"/>
        </w:rPr>
      </w:pPr>
      <w:r>
        <w:rPr>
          <w:rFonts w:hint="default"/>
          <w:b/>
          <w:bCs/>
          <w:color w:val="auto"/>
          <w:sz w:val="28"/>
          <w:szCs w:val="28"/>
          <w:u w:val="none"/>
          <w:lang w:val="en-US"/>
        </w:rPr>
        <w:t>4</w:t>
      </w:r>
      <w:r>
        <w:rPr>
          <w:b/>
          <w:bCs/>
          <w:color w:val="auto"/>
          <w:sz w:val="28"/>
          <w:szCs w:val="28"/>
          <w:u w:val="none"/>
        </w:rPr>
        <w:t xml:space="preserve"> Technique de Sous-Détail de Prix</w:t>
      </w:r>
    </w:p>
    <w:p>
      <w:pPr>
        <w:jc w:val="both"/>
        <w:rPr>
          <w:color w:val="0000FF"/>
          <w:sz w:val="24"/>
          <w:u w:val="single"/>
        </w:rPr>
      </w:pPr>
    </w:p>
    <w:p>
      <w:pPr>
        <w:spacing w:line="360" w:lineRule="auto"/>
        <w:jc w:val="both"/>
        <w:rPr>
          <w:sz w:val="28"/>
          <w:szCs w:val="28"/>
        </w:rPr>
      </w:pPr>
      <w:r>
        <w:rPr>
          <w:sz w:val="28"/>
          <w:szCs w:val="28"/>
        </w:rPr>
        <w:t>Elle se présente sous la forme d’un tableau qu’on remplit dans un ordre bien défini qui permettra de rester cohérent d’un bout à l’autre de l’étude.</w:t>
      </w:r>
    </w:p>
    <w:p>
      <w:pPr>
        <w:spacing w:line="360" w:lineRule="auto"/>
        <w:rPr>
          <w:sz w:val="28"/>
          <w:szCs w:val="28"/>
        </w:rPr>
      </w:pPr>
      <w:r>
        <w:rPr>
          <w:sz w:val="28"/>
          <w:szCs w:val="28"/>
        </w:rPr>
        <w:t xml:space="preserve">Un coût est constitué par un ensemble de dépenses se rapportant toujours à un ouvrage élémentaire (O.E.) : c’est le déboursé sec (D.S.). </w:t>
      </w:r>
    </w:p>
    <w:p>
      <w:pPr>
        <w:jc w:val="both"/>
        <w:rPr>
          <w:sz w:val="28"/>
          <w:szCs w:val="28"/>
        </w:rPr>
      </w:pPr>
    </w:p>
    <w:p>
      <w:pPr>
        <w:jc w:val="both"/>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-318770</wp:posOffset>
                </wp:positionV>
                <wp:extent cx="2698750" cy="819150"/>
                <wp:effectExtent l="0" t="0" r="25400" b="19050"/>
                <wp:wrapNone/>
                <wp:docPr id="27" name="Zone de texte 27"/>
                <wp:cNvGraphicFramePr/>
                <a:graphic xmlns:a="http://schemas.openxmlformats.org/drawingml/2006/main">
                  <a:graphicData uri="http://schemas.microsoft.com/office/word/2010/wordprocessingShape">
                    <wps:wsp>
                      <wps:cNvSpPr txBox="1"/>
                      <wps:spPr>
                        <a:xfrm>
                          <a:off x="0" y="0"/>
                          <a:ext cx="2698750" cy="819150"/>
                        </a:xfrm>
                        <a:prstGeom prst="rect">
                          <a:avLst/>
                        </a:prstGeom>
                        <a:solidFill>
                          <a:schemeClr val="lt1"/>
                        </a:solidFill>
                        <a:ln w="6350">
                          <a:solidFill>
                            <a:prstClr val="black"/>
                          </a:solidFill>
                        </a:ln>
                      </wps:spPr>
                      <wps:txbx>
                        <w:txbxContent>
                          <w:p>
                            <w:pPr>
                              <w:rPr>
                                <w:sz w:val="28"/>
                                <w:szCs w:val="28"/>
                              </w:rPr>
                            </w:pPr>
                            <w:bookmarkStart w:id="1" w:name="_Hlk90299206"/>
                            <w:bookmarkEnd w:id="1"/>
                            <w:r>
                              <w:rPr>
                                <w:sz w:val="28"/>
                                <w:szCs w:val="28"/>
                              </w:rPr>
                              <w:t>- Matériaux, fournitures,</w:t>
                            </w:r>
                          </w:p>
                          <w:p>
                            <w:pPr>
                              <w:rPr>
                                <w:sz w:val="28"/>
                                <w:szCs w:val="28"/>
                              </w:rPr>
                            </w:pPr>
                            <w:r>
                              <w:rPr>
                                <w:sz w:val="28"/>
                                <w:szCs w:val="28"/>
                              </w:rPr>
                              <w:t>- Main d’œuvre,</w:t>
                            </w:r>
                          </w:p>
                          <w:p>
                            <w:pPr>
                              <w:rPr>
                                <w:sz w:val="28"/>
                                <w:szCs w:val="28"/>
                              </w:rPr>
                            </w:pPr>
                            <w:r>
                              <w:rPr>
                                <w:sz w:val="28"/>
                                <w:szCs w:val="28"/>
                              </w:rPr>
                              <w:t>- Matériel, matières consommables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25.1pt;height:64.5pt;width:212.5pt;mso-position-horizontal:right;mso-position-horizontal-relative:margin;z-index:251662336;mso-width-relative:page;mso-height-relative:page;" fillcolor="#FFFFFF [3201]" filled="t" stroked="t" coordsize="21600,21600" o:gfxdata="UEsDBAoAAAAAAIdO4kAAAAAAAAAAAAAAAAAEAAAAZHJzL1BLAwQUAAAACACHTuJAd78aP9UAAAAH&#10;AQAADwAAAGRycy9kb3ducmV2LnhtbE2PwU7DMBBE70j8g7VI3Fq7KS1RiFMJJCTEjTYXbm68TSLs&#10;dWS7Tfl7lhMcd2Y087beXb0TF4xpDKRhtVQgkLpgR+o1tIfXRQkiZUPWuECo4RsT7Jrbm9pUNsz0&#10;gZd97gWXUKqMhiHnqZIydQN6k5ZhQmLvFKI3mc/YSxvNzOXeyUKprfRmJF4YzIQvA3Zf+7PX8LZ9&#10;zp/Y2ne7LtZhbmUXTy5pfX+3Uk8gMl7zXxh+8RkdGmY6hjPZJJwGfiRrWGxUAYLth2LDylHDY1mC&#10;bGr5n7/5AVBLAwQUAAAACACHTuJAIRx3QEsCAAC9BAAADgAAAGRycy9lMm9Eb2MueG1srVRNbxMx&#10;EL0j8R8s3+kmofQj6qYKrYKQKlqpICRujtebtbA9xnayW349z7ubtLQceiAHZ77yZubNTC4uO2vY&#10;ToWoyZV8ejThTDlJlXabkn/7unp3xllMwlXCkFMlf1CRXy7evrlo/VzNqCFTqcAA4uK89SVvUvLz&#10;ooiyUVbEI/LKwVlTsCJBDZuiCqIFujXFbDI5KVoKlQ8kVYywXg9OPiKG1wBSXWuprklurXJpQA3K&#10;iISWYqN95Iu+2rpWMt3WdVSJmZKj09S/SAJ5nd9icSHmmyB8o+VYgnhNCc96skI7JD1AXYsk2Dbo&#10;F1BWy0CR6nQkyRZDIz0j6GI6ecbNfSO86nsB1dEfSI//D1Z+2d0FpquSz045c8Ji4j8wd1YpllSX&#10;FIMdJLU+zhF77xGduo/UYXX29ghj7r2rg83f6IrBD4ofDhQDikkYZyfnZ6cf4JLwnU3Pp5ABXzz+&#10;2oeYPimyLAslDxhhz6zY3cQ0hO5DcrJIRlcrbUyvhM36ygS2Exj3qv+M6H+FGcfakp+8R+4XEBn7&#10;ALE2Qv58iYBqjUPRmZSh+Sylbt2NTK2pegBRgYZ9i16uNHBvREx3ImDBQABOMN3iqQ2hGBolzhoK&#10;v/9lz/GYO7yctVjYksdfWxEUZ+azw0acT4+PAZt65fjD6QxKeOpZP/W4rb0ikDTFsXvZizk+mb1Y&#10;B7LfcanLnBUu4SRylzztxas0nBEuXarlsg/CTnuRbty9lxk6k+touU1U6350maaBm5E9bHU//PEC&#10;89k81fuox3+d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3vxo/1QAAAAcBAAAPAAAAAAAAAAEA&#10;IAAAACIAAABkcnMvZG93bnJldi54bWxQSwECFAAUAAAACACHTuJAIRx3QEsCAAC9BAAADgAAAAAA&#10;AAABACAAAAAkAQAAZHJzL2Uyb0RvYy54bWxQSwUGAAAAAAYABgBZAQAA4QUAAAAA&#10;">
                <v:fill on="t" focussize="0,0"/>
                <v:stroke weight="0.5pt" color="#000000" joinstyle="round"/>
                <v:imagedata o:title=""/>
                <o:lock v:ext="edit" aspectratio="f"/>
                <v:textbox>
                  <w:txbxContent>
                    <w:p>
                      <w:pPr>
                        <w:rPr>
                          <w:sz w:val="28"/>
                          <w:szCs w:val="28"/>
                        </w:rPr>
                      </w:pPr>
                      <w:bookmarkStart w:id="1" w:name="_Hlk90299206"/>
                      <w:bookmarkEnd w:id="1"/>
                      <w:r>
                        <w:rPr>
                          <w:sz w:val="28"/>
                          <w:szCs w:val="28"/>
                        </w:rPr>
                        <w:t>- Matériaux, fournitures,</w:t>
                      </w:r>
                    </w:p>
                    <w:p>
                      <w:pPr>
                        <w:rPr>
                          <w:sz w:val="28"/>
                          <w:szCs w:val="28"/>
                        </w:rPr>
                      </w:pPr>
                      <w:r>
                        <w:rPr>
                          <w:sz w:val="28"/>
                          <w:szCs w:val="28"/>
                        </w:rPr>
                        <w:t>- Main d’œuvre,</w:t>
                      </w:r>
                    </w:p>
                    <w:p>
                      <w:pPr>
                        <w:rPr>
                          <w:sz w:val="28"/>
                          <w:szCs w:val="28"/>
                        </w:rPr>
                      </w:pPr>
                      <w:r>
                        <w:rPr>
                          <w:sz w:val="28"/>
                          <w:szCs w:val="28"/>
                        </w:rPr>
                        <w:t>- Matériel, matières consommables</w:t>
                      </w:r>
                    </w:p>
                  </w:txbxContent>
                </v:textbox>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3403600</wp:posOffset>
                </wp:positionH>
                <wp:positionV relativeFrom="paragraph">
                  <wp:posOffset>106045</wp:posOffset>
                </wp:positionV>
                <wp:extent cx="419100" cy="12700"/>
                <wp:effectExtent l="38100" t="57150" r="38100" b="139700"/>
                <wp:wrapNone/>
                <wp:docPr id="28" name="Connecteur droit avec flèche 28"/>
                <wp:cNvGraphicFramePr/>
                <a:graphic xmlns:a="http://schemas.openxmlformats.org/drawingml/2006/main">
                  <a:graphicData uri="http://schemas.microsoft.com/office/word/2010/wordprocessingShape">
                    <wps:wsp>
                      <wps:cNvCnPr/>
                      <wps:spPr>
                        <a:xfrm>
                          <a:off x="0" y="0"/>
                          <a:ext cx="419100" cy="12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68pt;margin-top:8.35pt;height:1pt;width:33pt;z-index:251659264;mso-width-relative:page;mso-height-relative:page;" filled="f" stroked="t" coordsize="21600,21600" o:gfxdata="UEsDBAoAAAAAAIdO4kAAAAAAAAAAAAAAAAAEAAAAZHJzL1BLAwQUAAAACACHTuJAtNiPpdYAAAAJ&#10;AQAADwAAAGRycy9kb3ducmV2LnhtbE2PzU7DMBCE70i8g7VI3KjdINIojdMDqAckLhQu3Nx4mx/i&#10;dbDdpLw9ywmOOzOa/abaXdwoZgyx96RhvVIgkBpve2o1vL/t7woQMRmyZvSEGr4xwq6+vqpMaf1C&#10;rzgfUiu4hGJpNHQpTaWUsenQmbjyExJ7Jx+cSXyGVtpgFi53o8yUyqUzPfGHzkz42GHzeTg7Dc/Z&#10;EF7cUwzDhx++5mGvCrsorW9v1moLIuEl/YXhF5/RoWamoz+TjWLU8HCf85bERr4BwYFcZSwcWSg2&#10;IOtK/l9Q/wBQSwMEFAAAAAgAh07iQHCB+Jo0AgAAhAQAAA4AAABkcnMvZTJvRG9jLnhtbK1UzY7T&#10;MBC+I/EOlu80bVlgiZruoWW5IKhYEOep7SSW/Kex27RvxHvwYoydUMoipD2QQ+Kx5+f7vhlndXey&#10;hh0VRu1dwxezOWfKCS+16xr+9cv9i1vOYgInwXinGn5Wkd+tnz9bDaFWS997IxUySuJiPYSG9ymF&#10;uqqi6JWFOPNBOTpsPVpIZGJXSYSBsltTLefz19XgUQb0QsVIu9vxkE8Z8SkJfdtqobZeHKxyacyK&#10;ykAiSrHXIfJ1Qdu2SqRPbRtVYqbhxDSVNxWh9T6/q/UK6g4h9FpMEOApEB5xsqAdFb2k2kICdkD9&#10;VyqrBfro2zQT3lYjkaIIsVjMH2nz0ENQhQtJHcNF9Pj/0oqPxx0yLRu+pL47sNTxjXeOhFMHZBK9&#10;TgyOSrDW/PhOPWbkR6INIdYUu3E7nKwYdpgVOLVo85e4sVMR+nwRWp0SE7R5s3i7mFMLBB0tlm9o&#10;SUmq37EBY3qvvGV50fCYEHTXpwmYx0XRGo4fYhoDfwXkws7fa2NoH2rj2EDMXt2UYkDT2tKUUF0b&#10;iHF0HWdgOroGImFJGb3RMofn6IjdfmOQHSEPT3kmnH+45dpbiP3oV46yG9QJtHnnJEvnQKom1OA6&#10;o6YUxmUXVUaUaGTDH5LCh14ObG8O+BkIIgHP0KXOMtDtGQ2a30ypWOjTN536MipZ538Bz/tgQg8j&#10;zJe3OXoUb+JZOnDBUKwreFXu+NjjvNp7eS6tL/s0nMV/ukh5+q9tWl//PN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TYj6XWAAAACQEAAA8AAAAAAAAAAQAgAAAAIgAAAGRycy9kb3ducmV2Lnht&#10;bFBLAQIUABQAAAAIAIdO4kBwgfiaNAIAAIQEAAAOAAAAAAAAAAEAIAAAACUBAABkcnMvZTJvRG9j&#10;LnhtbFBLBQYAAAAABgAGAFkBAADLBQAAAAA=&#10;">
                <v:fill on="f" focussize="0,0"/>
                <v:stroke weight="2pt" color="#000000 [3200]" joinstyle="round" endarrow="block"/>
                <v:imagedata o:title=""/>
                <o:lock v:ext="edit" aspectratio="f"/>
                <v:shadow on="t" color="#000000" opacity="24903f" offset="0pt,1.5748031496063pt" origin="0f,32768f" matrix="65536f,0f,0f,65536f"/>
              </v:shape>
            </w:pict>
          </mc:Fallback>
        </mc:AlternateContent>
      </w:r>
      <w:r>
        <w:rPr>
          <w:sz w:val="28"/>
          <w:szCs w:val="28"/>
        </w:rPr>
        <w:t>Il s’agit de chiffrer tous les composants du DS</w:t>
      </w:r>
    </w:p>
    <w:p>
      <w:pPr>
        <w:jc w:val="both"/>
        <w:rPr>
          <w:sz w:val="28"/>
          <w:szCs w:val="28"/>
        </w:rPr>
      </w:pPr>
    </w:p>
    <w:p>
      <w:pPr>
        <w:jc w:val="both"/>
        <w:rPr>
          <w:sz w:val="28"/>
          <w:szCs w:val="28"/>
        </w:rPr>
      </w:pPr>
    </w:p>
    <w:p>
      <w:pPr>
        <w:spacing w:line="360" w:lineRule="auto"/>
        <w:jc w:val="both"/>
        <w:rPr>
          <w:sz w:val="28"/>
          <w:szCs w:val="28"/>
        </w:rPr>
      </w:pPr>
      <w:r>
        <w:rPr>
          <w:b/>
          <w:bCs/>
          <w:sz w:val="28"/>
          <w:szCs w:val="28"/>
        </w:rPr>
        <w:t xml:space="preserve">Remarque </w:t>
      </w:r>
      <w:r>
        <w:rPr>
          <w:sz w:val="28"/>
          <w:szCs w:val="28"/>
        </w:rPr>
        <w:t xml:space="preserve">: </w:t>
      </w:r>
    </w:p>
    <w:p>
      <w:pPr>
        <w:spacing w:line="360" w:lineRule="auto"/>
        <w:jc w:val="both"/>
        <w:rPr>
          <w:sz w:val="28"/>
          <w:szCs w:val="28"/>
        </w:rPr>
      </w:pPr>
      <w:r>
        <w:rPr>
          <w:sz w:val="28"/>
          <w:szCs w:val="28"/>
        </w:rPr>
        <w:t>Le terme Prix de Vente ne doit s’appliquer normalement qu’au seul ouvrage dans son ensemble ; toutefois le client veut connaître lui les prix des différents ouvrages élémentaires</w:t>
      </w:r>
    </w:p>
    <w:p>
      <w:pPr>
        <w:spacing w:line="360" w:lineRule="auto"/>
        <w:jc w:val="both"/>
        <w:rPr>
          <w:sz w:val="28"/>
          <w:szCs w:val="28"/>
        </w:rPr>
      </w:pPr>
      <w:r>
        <w:rPr>
          <w:sz w:val="28"/>
          <w:szCs w:val="28"/>
        </w:rPr>
        <w:t>constituant l’ouvrage dans son ensemble.</w:t>
      </w:r>
    </w:p>
    <w:p>
      <w:pPr>
        <w:spacing w:line="360" w:lineRule="auto"/>
        <w:jc w:val="both"/>
        <w:rPr>
          <w:b/>
          <w:bCs/>
          <w:sz w:val="28"/>
          <w:szCs w:val="28"/>
        </w:rPr>
      </w:pPr>
      <w:r>
        <w:rPr>
          <w:rFonts w:hint="default"/>
          <w:b/>
          <w:bCs/>
          <w:sz w:val="28"/>
          <w:szCs w:val="28"/>
          <w:lang w:val="en-US"/>
        </w:rPr>
        <w:t>4.1</w:t>
      </w:r>
      <w:r>
        <w:rPr>
          <w:b/>
          <w:bCs/>
          <w:sz w:val="28"/>
          <w:szCs w:val="28"/>
        </w:rPr>
        <w:t xml:space="preserve"> Les charges et bénéfices</w:t>
      </w:r>
    </w:p>
    <w:p>
      <w:pPr>
        <w:overflowPunct/>
        <w:autoSpaceDE/>
        <w:autoSpaceDN/>
        <w:adjustRightInd/>
        <w:textAlignment w:val="auto"/>
        <w:rPr>
          <w:sz w:val="24"/>
          <w:szCs w:val="24"/>
        </w:rPr>
      </w:pPr>
    </w:p>
    <w:p>
      <w:pPr>
        <w:overflowPunct/>
        <w:autoSpaceDE/>
        <w:autoSpaceDN/>
        <w:adjustRightInd/>
        <w:textAlignment w:val="auto"/>
        <w:rPr>
          <w:sz w:val="24"/>
          <w:szCs w:val="24"/>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539750</wp:posOffset>
                </wp:positionH>
                <wp:positionV relativeFrom="paragraph">
                  <wp:posOffset>21590</wp:posOffset>
                </wp:positionV>
                <wp:extent cx="2305050" cy="1028700"/>
                <wp:effectExtent l="0" t="0" r="19050" b="19050"/>
                <wp:wrapNone/>
                <wp:docPr id="32" name="Zone de texte 32"/>
                <wp:cNvGraphicFramePr/>
                <a:graphic xmlns:a="http://schemas.openxmlformats.org/drawingml/2006/main">
                  <a:graphicData uri="http://schemas.microsoft.com/office/word/2010/wordprocessingShape">
                    <wps:wsp>
                      <wps:cNvSpPr txBox="1"/>
                      <wps:spPr>
                        <a:xfrm>
                          <a:off x="0" y="0"/>
                          <a:ext cx="2305050" cy="1028700"/>
                        </a:xfrm>
                        <a:prstGeom prst="rect">
                          <a:avLst/>
                        </a:prstGeom>
                        <a:solidFill>
                          <a:schemeClr val="lt1"/>
                        </a:solidFill>
                        <a:ln w="6350">
                          <a:solidFill>
                            <a:prstClr val="black"/>
                          </a:solidFill>
                        </a:ln>
                      </wps:spPr>
                      <wps:txbx>
                        <w:txbxContent>
                          <w:p>
                            <w:pPr>
                              <w:rPr>
                                <w:sz w:val="28"/>
                                <w:szCs w:val="28"/>
                              </w:rPr>
                            </w:pPr>
                            <w:r>
                              <w:rPr>
                                <w:sz w:val="28"/>
                                <w:szCs w:val="28"/>
                              </w:rPr>
                              <w:t>Frais de Chantier (F</w:t>
                            </w:r>
                            <w:r>
                              <w:rPr>
                                <w:sz w:val="28"/>
                                <w:szCs w:val="28"/>
                                <w:vertAlign w:val="subscript"/>
                              </w:rPr>
                              <w:t>C</w:t>
                            </w:r>
                            <w:r>
                              <w:rPr>
                                <w:sz w:val="28"/>
                                <w:szCs w:val="28"/>
                              </w:rPr>
                              <w:t>)</w:t>
                            </w:r>
                          </w:p>
                          <w:p>
                            <w:pPr>
                              <w:rPr>
                                <w:sz w:val="28"/>
                                <w:szCs w:val="28"/>
                              </w:rPr>
                            </w:pPr>
                            <w:r>
                              <w:rPr>
                                <w:sz w:val="28"/>
                                <w:szCs w:val="28"/>
                              </w:rPr>
                              <w:t>Frais Généraux de siège (F</w:t>
                            </w:r>
                            <w:r>
                              <w:rPr>
                                <w:sz w:val="28"/>
                                <w:szCs w:val="28"/>
                                <w:vertAlign w:val="subscript"/>
                              </w:rPr>
                              <w:t>S</w:t>
                            </w:r>
                            <w:r>
                              <w:rPr>
                                <w:sz w:val="28"/>
                                <w:szCs w:val="28"/>
                              </w:rPr>
                              <w:t>)</w:t>
                            </w:r>
                          </w:p>
                          <w:p>
                            <w:pPr>
                              <w:rPr>
                                <w:sz w:val="28"/>
                                <w:szCs w:val="28"/>
                              </w:rPr>
                            </w:pPr>
                            <w:r>
                              <w:rPr>
                                <w:sz w:val="28"/>
                                <w:szCs w:val="28"/>
                              </w:rPr>
                              <w:t>Bénéfice et Aléas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pt;margin-top:1.7pt;height:81pt;width:181.5pt;z-index:251660288;mso-width-relative:page;mso-height-relative:page;" fillcolor="#FFFFFF [3201]" filled="t" stroked="t" coordsize="21600,21600" o:gfxdata="UEsDBAoAAAAAAIdO4kAAAAAAAAAAAAAAAAAEAAAAZHJzL1BLAwQUAAAACACHTuJAPHaH1tUAAAAI&#10;AQAADwAAAGRycy9kb3ducmV2LnhtbE2PwWrDMBBE74X+g9hAb42c2DHGtRxooVB6a+pLb4q1sU2k&#10;lZGUOP37bk/tcZhh5k2zvzkrrhji5EnBZp2BQOq9mWhQ0H2+PlYgYtJktPWECr4xwr69v2t0bfxC&#10;H3g9pEFwCcVaKxhTmmspYz+i03HtZyT2Tj44nViGQZqgFy53Vm6zrJROT8QLo57xZcT+fLg4BW/l&#10;c/rCzrybfJv7pZN9ONmo1MNqkz2BSHhLf2H4xWd0aJnp6C9korAKqh1fSQryAgTbRVGxPnKu3BUg&#10;20b+P9D+AFBLAwQUAAAACACHTuJALR+Yw08CAAC+BAAADgAAAGRycy9lMm9Eb2MueG1srVRNb9sw&#10;DL0P2H8QdF/tpB/rgjpF1iLDgGIt0A0DdlNkORYmi5qkxO5+/Z7kJO3aHXqYDSgUST+Sj2QuLofO&#10;sK3yQZOt+OSo5ExZSbW264p/+7p8d85ZiMLWwpBVFX9QgV/O37656N1MTaklUyvPAGLDrHcVb2N0&#10;s6IIslWdCEfklIWxId+JiKtfF7UXPdA7U0zL8qzoydfOk1QhQHs9GvkO0b8GkJpGS3VNctMpG0dU&#10;r4yIKCm02gU+z9k2jZLxtmmCisxUHJXGfCII5FU6i/mFmK29cK2WuxTEa1J4VlMntEXQA9S1iIJt&#10;vH4B1WnpKVATjyR1xVhIZgRVTMpn3Ny3wqlcC6gO7kB6+H+w8sv2zjNdV/x4ypkVHTr+A31ntWJR&#10;DVEx6EFS78IMvvcO3nH4SANGZ68PUKbah8Z36RdVMdhB8cOBYkAxCeX0uDzFy5mEbVJOz9+XuQnF&#10;4+fOh/hJUceSUHGPHmZqxfYmRKQC171LihbI6HqpjckXv15dGc+2Av1e5idliU/+cjOW9RU/O0Yi&#10;LyAS9gFiZYT8+RIBeMYCNrEyVp+kOKyGHVUrqh/AlKdx4IKTSw3cGxHinfCYMDCAHYy3OBpDSIZ2&#10;Emct+d//0id/NB5WznpMbMXDr43wijPz2WIkPkxOTgAb8+Xk9P0UF//UsnpqsZvuikDSBNvuZBaT&#10;fzR7sfHUfceqLlJUmISViF3xuBev4rhHWHWpFovshKF2It7YeycTdCLX0mITqdG5dYmmkZsdexjr&#10;3J7dCqa9eXrPXo9/O/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HaH1tUAAAAIAQAADwAAAAAA&#10;AAABACAAAAAiAAAAZHJzL2Rvd25yZXYueG1sUEsBAhQAFAAAAAgAh07iQC0fmMNPAgAAvgQAAA4A&#10;AAAAAAAAAQAgAAAAJAEAAGRycy9lMm9Eb2MueG1sUEsFBgAAAAAGAAYAWQEAAOUFAAAAAA==&#10;">
                <v:fill on="t" focussize="0,0"/>
                <v:stroke weight="0.5pt" color="#000000" joinstyle="round"/>
                <v:imagedata o:title=""/>
                <o:lock v:ext="edit" aspectratio="f"/>
                <v:textbox>
                  <w:txbxContent>
                    <w:p>
                      <w:pPr>
                        <w:rPr>
                          <w:sz w:val="28"/>
                          <w:szCs w:val="28"/>
                        </w:rPr>
                      </w:pPr>
                      <w:r>
                        <w:rPr>
                          <w:sz w:val="28"/>
                          <w:szCs w:val="28"/>
                        </w:rPr>
                        <w:t>Frais de Chantier (F</w:t>
                      </w:r>
                      <w:r>
                        <w:rPr>
                          <w:sz w:val="28"/>
                          <w:szCs w:val="28"/>
                          <w:vertAlign w:val="subscript"/>
                        </w:rPr>
                        <w:t>C</w:t>
                      </w:r>
                      <w:r>
                        <w:rPr>
                          <w:sz w:val="28"/>
                          <w:szCs w:val="28"/>
                        </w:rPr>
                        <w:t>)</w:t>
                      </w:r>
                    </w:p>
                    <w:p>
                      <w:pPr>
                        <w:rPr>
                          <w:sz w:val="28"/>
                          <w:szCs w:val="28"/>
                        </w:rPr>
                      </w:pPr>
                      <w:r>
                        <w:rPr>
                          <w:sz w:val="28"/>
                          <w:szCs w:val="28"/>
                        </w:rPr>
                        <w:t>Frais Généraux de siège (F</w:t>
                      </w:r>
                      <w:r>
                        <w:rPr>
                          <w:sz w:val="28"/>
                          <w:szCs w:val="28"/>
                          <w:vertAlign w:val="subscript"/>
                        </w:rPr>
                        <w:t>S</w:t>
                      </w:r>
                      <w:r>
                        <w:rPr>
                          <w:sz w:val="28"/>
                          <w:szCs w:val="28"/>
                        </w:rPr>
                        <w:t>)</w:t>
                      </w:r>
                    </w:p>
                    <w:p>
                      <w:pPr>
                        <w:rPr>
                          <w:sz w:val="28"/>
                          <w:szCs w:val="28"/>
                        </w:rPr>
                      </w:pPr>
                      <w:r>
                        <w:rPr>
                          <w:sz w:val="28"/>
                          <w:szCs w:val="28"/>
                        </w:rPr>
                        <w:t>Bénéfice et Aléas</w:t>
                      </w:r>
                    </w:p>
                  </w:txbxContent>
                </v:textbox>
              </v:shape>
            </w:pict>
          </mc:Fallback>
        </mc:AlternateContent>
      </w:r>
    </w:p>
    <w:p>
      <w:pPr>
        <w:overflowPunct/>
        <w:autoSpaceDE/>
        <w:autoSpaceDN/>
        <w:adjustRightInd/>
        <w:textAlignment w:val="auto"/>
        <w:rPr>
          <w:sz w:val="24"/>
          <w:szCs w:val="24"/>
        </w:rPr>
      </w:pPr>
    </w:p>
    <w:p>
      <w:pPr>
        <w:overflowPunct/>
        <w:autoSpaceDE/>
        <w:autoSpaceDN/>
        <w:adjustRightInd/>
        <w:textAlignment w:val="auto"/>
        <w:rPr>
          <w:sz w:val="24"/>
          <w:szCs w:val="24"/>
        </w:rPr>
      </w:pPr>
    </w:p>
    <w:p>
      <w:pPr>
        <w:overflowPunct/>
        <w:autoSpaceDE/>
        <w:autoSpaceDN/>
        <w:adjustRightInd/>
        <w:textAlignment w:val="auto"/>
        <w:rPr>
          <w:sz w:val="24"/>
          <w:szCs w:val="24"/>
        </w:rPr>
      </w:pPr>
    </w:p>
    <w:p>
      <w:pPr>
        <w:overflowPunct/>
        <w:autoSpaceDE/>
        <w:autoSpaceDN/>
        <w:adjustRightInd/>
        <w:textAlignment w:val="auto"/>
        <w:rPr>
          <w:sz w:val="24"/>
          <w:szCs w:val="24"/>
        </w:rPr>
      </w:pPr>
    </w:p>
    <w:p>
      <w:pPr>
        <w:overflowPunct/>
        <w:autoSpaceDE/>
        <w:autoSpaceDN/>
        <w:adjustRightInd/>
        <w:textAlignment w:val="auto"/>
        <w:rPr>
          <w:sz w:val="24"/>
          <w:szCs w:val="24"/>
        </w:rPr>
      </w:pPr>
    </w:p>
    <w:p>
      <w:pPr>
        <w:overflowPunct/>
        <w:autoSpaceDE/>
        <w:autoSpaceDN/>
        <w:adjustRightInd/>
        <w:textAlignment w:val="auto"/>
        <w:rPr>
          <w:sz w:val="24"/>
          <w:szCs w:val="24"/>
        </w:rPr>
      </w:pPr>
    </w:p>
    <w:p>
      <w:pPr>
        <w:overflowPunct/>
        <w:autoSpaceDE/>
        <w:autoSpaceDN/>
        <w:adjustRightInd/>
        <w:spacing w:line="360" w:lineRule="auto"/>
        <w:jc w:val="both"/>
        <w:textAlignment w:val="auto"/>
        <w:rPr>
          <w:b/>
          <w:bCs/>
          <w:sz w:val="28"/>
          <w:szCs w:val="28"/>
        </w:rPr>
      </w:pPr>
      <w:bookmarkStart w:id="0" w:name="_Hlk90302619"/>
      <w:r>
        <w:rPr>
          <w:rFonts w:hint="default"/>
          <w:b/>
          <w:bCs/>
          <w:sz w:val="28"/>
          <w:szCs w:val="28"/>
          <w:lang w:val="en-US"/>
        </w:rPr>
        <w:t>4.2</w:t>
      </w:r>
      <w:r>
        <w:rPr>
          <w:b/>
          <w:bCs/>
          <w:sz w:val="28"/>
          <w:szCs w:val="28"/>
        </w:rPr>
        <w:t xml:space="preserve"> </w:t>
      </w:r>
      <w:bookmarkEnd w:id="0"/>
      <w:r>
        <w:rPr>
          <w:b/>
          <w:bCs/>
          <w:sz w:val="28"/>
          <w:szCs w:val="28"/>
        </w:rPr>
        <w:t xml:space="preserve">Calcul du coefficient d’entreprise </w:t>
      </w:r>
    </w:p>
    <w:p>
      <w:pPr>
        <w:overflowPunct/>
        <w:autoSpaceDE/>
        <w:autoSpaceDN/>
        <w:adjustRightInd/>
        <w:spacing w:line="360" w:lineRule="auto"/>
        <w:jc w:val="both"/>
        <w:textAlignment w:val="auto"/>
        <w:rPr>
          <w:sz w:val="28"/>
          <w:szCs w:val="28"/>
        </w:rPr>
      </w:pPr>
      <w:r>
        <w:rPr>
          <w:sz w:val="28"/>
          <w:szCs w:val="28"/>
        </w:rPr>
        <w:t>C’est le coefficient qui permet de passer directement du prix en déboursé sec au prix de vente hors taxes. Il varie d’une entreprise à l’autre, mais aussi pour une même entreprise d’un chantier à l’autre (Frais de chantier et bénéfice pouvant varier).</w:t>
      </w:r>
    </w:p>
    <w:p>
      <w:pPr>
        <w:overflowPunct/>
        <w:autoSpaceDE/>
        <w:autoSpaceDN/>
        <w:adjustRightInd/>
        <w:spacing w:line="360" w:lineRule="auto"/>
        <w:jc w:val="both"/>
        <w:textAlignment w:val="auto"/>
        <w:rPr>
          <w:sz w:val="28"/>
          <w:szCs w:val="28"/>
        </w:rPr>
      </w:pPr>
      <w:r>
        <w:rPr>
          <w:b/>
          <w:bCs/>
          <w:i/>
          <w:iCs/>
          <w:sz w:val="28"/>
          <w:szCs w:val="28"/>
        </w:rPr>
        <w:t>Remarque</w:t>
      </w:r>
      <w:r>
        <w:rPr>
          <w:sz w:val="28"/>
          <w:szCs w:val="28"/>
        </w:rPr>
        <w:t xml:space="preserve"> : Ce coefficient K est toujours supérieur à 1.000 à exprimer avec 3 à 4 décimales</w:t>
      </w:r>
    </w:p>
    <w:p>
      <w:pPr>
        <w:pStyle w:val="23"/>
        <w:numPr>
          <w:ilvl w:val="0"/>
          <w:numId w:val="3"/>
        </w:numPr>
        <w:overflowPunct/>
        <w:autoSpaceDE/>
        <w:autoSpaceDN/>
        <w:adjustRightInd/>
        <w:spacing w:line="360" w:lineRule="auto"/>
        <w:textAlignment w:val="auto"/>
        <w:rPr>
          <w:sz w:val="28"/>
          <w:szCs w:val="28"/>
        </w:rPr>
      </w:pPr>
      <w:r>
        <w:rPr>
          <w:sz w:val="28"/>
          <w:szCs w:val="28"/>
        </w:rPr>
        <w:t>Déboursés Secs .................................. noté .. D</w:t>
      </w:r>
      <w:r>
        <w:rPr>
          <w:sz w:val="28"/>
          <w:szCs w:val="28"/>
          <w:vertAlign w:val="subscript"/>
        </w:rPr>
        <w:t>S</w:t>
      </w:r>
    </w:p>
    <w:p>
      <w:pPr>
        <w:pStyle w:val="23"/>
        <w:numPr>
          <w:ilvl w:val="0"/>
          <w:numId w:val="3"/>
        </w:numPr>
        <w:overflowPunct/>
        <w:autoSpaceDE/>
        <w:autoSpaceDN/>
        <w:adjustRightInd/>
        <w:spacing w:line="360" w:lineRule="auto"/>
        <w:textAlignment w:val="auto"/>
        <w:rPr>
          <w:sz w:val="28"/>
          <w:szCs w:val="28"/>
        </w:rPr>
      </w:pPr>
      <w:r>
        <w:rPr>
          <w:sz w:val="28"/>
          <w:szCs w:val="28"/>
        </w:rPr>
        <w:t>Frais de Chantier (toujours fonction des DS) . noté . F</w:t>
      </w:r>
      <w:r>
        <w:rPr>
          <w:sz w:val="28"/>
          <w:szCs w:val="28"/>
          <w:vertAlign w:val="subscript"/>
        </w:rPr>
        <w:t>C</w:t>
      </w:r>
    </w:p>
    <w:p>
      <w:pPr>
        <w:pStyle w:val="23"/>
        <w:numPr>
          <w:ilvl w:val="0"/>
          <w:numId w:val="3"/>
        </w:numPr>
        <w:overflowPunct/>
        <w:autoSpaceDE/>
        <w:autoSpaceDN/>
        <w:adjustRightInd/>
        <w:spacing w:line="360" w:lineRule="auto"/>
        <w:textAlignment w:val="auto"/>
        <w:rPr>
          <w:sz w:val="28"/>
          <w:szCs w:val="28"/>
        </w:rPr>
      </w:pPr>
      <w:r>
        <w:rPr>
          <w:sz w:val="28"/>
          <w:szCs w:val="28"/>
        </w:rPr>
        <w:t>Coût de Réalisation .............................. noté .. C</w:t>
      </w:r>
      <w:r>
        <w:rPr>
          <w:sz w:val="28"/>
          <w:szCs w:val="28"/>
          <w:vertAlign w:val="subscript"/>
        </w:rPr>
        <w:t>R</w:t>
      </w:r>
      <w:r>
        <w:rPr>
          <w:sz w:val="28"/>
          <w:szCs w:val="28"/>
        </w:rPr>
        <w:t xml:space="preserve"> = D</w:t>
      </w:r>
      <w:r>
        <w:rPr>
          <w:sz w:val="28"/>
          <w:szCs w:val="28"/>
          <w:vertAlign w:val="subscript"/>
        </w:rPr>
        <w:t>S</w:t>
      </w:r>
      <w:r>
        <w:rPr>
          <w:sz w:val="28"/>
          <w:szCs w:val="28"/>
        </w:rPr>
        <w:t xml:space="preserve"> + F</w:t>
      </w:r>
      <w:r>
        <w:rPr>
          <w:sz w:val="28"/>
          <w:szCs w:val="28"/>
          <w:vertAlign w:val="subscript"/>
        </w:rPr>
        <w:t>C</w:t>
      </w:r>
    </w:p>
    <w:p>
      <w:pPr>
        <w:pStyle w:val="23"/>
        <w:numPr>
          <w:ilvl w:val="0"/>
          <w:numId w:val="3"/>
        </w:numPr>
        <w:overflowPunct/>
        <w:autoSpaceDE/>
        <w:autoSpaceDN/>
        <w:adjustRightInd/>
        <w:spacing w:line="360" w:lineRule="auto"/>
        <w:textAlignment w:val="auto"/>
        <w:rPr>
          <w:sz w:val="28"/>
          <w:szCs w:val="28"/>
        </w:rPr>
      </w:pPr>
      <w:r>
        <w:rPr>
          <w:sz w:val="28"/>
          <w:szCs w:val="28"/>
        </w:rPr>
        <w:t>Frais Généraux de siège</w:t>
      </w:r>
      <w:r>
        <w:t xml:space="preserve"> </w:t>
      </w:r>
      <w:r>
        <w:rPr>
          <w:sz w:val="28"/>
          <w:szCs w:val="28"/>
        </w:rPr>
        <w:t>noté ... F</w:t>
      </w:r>
      <w:r>
        <w:rPr>
          <w:rFonts w:hint="default"/>
          <w:sz w:val="28"/>
          <w:szCs w:val="28"/>
          <w:lang w:val="en-US"/>
        </w:rPr>
        <w:t>s</w:t>
      </w:r>
      <w:r>
        <w:rPr>
          <w:sz w:val="28"/>
          <w:szCs w:val="28"/>
        </w:rPr>
        <w:t xml:space="preserve"> (</w:t>
      </w:r>
      <w:r>
        <w:rPr>
          <w:rFonts w:hint="default"/>
          <w:sz w:val="28"/>
          <w:szCs w:val="28"/>
          <w:lang w:val="en-US"/>
        </w:rPr>
        <w:t>en</w:t>
      </w:r>
      <w:r>
        <w:rPr>
          <w:sz w:val="28"/>
          <w:szCs w:val="28"/>
        </w:rPr>
        <w:t xml:space="preserve"> du Chiffre d’affaires Hors Taxes CA)</w:t>
      </w:r>
    </w:p>
    <w:p>
      <w:pPr>
        <w:pStyle w:val="23"/>
        <w:numPr>
          <w:ilvl w:val="0"/>
          <w:numId w:val="3"/>
        </w:numPr>
        <w:overflowPunct/>
        <w:autoSpaceDE/>
        <w:autoSpaceDN/>
        <w:adjustRightInd/>
        <w:spacing w:line="360" w:lineRule="auto"/>
        <w:jc w:val="both"/>
        <w:textAlignment w:val="auto"/>
        <w:rPr>
          <w:sz w:val="28"/>
          <w:szCs w:val="28"/>
        </w:rPr>
      </w:pPr>
      <w:r>
        <w:rPr>
          <w:sz w:val="28"/>
          <w:szCs w:val="28"/>
        </w:rPr>
        <w:t>Marge Bénéficiaire (en fonction du PV HT) .... noté .. B (on peut inclure les Aléas)</w:t>
      </w:r>
    </w:p>
    <w:p>
      <w:pPr>
        <w:pStyle w:val="23"/>
        <w:numPr>
          <w:ilvl w:val="0"/>
          <w:numId w:val="3"/>
        </w:numPr>
        <w:overflowPunct/>
        <w:autoSpaceDE/>
        <w:autoSpaceDN/>
        <w:adjustRightInd/>
        <w:spacing w:line="360" w:lineRule="auto"/>
        <w:jc w:val="both"/>
        <w:textAlignment w:val="auto"/>
        <w:rPr>
          <w:sz w:val="28"/>
          <w:szCs w:val="28"/>
        </w:rPr>
      </w:pPr>
      <w:r>
        <w:rPr>
          <w:sz w:val="28"/>
          <w:szCs w:val="28"/>
        </w:rPr>
        <w:t>Taxes et impôts (en fonction du PV HT)</w:t>
      </w:r>
      <w:r>
        <w:t xml:space="preserve"> </w:t>
      </w:r>
      <w:r>
        <w:rPr>
          <w:sz w:val="28"/>
          <w:szCs w:val="28"/>
        </w:rPr>
        <w:t>.... noté… TI</w:t>
      </w:r>
    </w:p>
    <w:p>
      <w:pPr>
        <w:jc w:val="both"/>
        <w:rPr>
          <w:b/>
          <w:bCs/>
          <w:color w:val="000000" w:themeColor="text1"/>
          <w:sz w:val="28"/>
          <w:u w:val="none"/>
          <w14:textFill>
            <w14:solidFill>
              <w14:schemeClr w14:val="tx1"/>
            </w14:solidFill>
          </w14:textFill>
        </w:rPr>
      </w:pPr>
      <w:r>
        <w:rPr>
          <w:rFonts w:hint="default"/>
          <w:b/>
          <w:bCs/>
          <w:color w:val="000000" w:themeColor="text1"/>
          <w:sz w:val="28"/>
          <w:u w:val="none"/>
          <w:lang w:val="en-US"/>
          <w14:textFill>
            <w14:solidFill>
              <w14:schemeClr w14:val="tx1"/>
            </w14:solidFill>
          </w14:textFill>
        </w:rPr>
        <w:t>4.3</w:t>
      </w:r>
      <w:r>
        <w:rPr>
          <w:b/>
          <w:bCs/>
          <w:color w:val="000000" w:themeColor="text1"/>
          <w:sz w:val="28"/>
          <w:u w:val="none"/>
          <w14:textFill>
            <w14:solidFill>
              <w14:schemeClr w14:val="tx1"/>
            </w14:solidFill>
          </w14:textFill>
        </w:rPr>
        <w:t xml:space="preserve"> Calcul du prix de vente</w:t>
      </w:r>
    </w:p>
    <w:p>
      <w:pPr>
        <w:spacing w:line="360" w:lineRule="auto"/>
        <w:jc w:val="both"/>
        <w:rPr>
          <w:sz w:val="28"/>
          <w:szCs w:val="28"/>
        </w:rPr>
      </w:pPr>
      <w:r>
        <w:rPr>
          <w:sz w:val="28"/>
          <w:szCs w:val="28"/>
        </w:rPr>
        <w:t xml:space="preserve">Ces déboursés secs ne sont pas des prix de vente pour les clients. Ils représentent ce que l’ouvrage va coûter, à l’entreprise, en Matériaux, Matériels et Main d’œuvre.  Pour définir le prix de vente qu’on donnera au client, il faudra multiplier ces Déboursés secs par un coefficient de vente qui </w:t>
      </w:r>
      <w:r>
        <w:rPr>
          <w:sz w:val="28"/>
          <w:szCs w:val="28"/>
          <w:lang w:val="en-US"/>
        </w:rPr>
        <w:t>intégrera</w:t>
      </w:r>
      <w:r>
        <w:rPr>
          <w:sz w:val="28"/>
          <w:szCs w:val="28"/>
        </w:rPr>
        <w:t xml:space="preserve"> les frais de chantier, frais généraux et bien sûr le bénéfice prévisionnel. </w:t>
      </w:r>
    </w:p>
    <w:p>
      <w:pPr>
        <w:rPr>
          <w:sz w:val="28"/>
          <w:szCs w:val="28"/>
        </w:rPr>
      </w:pPr>
      <w:r>
        <w:rPr>
          <w:sz w:val="28"/>
          <w:szCs w:val="28"/>
        </w:rPr>
        <w:t>PVHT : C’est le montant total des travaux que le client aura à régler à l’entreprise.</w:t>
      </w:r>
    </w:p>
    <w:p>
      <w:pPr>
        <w:rPr>
          <w:sz w:val="28"/>
          <w:szCs w:val="28"/>
        </w:rPr>
      </w:pPr>
    </w:p>
    <w:p>
      <w:pPr>
        <w:spacing w:line="360" w:lineRule="auto"/>
        <w:rPr>
          <w:b/>
          <w:bCs/>
          <w:sz w:val="28"/>
          <w:szCs w:val="28"/>
        </w:rPr>
      </w:pPr>
      <w:r>
        <w:rPr>
          <w:b/>
          <w:bCs/>
          <w:sz w:val="28"/>
          <w:szCs w:val="28"/>
        </w:rPr>
        <w:t>PV</w:t>
      </w:r>
      <w:r>
        <w:rPr>
          <w:rFonts w:hint="default"/>
          <w:b/>
          <w:bCs/>
          <w:sz w:val="28"/>
          <w:szCs w:val="28"/>
          <w:lang w:val="en-US"/>
        </w:rPr>
        <w:t>(</w:t>
      </w:r>
      <w:r>
        <w:rPr>
          <w:b/>
          <w:bCs/>
          <w:sz w:val="28"/>
          <w:szCs w:val="28"/>
        </w:rPr>
        <w:t>TTC</w:t>
      </w:r>
      <w:r>
        <w:rPr>
          <w:rFonts w:hint="default"/>
          <w:b/>
          <w:bCs/>
          <w:sz w:val="28"/>
          <w:szCs w:val="28"/>
          <w:lang w:val="en-US"/>
        </w:rPr>
        <w:t>)</w:t>
      </w:r>
      <w:r>
        <w:rPr>
          <w:b/>
          <w:bCs/>
          <w:sz w:val="28"/>
          <w:szCs w:val="28"/>
        </w:rPr>
        <w:t xml:space="preserve"> = PVHT + TVA</w:t>
      </w:r>
    </w:p>
    <w:p>
      <w:pPr>
        <w:spacing w:line="360" w:lineRule="auto"/>
        <w:rPr>
          <w:sz w:val="28"/>
          <w:szCs w:val="28"/>
        </w:rPr>
      </w:pPr>
      <w:r>
        <w:rPr>
          <w:sz w:val="28"/>
          <w:szCs w:val="28"/>
        </w:rPr>
        <w:t xml:space="preserve">TVA = Taxe sur la Valeur Ajoutée = </w:t>
      </w:r>
      <w:r>
        <w:rPr>
          <w:rFonts w:hint="default"/>
          <w:sz w:val="28"/>
          <w:szCs w:val="28"/>
          <w:lang w:val="en-US"/>
        </w:rPr>
        <w:t>X</w:t>
      </w:r>
      <w:r>
        <w:rPr>
          <w:sz w:val="28"/>
          <w:szCs w:val="28"/>
        </w:rPr>
        <w:t>% du PVHT .</w:t>
      </w:r>
    </w:p>
    <w:p>
      <w:pPr>
        <w:spacing w:line="360" w:lineRule="auto"/>
        <w:rPr>
          <w:sz w:val="28"/>
          <w:szCs w:val="28"/>
        </w:rPr>
      </w:pPr>
      <w:r>
        <w:rPr>
          <w:sz w:val="28"/>
          <w:szCs w:val="28"/>
        </w:rPr>
        <w:t>C’est un impôt indirect que l’entreprise encaisse du client, mais qu’elle reverse au Trésor Public.</w:t>
      </w:r>
    </w:p>
    <w:p>
      <w:pPr>
        <w:keepNext/>
        <w:jc w:val="both"/>
        <w:outlineLvl w:val="0"/>
        <w:rPr>
          <w:sz w:val="24"/>
        </w:rPr>
      </w:pPr>
    </w:p>
    <w:p>
      <w:pPr>
        <w:keepNext/>
        <w:ind w:left="567"/>
        <w:jc w:val="center"/>
        <w:outlineLvl w:val="1"/>
        <w:rPr>
          <w:b/>
          <w:bCs/>
          <w:iCs/>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0" allowOverlap="1">
                <wp:simplePos x="0" y="0"/>
                <wp:positionH relativeFrom="column">
                  <wp:posOffset>1929130</wp:posOffset>
                </wp:positionH>
                <wp:positionV relativeFrom="paragraph">
                  <wp:posOffset>1270</wp:posOffset>
                </wp:positionV>
                <wp:extent cx="132715" cy="1223010"/>
                <wp:effectExtent l="26353" t="11747" r="26987" b="26988"/>
                <wp:wrapNone/>
                <wp:docPr id="6" name="Accolade ouvrante 6"/>
                <wp:cNvGraphicFramePr/>
                <a:graphic xmlns:a="http://schemas.openxmlformats.org/drawingml/2006/main">
                  <a:graphicData uri="http://schemas.microsoft.com/office/word/2010/wordprocessingShape">
                    <wps:wsp>
                      <wps:cNvSpPr/>
                      <wps:spPr bwMode="auto">
                        <a:xfrm rot="-5399403">
                          <a:off x="0" y="0"/>
                          <a:ext cx="132715" cy="1223010"/>
                        </a:xfrm>
                        <a:prstGeom prst="leftBrace">
                          <a:avLst>
                            <a:gd name="adj1" fmla="val 76794"/>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151.9pt;margin-top:0.1pt;height:96.3pt;width:10.45pt;rotation:-5897588f;z-index:251661312;mso-width-relative:page;mso-height-relative:page;" filled="f" stroked="t" coordsize="21600,21600" o:allowincell="f" o:gfxdata="UEsDBAoAAAAAAIdO4kAAAAAAAAAAAAAAAAAEAAAAZHJzL1BLAwQUAAAACACHTuJAj2Ua+dcAAAAI&#10;AQAADwAAAGRycy9kb3ducmV2LnhtbE2PzU7DMBCE70i8g7VI3KgdB6UlxOmBqIhLJShcuG1jkwTi&#10;dRS7P7w9ywmOoxnNfFOtz34URzfHIZCBbKFAOGqDHagz8Pa6uVmBiAnJ4hjIGfh2Edb15UWFpQ0n&#10;enHHXeoEl1As0UCf0lRKGdveeYyLMDli7yPMHhPLuZN2xhOX+1FqpQrpcSBe6HFyD71rv3YHb6B5&#10;1BG3+vNp2yyLLL03WdE+b4y5vsrUPYjkzukvDL/4jA41M+3DgWwUo4Fc5YyeDGgQbOf6dgliz7k7&#10;vQJZV/L/gfoHUEsDBBQAAAAIAIdO4kBFJMTkPQIAAHkEAAAOAAAAZHJzL2Uyb0RvYy54bWytVE1v&#10;2zAMvQ/YfxB0bx07X4tRp+hadBiwdQW6/QBFlmMNsqhRcpzu14+SvSzrLj1MB0EU6Ue+R8pX18fO&#10;sINCr8FWPL+ccaashFrbfcW/fb2/eMeZD8LWwoBVFX9Wnl9v3765GlypCmjB1AoZgVhfDq7ibQiu&#10;zDIvW9UJfwlOWXI2gJ0IZOI+q1EMhN6ZrJjNVtkAWDsEqbyn27vRySdEfA0gNI2W6g5k3ykbRlRU&#10;RgSi5FvtPN+maptGyfClabwKzFScmIa0UxI67+Keba9EuUfhWi2nEsRrSnjBqRPaUtIT1J0IgvWo&#10;/4HqtETw0IRLCV02EkmKEIt89kKbp1Y4lbiQ1N6dRPf/D1Y+HB6R6briK86s6KjhN1KCEbVi0B9Q&#10;2KDYKso0OF9S9JN7xMnydGS74TPU9JXoAyQFjg12DIGUvljON5vFbJ6uiSo7Jt2fT7qrY2CSLvN5&#10;sc6XnEly5UUxJyVixkyUESzK6tCHDwo6Fg8VN6oJ71HIKI4oxeGTD0n8eqIg6u85Z01nqJcHYdh6&#10;td4spl6fxRTnMcsZrSnthEgF/E4c4S3ca2PSxBjLhopvlsUyVeDB6Do6Y5jH/e7WIKPExDStCfav&#10;MITe1iNLY4ls1DcqOiq9g/qZ1E060qzSeyXaLeBPzgaa1or7H71AxZn5aGkcNvliEcc7GYvluiAD&#10;zz27c4+wkqAqHjgbj7dhfBK9Q71vKVOeaFm4oa42OsQyY31jVZNBE5l6NL2eOPLndor688f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ZRr51wAAAAgBAAAPAAAAAAAAAAEAIAAAACIAAABkcnMv&#10;ZG93bnJldi54bWxQSwECFAAUAAAACACHTuJARSTE5D0CAAB5BAAADgAAAAAAAAABACAAAAAmAQAA&#10;ZHJzL2Uyb0RvYy54bWxQSwUGAAAAAAYABgBZAQAA1QUAAAAA&#10;" adj="1799,10800">
                <v:fill on="f" focussize="0,0"/>
                <v:stroke color="#000000" joinstyle="round"/>
                <v:imagedata o:title=""/>
                <o:lock v:ext="edit" aspectratio="f"/>
              </v:shape>
            </w:pict>
          </mc:Fallback>
        </mc:AlternateContent>
      </w:r>
      <w:r>
        <w:rPr>
          <w:b/>
          <w:bCs/>
          <w:iCs/>
          <w:color w:val="000000" w:themeColor="text1"/>
          <w:sz w:val="28"/>
          <w:szCs w:val="28"/>
          <w14:textFill>
            <w14:solidFill>
              <w14:schemeClr w14:val="tx1"/>
            </w14:solidFill>
          </w14:textFill>
        </w:rPr>
        <w:t>Calcul du PVHT</w:t>
      </w:r>
    </w:p>
    <w:p>
      <w:pPr>
        <w:jc w:val="both"/>
        <w:rPr>
          <w:sz w:val="28"/>
          <w:szCs w:val="28"/>
        </w:rPr>
      </w:pPr>
    </w:p>
    <w:p>
      <w:pPr>
        <w:keepNext/>
        <w:jc w:val="center"/>
        <w:outlineLvl w:val="2"/>
        <w:rPr>
          <w:sz w:val="28"/>
          <w:szCs w:val="28"/>
          <w:lang w:val="en-US"/>
        </w:rPr>
      </w:pPr>
      <w:r>
        <w:rPr>
          <w:sz w:val="28"/>
          <w:szCs w:val="28"/>
          <w:lang w:val="en-US"/>
        </w:rPr>
        <w:t>DS</w:t>
      </w:r>
      <w:r>
        <w:rPr>
          <w:sz w:val="28"/>
          <w:szCs w:val="28"/>
          <w:lang w:val="en-US"/>
        </w:rPr>
        <w:tab/>
      </w:r>
      <w:r>
        <w:rPr>
          <w:sz w:val="28"/>
          <w:szCs w:val="28"/>
          <w:lang w:val="en-US"/>
        </w:rPr>
        <w:t>+</w:t>
      </w:r>
      <w:r>
        <w:rPr>
          <w:sz w:val="28"/>
          <w:szCs w:val="28"/>
          <w:lang w:val="en-US"/>
        </w:rPr>
        <w:tab/>
      </w:r>
      <w:r>
        <w:rPr>
          <w:sz w:val="28"/>
          <w:szCs w:val="28"/>
          <w:lang w:val="en-US"/>
        </w:rPr>
        <w:t>FC</w:t>
      </w:r>
      <w:r>
        <w:rPr>
          <w:sz w:val="28"/>
          <w:szCs w:val="28"/>
          <w:lang w:val="en-US"/>
        </w:rPr>
        <w:tab/>
      </w:r>
      <w:r>
        <w:rPr>
          <w:sz w:val="28"/>
          <w:szCs w:val="28"/>
          <w:lang w:val="en-US"/>
        </w:rPr>
        <w:t>+</w:t>
      </w:r>
      <w:r>
        <w:rPr>
          <w:sz w:val="28"/>
          <w:szCs w:val="28"/>
          <w:lang w:val="en-US"/>
        </w:rPr>
        <w:tab/>
      </w:r>
      <w:r>
        <w:rPr>
          <w:sz w:val="28"/>
          <w:szCs w:val="28"/>
          <w:lang w:val="en-US"/>
        </w:rPr>
        <w:t>F</w:t>
      </w:r>
      <w:r>
        <w:rPr>
          <w:sz w:val="28"/>
          <w:szCs w:val="28"/>
          <w:vertAlign w:val="subscript"/>
          <w:lang w:val="en-US"/>
        </w:rPr>
        <w:t>S</w:t>
      </w:r>
      <w:r>
        <w:rPr>
          <w:sz w:val="28"/>
          <w:szCs w:val="28"/>
          <w:lang w:val="en-US"/>
        </w:rPr>
        <w:tab/>
      </w:r>
      <w:r>
        <w:rPr>
          <w:sz w:val="28"/>
          <w:szCs w:val="28"/>
          <w:lang w:val="en-US"/>
        </w:rPr>
        <w:t>+  B    + TI</w:t>
      </w:r>
    </w:p>
    <w:p>
      <w:pPr>
        <w:jc w:val="both"/>
        <w:rPr>
          <w:sz w:val="28"/>
          <w:szCs w:val="28"/>
          <w:lang w:val="en-US"/>
        </w:rPr>
      </w:pPr>
    </w:p>
    <w:p>
      <w:pPr>
        <w:jc w:val="both"/>
        <w:rPr>
          <w:sz w:val="28"/>
          <w:szCs w:val="28"/>
        </w:rPr>
      </w:pPr>
      <w:r>
        <w:rPr>
          <w:sz w:val="28"/>
          <w:szCs w:val="28"/>
          <w:lang w:val="en-US"/>
        </w:rPr>
        <w:tab/>
      </w:r>
      <w:r>
        <w:rPr>
          <w:sz w:val="28"/>
          <w:szCs w:val="28"/>
          <w:lang w:val="en-US"/>
        </w:rPr>
        <w:tab/>
      </w:r>
      <w:r>
        <w:rPr>
          <w:sz w:val="28"/>
          <w:szCs w:val="28"/>
        </w:rPr>
        <w:t>Coût de Production CP ou coût de réalisation CR</w:t>
      </w:r>
    </w:p>
    <w:p>
      <w:pPr>
        <w:jc w:val="both"/>
        <w:rPr>
          <w:sz w:val="28"/>
          <w:szCs w:val="28"/>
        </w:rPr>
      </w:pPr>
      <w:r>
        <w:rPr>
          <w:sz w:val="28"/>
          <w:szCs w:val="28"/>
        </w:rPr>
        <w:tab/>
      </w:r>
      <w:r>
        <w:rPr>
          <w:sz w:val="28"/>
          <w:szCs w:val="28"/>
        </w:rPr>
        <w:tab/>
      </w:r>
    </w:p>
    <w:p>
      <w:pPr>
        <w:jc w:val="both"/>
        <w:rPr>
          <w:sz w:val="28"/>
          <w:szCs w:val="28"/>
        </w:rPr>
      </w:pPr>
      <w:r>
        <w:rPr>
          <w:sz w:val="28"/>
          <w:szCs w:val="28"/>
        </w:rPr>
        <w:tab/>
      </w:r>
      <w:r>
        <w:rPr>
          <w:sz w:val="28"/>
          <w:szCs w:val="28"/>
        </w:rPr>
        <w:tab/>
      </w:r>
      <w:r>
        <w:rPr>
          <w:sz w:val="28"/>
          <w:szCs w:val="28"/>
        </w:rPr>
        <w:tab/>
      </w:r>
    </w:p>
    <w:p>
      <w:pPr>
        <w:spacing w:line="360" w:lineRule="auto"/>
        <w:jc w:val="both"/>
        <w:rPr>
          <w:sz w:val="28"/>
          <w:szCs w:val="28"/>
        </w:rPr>
      </w:pPr>
      <w:r>
        <w:rPr>
          <w:sz w:val="28"/>
          <w:szCs w:val="28"/>
        </w:rPr>
        <w:t>On peut être amené à appliquer aux Déboursés Secs un coefficient de vente k, afin de diminuer les temps d’étude de chaque chantier.</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27"/>
        <w:gridCol w:w="606"/>
        <w:gridCol w:w="965"/>
        <w:gridCol w:w="953"/>
        <w:gridCol w:w="640"/>
        <w:gridCol w:w="807"/>
        <w:gridCol w:w="981"/>
        <w:gridCol w:w="968"/>
        <w:gridCol w:w="895"/>
        <w:gridCol w:w="929"/>
        <w:gridCol w:w="94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tcPr>
          <w:p>
            <w:pPr>
              <w:jc w:val="both"/>
              <w:rPr>
                <w:rFonts w:hint="default"/>
                <w:sz w:val="20"/>
                <w:szCs w:val="20"/>
                <w:vertAlign w:val="baseline"/>
                <w:lang w:val="en-US"/>
              </w:rPr>
            </w:pPr>
            <w:r>
              <w:rPr>
                <w:rFonts w:hint="default"/>
                <w:sz w:val="20"/>
                <w:szCs w:val="20"/>
                <w:vertAlign w:val="baseline"/>
                <w:lang w:val="en-US"/>
              </w:rPr>
              <w:t>Article</w:t>
            </w:r>
          </w:p>
        </w:tc>
        <w:tc>
          <w:tcPr>
            <w:tcW w:w="606" w:type="dxa"/>
          </w:tcPr>
          <w:p>
            <w:pPr>
              <w:jc w:val="both"/>
              <w:rPr>
                <w:sz w:val="20"/>
                <w:szCs w:val="20"/>
                <w:vertAlign w:val="baseline"/>
              </w:rPr>
            </w:pPr>
          </w:p>
        </w:tc>
        <w:tc>
          <w:tcPr>
            <w:tcW w:w="965" w:type="dxa"/>
          </w:tcPr>
          <w:p>
            <w:pPr>
              <w:jc w:val="both"/>
              <w:rPr>
                <w:sz w:val="20"/>
                <w:szCs w:val="20"/>
                <w:vertAlign w:val="baseline"/>
              </w:rPr>
            </w:pPr>
          </w:p>
        </w:tc>
        <w:tc>
          <w:tcPr>
            <w:tcW w:w="953" w:type="dxa"/>
          </w:tcPr>
          <w:p>
            <w:pPr>
              <w:jc w:val="both"/>
              <w:rPr>
                <w:sz w:val="20"/>
                <w:szCs w:val="20"/>
                <w:vertAlign w:val="baseline"/>
              </w:rPr>
            </w:pPr>
          </w:p>
        </w:tc>
        <w:tc>
          <w:tcPr>
            <w:tcW w:w="640" w:type="dxa"/>
          </w:tcPr>
          <w:p>
            <w:pPr>
              <w:jc w:val="both"/>
              <w:rPr>
                <w:sz w:val="20"/>
                <w:szCs w:val="20"/>
                <w:vertAlign w:val="baseline"/>
              </w:rPr>
            </w:pPr>
          </w:p>
        </w:tc>
        <w:tc>
          <w:tcPr>
            <w:tcW w:w="807" w:type="dxa"/>
          </w:tcPr>
          <w:p>
            <w:pPr>
              <w:jc w:val="both"/>
              <w:rPr>
                <w:sz w:val="20"/>
                <w:szCs w:val="20"/>
                <w:vertAlign w:val="baseline"/>
              </w:rPr>
            </w:pPr>
          </w:p>
        </w:tc>
        <w:tc>
          <w:tcPr>
            <w:tcW w:w="981" w:type="dxa"/>
          </w:tcPr>
          <w:p>
            <w:pPr>
              <w:jc w:val="both"/>
              <w:rPr>
                <w:sz w:val="20"/>
                <w:szCs w:val="20"/>
                <w:vertAlign w:val="baseline"/>
              </w:rPr>
            </w:pPr>
          </w:p>
        </w:tc>
        <w:tc>
          <w:tcPr>
            <w:tcW w:w="968" w:type="dxa"/>
          </w:tcPr>
          <w:p>
            <w:pPr>
              <w:jc w:val="both"/>
              <w:rPr>
                <w:sz w:val="20"/>
                <w:szCs w:val="20"/>
                <w:vertAlign w:val="baseline"/>
              </w:rPr>
            </w:pPr>
          </w:p>
        </w:tc>
        <w:tc>
          <w:tcPr>
            <w:tcW w:w="895" w:type="dxa"/>
          </w:tcPr>
          <w:p>
            <w:pPr>
              <w:jc w:val="both"/>
              <w:rPr>
                <w:sz w:val="20"/>
                <w:szCs w:val="20"/>
                <w:vertAlign w:val="baseline"/>
              </w:rPr>
            </w:pPr>
          </w:p>
        </w:tc>
        <w:tc>
          <w:tcPr>
            <w:tcW w:w="929" w:type="dxa"/>
          </w:tcPr>
          <w:p>
            <w:pPr>
              <w:jc w:val="both"/>
              <w:rPr>
                <w:sz w:val="20"/>
                <w:szCs w:val="20"/>
                <w:vertAlign w:val="baseline"/>
              </w:rPr>
            </w:pPr>
          </w:p>
        </w:tc>
        <w:tc>
          <w:tcPr>
            <w:tcW w:w="946" w:type="dxa"/>
          </w:tcPr>
          <w:p>
            <w:pPr>
              <w:jc w:val="both"/>
              <w:rPr>
                <w:sz w:val="20"/>
                <w:szCs w:val="20"/>
                <w:vertAlign w:val="baseline"/>
              </w:rPr>
            </w:pPr>
          </w:p>
        </w:tc>
        <w:tc>
          <w:tcPr>
            <w:tcW w:w="1066" w:type="dxa"/>
          </w:tcPr>
          <w:p>
            <w:pPr>
              <w:jc w:val="both"/>
              <w:rPr>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vMerge w:val="restart"/>
            <w:vAlign w:val="center"/>
          </w:tcPr>
          <w:p>
            <w:pPr>
              <w:jc w:val="center"/>
              <w:rPr>
                <w:rFonts w:hint="default"/>
                <w:sz w:val="18"/>
                <w:szCs w:val="18"/>
                <w:vertAlign w:val="baseline"/>
                <w:lang w:val="en-US"/>
              </w:rPr>
            </w:pPr>
            <w:r>
              <w:rPr>
                <w:rFonts w:hint="default"/>
                <w:sz w:val="18"/>
                <w:szCs w:val="18"/>
                <w:vertAlign w:val="baseline"/>
                <w:lang w:val="en-US"/>
              </w:rPr>
              <w:t>Article</w:t>
            </w:r>
          </w:p>
        </w:tc>
        <w:tc>
          <w:tcPr>
            <w:tcW w:w="606" w:type="dxa"/>
            <w:vMerge w:val="restart"/>
            <w:vAlign w:val="center"/>
          </w:tcPr>
          <w:p>
            <w:pPr>
              <w:jc w:val="center"/>
              <w:rPr>
                <w:rFonts w:hint="default"/>
                <w:sz w:val="18"/>
                <w:szCs w:val="18"/>
                <w:vertAlign w:val="baseline"/>
                <w:lang w:val="en-US"/>
              </w:rPr>
            </w:pPr>
            <w:r>
              <w:rPr>
                <w:rFonts w:hint="default"/>
                <w:sz w:val="18"/>
                <w:szCs w:val="18"/>
                <w:vertAlign w:val="baseline"/>
                <w:lang w:val="en-US"/>
              </w:rPr>
              <w:t>unité</w:t>
            </w:r>
          </w:p>
        </w:tc>
        <w:tc>
          <w:tcPr>
            <w:tcW w:w="2558" w:type="dxa"/>
            <w:gridSpan w:val="3"/>
          </w:tcPr>
          <w:p>
            <w:pPr>
              <w:jc w:val="center"/>
              <w:rPr>
                <w:rFonts w:hint="default"/>
                <w:sz w:val="18"/>
                <w:szCs w:val="18"/>
                <w:vertAlign w:val="baseline"/>
                <w:lang w:val="en-US"/>
              </w:rPr>
            </w:pPr>
            <w:r>
              <w:rPr>
                <w:rFonts w:hint="default"/>
                <w:sz w:val="18"/>
                <w:szCs w:val="18"/>
                <w:vertAlign w:val="baseline"/>
                <w:lang w:val="en-US"/>
              </w:rPr>
              <w:t>Frais</w:t>
            </w:r>
          </w:p>
        </w:tc>
        <w:tc>
          <w:tcPr>
            <w:tcW w:w="807" w:type="dxa"/>
            <w:vMerge w:val="restart"/>
            <w:vAlign w:val="center"/>
          </w:tcPr>
          <w:p>
            <w:pPr>
              <w:jc w:val="center"/>
              <w:rPr>
                <w:rFonts w:hint="default"/>
                <w:sz w:val="18"/>
                <w:szCs w:val="18"/>
                <w:vertAlign w:val="baseline"/>
                <w:lang w:val="en-US"/>
              </w:rPr>
            </w:pPr>
            <w:r>
              <w:rPr>
                <w:rFonts w:hint="default"/>
                <w:sz w:val="18"/>
                <w:szCs w:val="18"/>
                <w:vertAlign w:val="baseline"/>
                <w:lang w:val="en-US"/>
              </w:rPr>
              <w:t>Ds</w:t>
            </w:r>
          </w:p>
        </w:tc>
        <w:tc>
          <w:tcPr>
            <w:tcW w:w="981" w:type="dxa"/>
            <w:vMerge w:val="restart"/>
            <w:vAlign w:val="center"/>
          </w:tcPr>
          <w:p>
            <w:pPr>
              <w:jc w:val="center"/>
              <w:rPr>
                <w:rFonts w:hint="default"/>
                <w:sz w:val="18"/>
                <w:szCs w:val="18"/>
                <w:vertAlign w:val="baseline"/>
                <w:lang w:val="en-US"/>
              </w:rPr>
            </w:pPr>
            <w:r>
              <w:rPr>
                <w:rFonts w:hint="default"/>
                <w:sz w:val="18"/>
                <w:szCs w:val="18"/>
                <w:vertAlign w:val="baseline"/>
                <w:lang w:val="en-US"/>
              </w:rPr>
              <w:t>F.Chantier</w:t>
            </w:r>
          </w:p>
        </w:tc>
        <w:tc>
          <w:tcPr>
            <w:tcW w:w="968" w:type="dxa"/>
            <w:vMerge w:val="restart"/>
            <w:vAlign w:val="center"/>
          </w:tcPr>
          <w:p>
            <w:pPr>
              <w:jc w:val="center"/>
              <w:rPr>
                <w:rFonts w:hint="default"/>
                <w:sz w:val="18"/>
                <w:szCs w:val="18"/>
                <w:vertAlign w:val="baseline"/>
                <w:lang w:val="en-US"/>
              </w:rPr>
            </w:pPr>
            <w:r>
              <w:rPr>
                <w:rFonts w:hint="default"/>
                <w:sz w:val="18"/>
                <w:szCs w:val="18"/>
                <w:vertAlign w:val="baseline"/>
                <w:lang w:val="en-US"/>
              </w:rPr>
              <w:t>Cout de réalisation</w:t>
            </w:r>
          </w:p>
        </w:tc>
        <w:tc>
          <w:tcPr>
            <w:tcW w:w="895" w:type="dxa"/>
            <w:vMerge w:val="restart"/>
            <w:vAlign w:val="center"/>
          </w:tcPr>
          <w:p>
            <w:pPr>
              <w:jc w:val="center"/>
              <w:rPr>
                <w:rFonts w:hint="default"/>
                <w:sz w:val="18"/>
                <w:szCs w:val="18"/>
                <w:vertAlign w:val="baseline"/>
                <w:lang w:val="en-US"/>
              </w:rPr>
            </w:pPr>
            <w:r>
              <w:rPr>
                <w:rFonts w:hint="default"/>
                <w:sz w:val="18"/>
                <w:szCs w:val="18"/>
                <w:vertAlign w:val="baseline"/>
                <w:lang w:val="en-US"/>
              </w:rPr>
              <w:t>Frais de siege</w:t>
            </w:r>
          </w:p>
        </w:tc>
        <w:tc>
          <w:tcPr>
            <w:tcW w:w="929" w:type="dxa"/>
            <w:vMerge w:val="restart"/>
            <w:vAlign w:val="center"/>
          </w:tcPr>
          <w:p>
            <w:pPr>
              <w:jc w:val="center"/>
              <w:rPr>
                <w:rFonts w:hint="default"/>
                <w:sz w:val="18"/>
                <w:szCs w:val="18"/>
                <w:vertAlign w:val="baseline"/>
                <w:lang w:val="en-US"/>
              </w:rPr>
            </w:pPr>
            <w:r>
              <w:rPr>
                <w:rFonts w:hint="default"/>
                <w:sz w:val="18"/>
                <w:szCs w:val="18"/>
                <w:vertAlign w:val="baseline"/>
                <w:lang w:val="en-US"/>
              </w:rPr>
              <w:t>Taxe et impots</w:t>
            </w:r>
          </w:p>
        </w:tc>
        <w:tc>
          <w:tcPr>
            <w:tcW w:w="946" w:type="dxa"/>
            <w:vMerge w:val="restart"/>
            <w:vAlign w:val="center"/>
          </w:tcPr>
          <w:p>
            <w:pPr>
              <w:jc w:val="center"/>
              <w:rPr>
                <w:rFonts w:hint="default"/>
                <w:sz w:val="18"/>
                <w:szCs w:val="18"/>
                <w:vertAlign w:val="baseline"/>
                <w:lang w:val="en-US"/>
              </w:rPr>
            </w:pPr>
            <w:r>
              <w:rPr>
                <w:rFonts w:hint="default"/>
                <w:sz w:val="18"/>
                <w:szCs w:val="18"/>
                <w:vertAlign w:val="baseline"/>
                <w:lang w:val="en-US"/>
              </w:rPr>
              <w:t>Bénéfice</w:t>
            </w:r>
          </w:p>
        </w:tc>
        <w:tc>
          <w:tcPr>
            <w:tcW w:w="1066" w:type="dxa"/>
            <w:vMerge w:val="restart"/>
            <w:vAlign w:val="center"/>
          </w:tcPr>
          <w:p>
            <w:pPr>
              <w:jc w:val="center"/>
              <w:rPr>
                <w:rFonts w:hint="default"/>
                <w:sz w:val="18"/>
                <w:szCs w:val="18"/>
                <w:vertAlign w:val="baseline"/>
                <w:lang w:val="en-US"/>
              </w:rPr>
            </w:pPr>
            <w:r>
              <w:rPr>
                <w:rFonts w:hint="default"/>
                <w:sz w:val="18"/>
                <w:szCs w:val="18"/>
                <w:vertAlign w:val="baseline"/>
                <w:lang w:val="en-US"/>
              </w:rPr>
              <w:t>Pv</w:t>
            </w:r>
          </w:p>
          <w:p>
            <w:pPr>
              <w:jc w:val="center"/>
              <w:rPr>
                <w:rFonts w:hint="default"/>
                <w:sz w:val="18"/>
                <w:szCs w:val="18"/>
                <w:vertAlign w:val="baseline"/>
                <w:lang w:val="en-US"/>
              </w:rPr>
            </w:pPr>
            <w:r>
              <w:rPr>
                <w:rFonts w:hint="default"/>
                <w:sz w:val="18"/>
                <w:szCs w:val="18"/>
                <w:vertAlign w:val="baseline"/>
                <w:lang w:val="en-US"/>
              </w:rPr>
              <w:t xml:space="preserve"> 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vMerge w:val="continue"/>
            <w:tcBorders/>
          </w:tcPr>
          <w:p>
            <w:pPr>
              <w:jc w:val="both"/>
              <w:rPr>
                <w:sz w:val="18"/>
                <w:szCs w:val="18"/>
                <w:vertAlign w:val="baseline"/>
              </w:rPr>
            </w:pPr>
          </w:p>
        </w:tc>
        <w:tc>
          <w:tcPr>
            <w:tcW w:w="606" w:type="dxa"/>
            <w:vMerge w:val="continue"/>
            <w:tcBorders/>
          </w:tcPr>
          <w:p>
            <w:pPr>
              <w:jc w:val="both"/>
              <w:rPr>
                <w:sz w:val="18"/>
                <w:szCs w:val="18"/>
                <w:vertAlign w:val="baseline"/>
              </w:rPr>
            </w:pPr>
          </w:p>
        </w:tc>
        <w:tc>
          <w:tcPr>
            <w:tcW w:w="965" w:type="dxa"/>
          </w:tcPr>
          <w:p>
            <w:pPr>
              <w:jc w:val="both"/>
              <w:rPr>
                <w:rFonts w:hint="default"/>
                <w:sz w:val="18"/>
                <w:szCs w:val="18"/>
                <w:vertAlign w:val="baseline"/>
                <w:lang w:val="en-US"/>
              </w:rPr>
            </w:pPr>
            <w:r>
              <w:rPr>
                <w:rFonts w:hint="default"/>
                <w:sz w:val="18"/>
                <w:szCs w:val="18"/>
                <w:vertAlign w:val="baseline"/>
                <w:lang w:val="en-US"/>
              </w:rPr>
              <w:t>Matériaux</w:t>
            </w:r>
          </w:p>
        </w:tc>
        <w:tc>
          <w:tcPr>
            <w:tcW w:w="953" w:type="dxa"/>
          </w:tcPr>
          <w:p>
            <w:pPr>
              <w:jc w:val="both"/>
              <w:rPr>
                <w:rFonts w:hint="default"/>
                <w:sz w:val="18"/>
                <w:szCs w:val="18"/>
                <w:vertAlign w:val="baseline"/>
                <w:lang w:val="en-US"/>
              </w:rPr>
            </w:pPr>
            <w:r>
              <w:rPr>
                <w:rFonts w:hint="default"/>
                <w:sz w:val="18"/>
                <w:szCs w:val="18"/>
                <w:vertAlign w:val="baseline"/>
                <w:lang w:val="en-US"/>
              </w:rPr>
              <w:t>Matériels</w:t>
            </w:r>
          </w:p>
        </w:tc>
        <w:tc>
          <w:tcPr>
            <w:tcW w:w="640" w:type="dxa"/>
          </w:tcPr>
          <w:p>
            <w:pPr>
              <w:jc w:val="both"/>
              <w:rPr>
                <w:rFonts w:hint="default"/>
                <w:sz w:val="18"/>
                <w:szCs w:val="18"/>
                <w:vertAlign w:val="baseline"/>
                <w:lang w:val="en-US"/>
              </w:rPr>
            </w:pPr>
            <w:r>
              <w:rPr>
                <w:rFonts w:hint="default"/>
                <w:sz w:val="18"/>
                <w:szCs w:val="18"/>
                <w:vertAlign w:val="baseline"/>
                <w:lang w:val="en-US"/>
              </w:rPr>
              <w:t>M.O</w:t>
            </w:r>
          </w:p>
        </w:tc>
        <w:tc>
          <w:tcPr>
            <w:tcW w:w="807" w:type="dxa"/>
            <w:vMerge w:val="continue"/>
            <w:tcBorders/>
          </w:tcPr>
          <w:p>
            <w:pPr>
              <w:jc w:val="both"/>
              <w:rPr>
                <w:sz w:val="18"/>
                <w:szCs w:val="18"/>
                <w:vertAlign w:val="baseline"/>
              </w:rPr>
            </w:pPr>
          </w:p>
        </w:tc>
        <w:tc>
          <w:tcPr>
            <w:tcW w:w="981" w:type="dxa"/>
            <w:vMerge w:val="continue"/>
            <w:tcBorders/>
          </w:tcPr>
          <w:p>
            <w:pPr>
              <w:jc w:val="both"/>
              <w:rPr>
                <w:sz w:val="18"/>
                <w:szCs w:val="18"/>
                <w:vertAlign w:val="baseline"/>
              </w:rPr>
            </w:pPr>
          </w:p>
        </w:tc>
        <w:tc>
          <w:tcPr>
            <w:tcW w:w="968" w:type="dxa"/>
            <w:vMerge w:val="continue"/>
            <w:tcBorders/>
          </w:tcPr>
          <w:p>
            <w:pPr>
              <w:jc w:val="both"/>
              <w:rPr>
                <w:sz w:val="18"/>
                <w:szCs w:val="18"/>
                <w:vertAlign w:val="baseline"/>
              </w:rPr>
            </w:pPr>
          </w:p>
        </w:tc>
        <w:tc>
          <w:tcPr>
            <w:tcW w:w="895" w:type="dxa"/>
            <w:vMerge w:val="continue"/>
            <w:tcBorders/>
          </w:tcPr>
          <w:p>
            <w:pPr>
              <w:jc w:val="both"/>
              <w:rPr>
                <w:sz w:val="18"/>
                <w:szCs w:val="18"/>
                <w:vertAlign w:val="baseline"/>
              </w:rPr>
            </w:pPr>
          </w:p>
        </w:tc>
        <w:tc>
          <w:tcPr>
            <w:tcW w:w="929" w:type="dxa"/>
            <w:vMerge w:val="continue"/>
            <w:tcBorders/>
          </w:tcPr>
          <w:p>
            <w:pPr>
              <w:jc w:val="both"/>
              <w:rPr>
                <w:sz w:val="18"/>
                <w:szCs w:val="18"/>
                <w:vertAlign w:val="baseline"/>
              </w:rPr>
            </w:pPr>
          </w:p>
        </w:tc>
        <w:tc>
          <w:tcPr>
            <w:tcW w:w="946" w:type="dxa"/>
            <w:vMerge w:val="continue"/>
            <w:tcBorders/>
          </w:tcPr>
          <w:p>
            <w:pPr>
              <w:jc w:val="both"/>
              <w:rPr>
                <w:sz w:val="18"/>
                <w:szCs w:val="18"/>
                <w:vertAlign w:val="baseline"/>
              </w:rPr>
            </w:pPr>
          </w:p>
        </w:tc>
        <w:tc>
          <w:tcPr>
            <w:tcW w:w="1066" w:type="dxa"/>
            <w:vMerge w:val="continue"/>
            <w:tcBorders/>
          </w:tcPr>
          <w:p>
            <w:pPr>
              <w:jc w:val="both"/>
              <w:rPr>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vMerge w:val="continue"/>
            <w:tcBorders/>
          </w:tcPr>
          <w:p>
            <w:pPr>
              <w:jc w:val="both"/>
              <w:rPr>
                <w:sz w:val="18"/>
                <w:szCs w:val="18"/>
                <w:vertAlign w:val="baseline"/>
              </w:rPr>
            </w:pPr>
          </w:p>
        </w:tc>
        <w:tc>
          <w:tcPr>
            <w:tcW w:w="606" w:type="dxa"/>
            <w:vMerge w:val="continue"/>
            <w:tcBorders/>
          </w:tcPr>
          <w:p>
            <w:pPr>
              <w:jc w:val="both"/>
              <w:rPr>
                <w:sz w:val="18"/>
                <w:szCs w:val="18"/>
                <w:vertAlign w:val="baseline"/>
              </w:rPr>
            </w:pPr>
          </w:p>
        </w:tc>
        <w:tc>
          <w:tcPr>
            <w:tcW w:w="965" w:type="dxa"/>
          </w:tcPr>
          <w:p>
            <w:pPr>
              <w:jc w:val="both"/>
              <w:rPr>
                <w:rFonts w:hint="default"/>
                <w:sz w:val="16"/>
                <w:szCs w:val="16"/>
                <w:vertAlign w:val="baseline"/>
                <w:lang w:val="en-US"/>
              </w:rPr>
            </w:pPr>
            <w:r>
              <w:rPr>
                <w:rFonts w:hint="default"/>
                <w:sz w:val="16"/>
                <w:szCs w:val="16"/>
                <w:vertAlign w:val="baseline"/>
                <w:lang w:val="en-US"/>
              </w:rPr>
              <w:t>1</w:t>
            </w:r>
          </w:p>
        </w:tc>
        <w:tc>
          <w:tcPr>
            <w:tcW w:w="953" w:type="dxa"/>
          </w:tcPr>
          <w:p>
            <w:pPr>
              <w:jc w:val="both"/>
              <w:rPr>
                <w:rFonts w:hint="default"/>
                <w:sz w:val="16"/>
                <w:szCs w:val="16"/>
                <w:vertAlign w:val="baseline"/>
                <w:lang w:val="en-US"/>
              </w:rPr>
            </w:pPr>
            <w:r>
              <w:rPr>
                <w:rFonts w:hint="default"/>
                <w:sz w:val="16"/>
                <w:szCs w:val="16"/>
                <w:vertAlign w:val="baseline"/>
                <w:lang w:val="en-US"/>
              </w:rPr>
              <w:t>2</w:t>
            </w:r>
          </w:p>
        </w:tc>
        <w:tc>
          <w:tcPr>
            <w:tcW w:w="640" w:type="dxa"/>
          </w:tcPr>
          <w:p>
            <w:pPr>
              <w:jc w:val="both"/>
              <w:rPr>
                <w:rFonts w:hint="default"/>
                <w:sz w:val="16"/>
                <w:szCs w:val="16"/>
                <w:vertAlign w:val="baseline"/>
                <w:lang w:val="en-US"/>
              </w:rPr>
            </w:pPr>
            <w:r>
              <w:rPr>
                <w:rFonts w:hint="default"/>
                <w:sz w:val="16"/>
                <w:szCs w:val="16"/>
                <w:vertAlign w:val="baseline"/>
                <w:lang w:val="en-US"/>
              </w:rPr>
              <w:t>3</w:t>
            </w:r>
          </w:p>
        </w:tc>
        <w:tc>
          <w:tcPr>
            <w:tcW w:w="807" w:type="dxa"/>
          </w:tcPr>
          <w:p>
            <w:pPr>
              <w:jc w:val="both"/>
              <w:rPr>
                <w:rFonts w:hint="default"/>
                <w:sz w:val="16"/>
                <w:szCs w:val="16"/>
                <w:vertAlign w:val="baseline"/>
                <w:lang w:val="en-US"/>
              </w:rPr>
            </w:pPr>
            <w:r>
              <w:rPr>
                <w:rFonts w:hint="default"/>
                <w:sz w:val="16"/>
                <w:szCs w:val="16"/>
                <w:vertAlign w:val="baseline"/>
                <w:lang w:val="en-US"/>
              </w:rPr>
              <w:t>4=1+2+3</w:t>
            </w:r>
          </w:p>
        </w:tc>
        <w:tc>
          <w:tcPr>
            <w:tcW w:w="981" w:type="dxa"/>
          </w:tcPr>
          <w:p>
            <w:pPr>
              <w:jc w:val="both"/>
              <w:rPr>
                <w:rFonts w:hint="default"/>
                <w:sz w:val="16"/>
                <w:szCs w:val="16"/>
                <w:vertAlign w:val="baseline"/>
                <w:lang w:val="en-US"/>
              </w:rPr>
            </w:pPr>
            <w:r>
              <w:rPr>
                <w:rFonts w:hint="default"/>
                <w:sz w:val="16"/>
                <w:szCs w:val="16"/>
                <w:vertAlign w:val="baseline"/>
                <w:lang w:val="en-US"/>
              </w:rPr>
              <w:t>5=Fc% .Ds</w:t>
            </w:r>
          </w:p>
        </w:tc>
        <w:tc>
          <w:tcPr>
            <w:tcW w:w="968" w:type="dxa"/>
          </w:tcPr>
          <w:p>
            <w:pPr>
              <w:jc w:val="both"/>
              <w:rPr>
                <w:rFonts w:hint="default"/>
                <w:sz w:val="16"/>
                <w:szCs w:val="16"/>
                <w:vertAlign w:val="baseline"/>
                <w:lang w:val="en-US"/>
              </w:rPr>
            </w:pPr>
            <w:r>
              <w:rPr>
                <w:rFonts w:hint="default"/>
                <w:sz w:val="16"/>
                <w:szCs w:val="16"/>
                <w:vertAlign w:val="baseline"/>
                <w:lang w:val="en-US"/>
              </w:rPr>
              <w:t>6=5+4</w:t>
            </w:r>
          </w:p>
        </w:tc>
        <w:tc>
          <w:tcPr>
            <w:tcW w:w="895" w:type="dxa"/>
          </w:tcPr>
          <w:p>
            <w:pPr>
              <w:jc w:val="both"/>
              <w:rPr>
                <w:rFonts w:hint="default"/>
                <w:sz w:val="16"/>
                <w:szCs w:val="16"/>
                <w:vertAlign w:val="baseline"/>
                <w:lang w:val="en-US"/>
              </w:rPr>
            </w:pPr>
            <w:r>
              <w:rPr>
                <w:rFonts w:hint="default"/>
                <w:sz w:val="16"/>
                <w:szCs w:val="16"/>
                <w:vertAlign w:val="baseline"/>
                <w:lang w:val="en-US"/>
              </w:rPr>
              <w:t>7=a% Pv</w:t>
            </w:r>
          </w:p>
        </w:tc>
        <w:tc>
          <w:tcPr>
            <w:tcW w:w="929" w:type="dxa"/>
          </w:tcPr>
          <w:p>
            <w:pPr>
              <w:jc w:val="both"/>
              <w:rPr>
                <w:rFonts w:hint="default"/>
                <w:sz w:val="16"/>
                <w:szCs w:val="16"/>
                <w:vertAlign w:val="baseline"/>
                <w:lang w:val="en-US"/>
              </w:rPr>
            </w:pPr>
            <w:r>
              <w:rPr>
                <w:rFonts w:hint="default"/>
                <w:sz w:val="16"/>
                <w:szCs w:val="16"/>
                <w:vertAlign w:val="baseline"/>
                <w:lang w:val="en-US"/>
              </w:rPr>
              <w:t>8=b%Pv</w:t>
            </w:r>
          </w:p>
        </w:tc>
        <w:tc>
          <w:tcPr>
            <w:tcW w:w="946" w:type="dxa"/>
          </w:tcPr>
          <w:p>
            <w:pPr>
              <w:jc w:val="both"/>
              <w:rPr>
                <w:rFonts w:hint="default"/>
                <w:sz w:val="16"/>
                <w:szCs w:val="16"/>
                <w:vertAlign w:val="baseline"/>
                <w:lang w:val="en-US"/>
              </w:rPr>
            </w:pPr>
            <w:r>
              <w:rPr>
                <w:rFonts w:hint="default"/>
                <w:sz w:val="16"/>
                <w:szCs w:val="16"/>
                <w:vertAlign w:val="baseline"/>
                <w:lang w:val="en-US"/>
              </w:rPr>
              <w:t>9=c%PV</w:t>
            </w:r>
          </w:p>
        </w:tc>
        <w:tc>
          <w:tcPr>
            <w:tcW w:w="1066" w:type="dxa"/>
          </w:tcPr>
          <w:p>
            <w:pPr>
              <w:jc w:val="both"/>
              <w:rPr>
                <w:rFonts w:hint="default"/>
                <w:sz w:val="16"/>
                <w:szCs w:val="16"/>
                <w:vertAlign w:val="baseline"/>
                <w:lang w:val="en-US"/>
              </w:rPr>
            </w:pPr>
            <w:r>
              <w:rPr>
                <w:rFonts w:hint="default"/>
                <w:sz w:val="16"/>
                <w:szCs w:val="16"/>
                <w:vertAlign w:val="baseline"/>
                <w:lang w:val="en-US"/>
              </w:rPr>
              <w:t>Pv=6+7+8+9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tcPr>
          <w:p>
            <w:pPr>
              <w:jc w:val="both"/>
              <w:rPr>
                <w:rFonts w:hint="default"/>
                <w:sz w:val="18"/>
                <w:szCs w:val="18"/>
                <w:vertAlign w:val="baseline"/>
                <w:lang w:val="en-US"/>
              </w:rPr>
            </w:pPr>
            <w:r>
              <w:rPr>
                <w:rFonts w:hint="default"/>
                <w:sz w:val="18"/>
                <w:szCs w:val="18"/>
                <w:vertAlign w:val="baseline"/>
                <w:lang w:val="en-US"/>
              </w:rPr>
              <w:t>A</w:t>
            </w:r>
          </w:p>
        </w:tc>
        <w:tc>
          <w:tcPr>
            <w:tcW w:w="606" w:type="dxa"/>
          </w:tcPr>
          <w:p>
            <w:pPr>
              <w:jc w:val="both"/>
              <w:rPr>
                <w:sz w:val="18"/>
                <w:szCs w:val="18"/>
                <w:vertAlign w:val="baseline"/>
              </w:rPr>
            </w:pPr>
          </w:p>
        </w:tc>
        <w:tc>
          <w:tcPr>
            <w:tcW w:w="965" w:type="dxa"/>
          </w:tcPr>
          <w:p>
            <w:pPr>
              <w:jc w:val="both"/>
              <w:rPr>
                <w:rFonts w:hint="default"/>
                <w:sz w:val="16"/>
                <w:szCs w:val="16"/>
                <w:vertAlign w:val="baseline"/>
                <w:lang w:val="en-US"/>
              </w:rPr>
            </w:pPr>
          </w:p>
        </w:tc>
        <w:tc>
          <w:tcPr>
            <w:tcW w:w="953" w:type="dxa"/>
          </w:tcPr>
          <w:p>
            <w:pPr>
              <w:jc w:val="both"/>
              <w:rPr>
                <w:rFonts w:hint="default"/>
                <w:sz w:val="16"/>
                <w:szCs w:val="16"/>
                <w:vertAlign w:val="baseline"/>
                <w:lang w:val="en-US"/>
              </w:rPr>
            </w:pPr>
          </w:p>
        </w:tc>
        <w:tc>
          <w:tcPr>
            <w:tcW w:w="640" w:type="dxa"/>
          </w:tcPr>
          <w:p>
            <w:pPr>
              <w:jc w:val="both"/>
              <w:rPr>
                <w:rFonts w:hint="default"/>
                <w:sz w:val="16"/>
                <w:szCs w:val="16"/>
                <w:vertAlign w:val="baseline"/>
                <w:lang w:val="en-US"/>
              </w:rPr>
            </w:pPr>
          </w:p>
        </w:tc>
        <w:tc>
          <w:tcPr>
            <w:tcW w:w="807" w:type="dxa"/>
          </w:tcPr>
          <w:p>
            <w:pPr>
              <w:jc w:val="both"/>
              <w:rPr>
                <w:sz w:val="16"/>
                <w:szCs w:val="16"/>
                <w:vertAlign w:val="baseline"/>
              </w:rPr>
            </w:pPr>
          </w:p>
        </w:tc>
        <w:tc>
          <w:tcPr>
            <w:tcW w:w="981" w:type="dxa"/>
          </w:tcPr>
          <w:p>
            <w:pPr>
              <w:jc w:val="both"/>
              <w:rPr>
                <w:sz w:val="16"/>
                <w:szCs w:val="16"/>
                <w:vertAlign w:val="baseline"/>
              </w:rPr>
            </w:pPr>
          </w:p>
        </w:tc>
        <w:tc>
          <w:tcPr>
            <w:tcW w:w="968" w:type="dxa"/>
          </w:tcPr>
          <w:p>
            <w:pPr>
              <w:jc w:val="both"/>
              <w:rPr>
                <w:sz w:val="16"/>
                <w:szCs w:val="16"/>
                <w:vertAlign w:val="baseline"/>
              </w:rPr>
            </w:pPr>
          </w:p>
        </w:tc>
        <w:tc>
          <w:tcPr>
            <w:tcW w:w="895" w:type="dxa"/>
          </w:tcPr>
          <w:p>
            <w:pPr>
              <w:jc w:val="both"/>
              <w:rPr>
                <w:sz w:val="16"/>
                <w:szCs w:val="16"/>
                <w:vertAlign w:val="baseline"/>
              </w:rPr>
            </w:pPr>
          </w:p>
        </w:tc>
        <w:tc>
          <w:tcPr>
            <w:tcW w:w="929" w:type="dxa"/>
          </w:tcPr>
          <w:p>
            <w:pPr>
              <w:jc w:val="both"/>
              <w:rPr>
                <w:sz w:val="16"/>
                <w:szCs w:val="16"/>
                <w:vertAlign w:val="baseline"/>
              </w:rPr>
            </w:pPr>
          </w:p>
        </w:tc>
        <w:tc>
          <w:tcPr>
            <w:tcW w:w="946" w:type="dxa"/>
          </w:tcPr>
          <w:p>
            <w:pPr>
              <w:jc w:val="both"/>
              <w:rPr>
                <w:sz w:val="16"/>
                <w:szCs w:val="16"/>
                <w:vertAlign w:val="baseline"/>
              </w:rPr>
            </w:pPr>
          </w:p>
        </w:tc>
        <w:tc>
          <w:tcPr>
            <w:tcW w:w="1066" w:type="dxa"/>
          </w:tcPr>
          <w:p>
            <w:pPr>
              <w:jc w:val="both"/>
              <w:rPr>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tcPr>
          <w:p>
            <w:pPr>
              <w:jc w:val="both"/>
              <w:rPr>
                <w:rFonts w:hint="default"/>
                <w:sz w:val="18"/>
                <w:szCs w:val="18"/>
                <w:vertAlign w:val="baseline"/>
                <w:lang w:val="en-US"/>
              </w:rPr>
            </w:pPr>
            <w:r>
              <w:rPr>
                <w:rFonts w:hint="default"/>
                <w:sz w:val="18"/>
                <w:szCs w:val="18"/>
                <w:vertAlign w:val="baseline"/>
                <w:lang w:val="en-US"/>
              </w:rPr>
              <w:t>B</w:t>
            </w:r>
          </w:p>
        </w:tc>
        <w:tc>
          <w:tcPr>
            <w:tcW w:w="606" w:type="dxa"/>
          </w:tcPr>
          <w:p>
            <w:pPr>
              <w:jc w:val="both"/>
              <w:rPr>
                <w:sz w:val="18"/>
                <w:szCs w:val="18"/>
                <w:vertAlign w:val="baseline"/>
              </w:rPr>
            </w:pPr>
          </w:p>
        </w:tc>
        <w:tc>
          <w:tcPr>
            <w:tcW w:w="965" w:type="dxa"/>
          </w:tcPr>
          <w:p>
            <w:pPr>
              <w:jc w:val="both"/>
              <w:rPr>
                <w:rFonts w:hint="default"/>
                <w:sz w:val="16"/>
                <w:szCs w:val="16"/>
                <w:vertAlign w:val="baseline"/>
                <w:lang w:val="en-US"/>
              </w:rPr>
            </w:pPr>
          </w:p>
        </w:tc>
        <w:tc>
          <w:tcPr>
            <w:tcW w:w="953" w:type="dxa"/>
          </w:tcPr>
          <w:p>
            <w:pPr>
              <w:jc w:val="both"/>
              <w:rPr>
                <w:rFonts w:hint="default"/>
                <w:sz w:val="16"/>
                <w:szCs w:val="16"/>
                <w:vertAlign w:val="baseline"/>
                <w:lang w:val="en-US"/>
              </w:rPr>
            </w:pPr>
          </w:p>
        </w:tc>
        <w:tc>
          <w:tcPr>
            <w:tcW w:w="640" w:type="dxa"/>
          </w:tcPr>
          <w:p>
            <w:pPr>
              <w:jc w:val="both"/>
              <w:rPr>
                <w:rFonts w:hint="default"/>
                <w:sz w:val="16"/>
                <w:szCs w:val="16"/>
                <w:vertAlign w:val="baseline"/>
                <w:lang w:val="en-US"/>
              </w:rPr>
            </w:pPr>
          </w:p>
        </w:tc>
        <w:tc>
          <w:tcPr>
            <w:tcW w:w="807" w:type="dxa"/>
          </w:tcPr>
          <w:p>
            <w:pPr>
              <w:jc w:val="both"/>
              <w:rPr>
                <w:sz w:val="16"/>
                <w:szCs w:val="16"/>
                <w:vertAlign w:val="baseline"/>
              </w:rPr>
            </w:pPr>
          </w:p>
        </w:tc>
        <w:tc>
          <w:tcPr>
            <w:tcW w:w="981" w:type="dxa"/>
          </w:tcPr>
          <w:p>
            <w:pPr>
              <w:jc w:val="both"/>
              <w:rPr>
                <w:sz w:val="16"/>
                <w:szCs w:val="16"/>
                <w:vertAlign w:val="baseline"/>
              </w:rPr>
            </w:pPr>
          </w:p>
        </w:tc>
        <w:tc>
          <w:tcPr>
            <w:tcW w:w="968" w:type="dxa"/>
          </w:tcPr>
          <w:p>
            <w:pPr>
              <w:jc w:val="both"/>
              <w:rPr>
                <w:sz w:val="16"/>
                <w:szCs w:val="16"/>
                <w:vertAlign w:val="baseline"/>
              </w:rPr>
            </w:pPr>
          </w:p>
        </w:tc>
        <w:tc>
          <w:tcPr>
            <w:tcW w:w="895" w:type="dxa"/>
          </w:tcPr>
          <w:p>
            <w:pPr>
              <w:jc w:val="both"/>
              <w:rPr>
                <w:sz w:val="16"/>
                <w:szCs w:val="16"/>
                <w:vertAlign w:val="baseline"/>
              </w:rPr>
            </w:pPr>
          </w:p>
        </w:tc>
        <w:tc>
          <w:tcPr>
            <w:tcW w:w="929" w:type="dxa"/>
          </w:tcPr>
          <w:p>
            <w:pPr>
              <w:jc w:val="both"/>
              <w:rPr>
                <w:sz w:val="16"/>
                <w:szCs w:val="16"/>
                <w:vertAlign w:val="baseline"/>
              </w:rPr>
            </w:pPr>
          </w:p>
        </w:tc>
        <w:tc>
          <w:tcPr>
            <w:tcW w:w="946" w:type="dxa"/>
          </w:tcPr>
          <w:p>
            <w:pPr>
              <w:jc w:val="both"/>
              <w:rPr>
                <w:sz w:val="16"/>
                <w:szCs w:val="16"/>
                <w:vertAlign w:val="baseline"/>
              </w:rPr>
            </w:pPr>
          </w:p>
        </w:tc>
        <w:tc>
          <w:tcPr>
            <w:tcW w:w="1066" w:type="dxa"/>
          </w:tcPr>
          <w:p>
            <w:pPr>
              <w:jc w:val="both"/>
              <w:rPr>
                <w:sz w:val="16"/>
                <w:szCs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7" w:type="dxa"/>
          </w:tcPr>
          <w:p>
            <w:pPr>
              <w:jc w:val="both"/>
              <w:rPr>
                <w:rFonts w:hint="default"/>
                <w:sz w:val="18"/>
                <w:szCs w:val="18"/>
                <w:vertAlign w:val="baseline"/>
                <w:lang w:val="en-US"/>
              </w:rPr>
            </w:pPr>
            <w:r>
              <w:rPr>
                <w:rFonts w:hint="default"/>
                <w:sz w:val="18"/>
                <w:szCs w:val="18"/>
                <w:vertAlign w:val="baseline"/>
                <w:lang w:val="en-US"/>
              </w:rPr>
              <w:t>C</w:t>
            </w:r>
          </w:p>
        </w:tc>
        <w:tc>
          <w:tcPr>
            <w:tcW w:w="606" w:type="dxa"/>
          </w:tcPr>
          <w:p>
            <w:pPr>
              <w:jc w:val="both"/>
              <w:rPr>
                <w:sz w:val="18"/>
                <w:szCs w:val="18"/>
                <w:vertAlign w:val="baseline"/>
              </w:rPr>
            </w:pPr>
          </w:p>
        </w:tc>
        <w:tc>
          <w:tcPr>
            <w:tcW w:w="965" w:type="dxa"/>
          </w:tcPr>
          <w:p>
            <w:pPr>
              <w:jc w:val="both"/>
              <w:rPr>
                <w:rFonts w:hint="default"/>
                <w:sz w:val="16"/>
                <w:szCs w:val="16"/>
                <w:vertAlign w:val="baseline"/>
                <w:lang w:val="en-US"/>
              </w:rPr>
            </w:pPr>
          </w:p>
        </w:tc>
        <w:tc>
          <w:tcPr>
            <w:tcW w:w="953" w:type="dxa"/>
          </w:tcPr>
          <w:p>
            <w:pPr>
              <w:jc w:val="both"/>
              <w:rPr>
                <w:rFonts w:hint="default"/>
                <w:sz w:val="16"/>
                <w:szCs w:val="16"/>
                <w:vertAlign w:val="baseline"/>
                <w:lang w:val="en-US"/>
              </w:rPr>
            </w:pPr>
          </w:p>
        </w:tc>
        <w:tc>
          <w:tcPr>
            <w:tcW w:w="640" w:type="dxa"/>
          </w:tcPr>
          <w:p>
            <w:pPr>
              <w:jc w:val="both"/>
              <w:rPr>
                <w:rFonts w:hint="default"/>
                <w:sz w:val="16"/>
                <w:szCs w:val="16"/>
                <w:vertAlign w:val="baseline"/>
                <w:lang w:val="en-US"/>
              </w:rPr>
            </w:pPr>
          </w:p>
        </w:tc>
        <w:tc>
          <w:tcPr>
            <w:tcW w:w="807" w:type="dxa"/>
          </w:tcPr>
          <w:p>
            <w:pPr>
              <w:jc w:val="both"/>
              <w:rPr>
                <w:sz w:val="16"/>
                <w:szCs w:val="16"/>
                <w:vertAlign w:val="baseline"/>
              </w:rPr>
            </w:pPr>
          </w:p>
        </w:tc>
        <w:tc>
          <w:tcPr>
            <w:tcW w:w="981" w:type="dxa"/>
          </w:tcPr>
          <w:p>
            <w:pPr>
              <w:jc w:val="both"/>
              <w:rPr>
                <w:sz w:val="16"/>
                <w:szCs w:val="16"/>
                <w:vertAlign w:val="baseline"/>
              </w:rPr>
            </w:pPr>
          </w:p>
        </w:tc>
        <w:tc>
          <w:tcPr>
            <w:tcW w:w="968" w:type="dxa"/>
          </w:tcPr>
          <w:p>
            <w:pPr>
              <w:jc w:val="both"/>
              <w:rPr>
                <w:sz w:val="16"/>
                <w:szCs w:val="16"/>
                <w:vertAlign w:val="baseline"/>
              </w:rPr>
            </w:pPr>
          </w:p>
        </w:tc>
        <w:tc>
          <w:tcPr>
            <w:tcW w:w="895" w:type="dxa"/>
          </w:tcPr>
          <w:p>
            <w:pPr>
              <w:jc w:val="both"/>
              <w:rPr>
                <w:sz w:val="16"/>
                <w:szCs w:val="16"/>
                <w:vertAlign w:val="baseline"/>
              </w:rPr>
            </w:pPr>
          </w:p>
        </w:tc>
        <w:tc>
          <w:tcPr>
            <w:tcW w:w="929" w:type="dxa"/>
          </w:tcPr>
          <w:p>
            <w:pPr>
              <w:jc w:val="both"/>
              <w:rPr>
                <w:sz w:val="16"/>
                <w:szCs w:val="16"/>
                <w:vertAlign w:val="baseline"/>
              </w:rPr>
            </w:pPr>
          </w:p>
        </w:tc>
        <w:tc>
          <w:tcPr>
            <w:tcW w:w="946" w:type="dxa"/>
          </w:tcPr>
          <w:p>
            <w:pPr>
              <w:jc w:val="both"/>
              <w:rPr>
                <w:sz w:val="16"/>
                <w:szCs w:val="16"/>
                <w:vertAlign w:val="baseline"/>
              </w:rPr>
            </w:pPr>
          </w:p>
        </w:tc>
        <w:tc>
          <w:tcPr>
            <w:tcW w:w="1066" w:type="dxa"/>
          </w:tcPr>
          <w:p>
            <w:pPr>
              <w:jc w:val="both"/>
              <w:rPr>
                <w:sz w:val="16"/>
                <w:szCs w:val="16"/>
                <w:vertAlign w:val="baseline"/>
              </w:rPr>
            </w:pPr>
          </w:p>
        </w:tc>
      </w:tr>
    </w:tbl>
    <w:p>
      <w:pPr>
        <w:jc w:val="both"/>
        <w:rPr>
          <w:sz w:val="28"/>
          <w:szCs w:val="28"/>
        </w:rPr>
      </w:pPr>
    </w:p>
    <w:p>
      <w:pPr>
        <w:spacing w:line="360" w:lineRule="auto"/>
        <w:jc w:val="both"/>
        <w:rPr>
          <w:rFonts w:hint="default"/>
          <w:sz w:val="28"/>
          <w:szCs w:val="28"/>
          <w:lang w:val="en-US"/>
        </w:rPr>
      </w:pPr>
      <w:r>
        <w:rPr>
          <w:rFonts w:hint="default"/>
          <w:sz w:val="28"/>
          <w:szCs w:val="28"/>
          <w:lang w:val="en-US"/>
        </w:rPr>
        <w:t>Pv= Ds+Fc% Ds+a%Pv+b%Pv+c%Pv</w:t>
      </w:r>
    </w:p>
    <w:p>
      <w:pPr>
        <w:spacing w:line="360" w:lineRule="auto"/>
        <w:jc w:val="both"/>
        <w:rPr>
          <w:rFonts w:hint="default"/>
          <w:sz w:val="28"/>
          <w:szCs w:val="28"/>
          <w:lang w:val="en-US"/>
        </w:rPr>
      </w:pPr>
      <w:r>
        <w:rPr>
          <w:rFonts w:hint="default"/>
          <w:sz w:val="28"/>
          <w:szCs w:val="28"/>
          <w:lang w:val="en-US"/>
        </w:rPr>
        <w:t>Pv= Ds.(1+Fc)/(1-(a+b+c))</w:t>
      </w:r>
    </w:p>
    <w:p>
      <w:pPr>
        <w:spacing w:line="360" w:lineRule="auto"/>
        <w:jc w:val="both"/>
        <w:rPr>
          <w:rFonts w:hint="default"/>
          <w:sz w:val="28"/>
          <w:szCs w:val="28"/>
          <w:lang w:val="en-US"/>
        </w:rPr>
      </w:pPr>
      <w:r>
        <w:rPr>
          <w:rFonts w:hint="default"/>
          <w:sz w:val="28"/>
          <w:szCs w:val="28"/>
          <w:lang w:val="en-US"/>
        </w:rPr>
        <w:t>Limite d’application</w:t>
      </w:r>
    </w:p>
    <w:p>
      <w:pPr>
        <w:spacing w:line="360" w:lineRule="auto"/>
        <w:jc w:val="both"/>
        <w:rPr>
          <w:rFonts w:hint="default"/>
          <w:sz w:val="28"/>
          <w:szCs w:val="28"/>
          <w:lang w:val="en-US"/>
        </w:rPr>
      </w:pPr>
      <w:r>
        <w:rPr>
          <w:rFonts w:hint="default"/>
          <w:sz w:val="28"/>
          <w:szCs w:val="28"/>
          <w:lang w:val="en-US"/>
        </w:rPr>
        <w:t>a+b+c &lt;1</w:t>
      </w:r>
    </w:p>
    <w:bookmarkEnd w:id="2"/>
    <w:sectPr>
      <w:footerReference r:id="rId3" w:type="default"/>
      <w:pgSz w:w="11907" w:h="16840"/>
      <w:pgMar w:top="568" w:right="720" w:bottom="993" w:left="720" w:header="568" w:footer="621"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UniversalMath1 BT">
    <w:altName w:val="Symbol"/>
    <w:panose1 w:val="00000000000000000000"/>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471682"/>
      <w:docPartObj>
        <w:docPartGallery w:val="AutoText"/>
      </w:docPartObj>
    </w:sdtPr>
    <w:sdtContent>
      <w:p>
        <w:pPr>
          <w:pStyle w:val="17"/>
          <w:jc w:val="right"/>
        </w:pPr>
        <w:r>
          <w:fldChar w:fldCharType="begin"/>
        </w:r>
        <w:r>
          <w:instrText xml:space="preserve">PAGE   \* MERGEFORMAT</w:instrText>
        </w:r>
        <w:r>
          <w:fldChar w:fldCharType="separate"/>
        </w:r>
        <w:r>
          <w:t>2</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64FB4"/>
    <w:multiLevelType w:val="multilevel"/>
    <w:tmpl w:val="00864F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7395E34"/>
    <w:multiLevelType w:val="multilevel"/>
    <w:tmpl w:val="57395E34"/>
    <w:lvl w:ilvl="0" w:tentative="0">
      <w:start w:val="15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9E15DBF"/>
    <w:multiLevelType w:val="singleLevel"/>
    <w:tmpl w:val="59E15DBF"/>
    <w:lvl w:ilvl="0" w:tentative="0">
      <w:start w:val="1"/>
      <w:numFmt w:val="bullet"/>
      <w:lvlText w:val="-"/>
      <w:lvlJc w:val="left"/>
      <w:pPr>
        <w:tabs>
          <w:tab w:val="left" w:pos="1068"/>
        </w:tabs>
        <w:ind w:left="1068"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drawingGridHorizontalSpacing w:val="57"/>
  <w:drawingGridVerticalSpacing w:val="57"/>
  <w:displayVerticalDrawingGridEvery w:val="0"/>
  <w:doNotUseMarginsForDrawingGridOrigin w:val="1"/>
  <w:drawingGridHorizontalOrigin w:val="1800"/>
  <w:drawingGridVerticalOrigin w:val="1985"/>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09"/>
    <w:rsid w:val="00003173"/>
    <w:rsid w:val="0000624D"/>
    <w:rsid w:val="00012EB3"/>
    <w:rsid w:val="000214B2"/>
    <w:rsid w:val="00066D2F"/>
    <w:rsid w:val="0007703D"/>
    <w:rsid w:val="000F0466"/>
    <w:rsid w:val="000F5C7B"/>
    <w:rsid w:val="000F6F2A"/>
    <w:rsid w:val="00103456"/>
    <w:rsid w:val="00121344"/>
    <w:rsid w:val="00137E13"/>
    <w:rsid w:val="0015117A"/>
    <w:rsid w:val="001B5CB0"/>
    <w:rsid w:val="001C75FA"/>
    <w:rsid w:val="002049BD"/>
    <w:rsid w:val="00213BBC"/>
    <w:rsid w:val="00220A46"/>
    <w:rsid w:val="00244908"/>
    <w:rsid w:val="002A263A"/>
    <w:rsid w:val="002D559B"/>
    <w:rsid w:val="002F3C8F"/>
    <w:rsid w:val="00337E04"/>
    <w:rsid w:val="00377A3A"/>
    <w:rsid w:val="00391314"/>
    <w:rsid w:val="003F79DC"/>
    <w:rsid w:val="00443352"/>
    <w:rsid w:val="00460CD9"/>
    <w:rsid w:val="0046272D"/>
    <w:rsid w:val="00466DEC"/>
    <w:rsid w:val="00472A2C"/>
    <w:rsid w:val="00485DB1"/>
    <w:rsid w:val="004A12EE"/>
    <w:rsid w:val="004B38C1"/>
    <w:rsid w:val="004B6F24"/>
    <w:rsid w:val="004D70D9"/>
    <w:rsid w:val="004E4EF5"/>
    <w:rsid w:val="004E7C8F"/>
    <w:rsid w:val="004F4B80"/>
    <w:rsid w:val="004F5B9E"/>
    <w:rsid w:val="0050632A"/>
    <w:rsid w:val="00536E68"/>
    <w:rsid w:val="00577260"/>
    <w:rsid w:val="005A0F7E"/>
    <w:rsid w:val="005C1074"/>
    <w:rsid w:val="005F5609"/>
    <w:rsid w:val="00604FFD"/>
    <w:rsid w:val="006248F3"/>
    <w:rsid w:val="006362F6"/>
    <w:rsid w:val="0069770B"/>
    <w:rsid w:val="00697927"/>
    <w:rsid w:val="006A1793"/>
    <w:rsid w:val="006A3013"/>
    <w:rsid w:val="006A423E"/>
    <w:rsid w:val="0072265A"/>
    <w:rsid w:val="00736CC7"/>
    <w:rsid w:val="0075100C"/>
    <w:rsid w:val="00754850"/>
    <w:rsid w:val="007B1F7D"/>
    <w:rsid w:val="007B3364"/>
    <w:rsid w:val="008251A7"/>
    <w:rsid w:val="008806E7"/>
    <w:rsid w:val="008A474F"/>
    <w:rsid w:val="009B6488"/>
    <w:rsid w:val="009F64E1"/>
    <w:rsid w:val="00A01F47"/>
    <w:rsid w:val="00A6331D"/>
    <w:rsid w:val="00A80659"/>
    <w:rsid w:val="00AA5D1F"/>
    <w:rsid w:val="00AB600D"/>
    <w:rsid w:val="00AF3E08"/>
    <w:rsid w:val="00AF795A"/>
    <w:rsid w:val="00B00EB0"/>
    <w:rsid w:val="00B94921"/>
    <w:rsid w:val="00B966B1"/>
    <w:rsid w:val="00BD1F11"/>
    <w:rsid w:val="00C1259D"/>
    <w:rsid w:val="00C46B94"/>
    <w:rsid w:val="00C66772"/>
    <w:rsid w:val="00C85296"/>
    <w:rsid w:val="00C86021"/>
    <w:rsid w:val="00C87A5D"/>
    <w:rsid w:val="00C87C7A"/>
    <w:rsid w:val="00CD17D7"/>
    <w:rsid w:val="00CD2ECE"/>
    <w:rsid w:val="00CD3F79"/>
    <w:rsid w:val="00CD7AC4"/>
    <w:rsid w:val="00CE028E"/>
    <w:rsid w:val="00CF2A09"/>
    <w:rsid w:val="00D46F55"/>
    <w:rsid w:val="00D712CA"/>
    <w:rsid w:val="00D73DF5"/>
    <w:rsid w:val="00D92FF1"/>
    <w:rsid w:val="00DC5826"/>
    <w:rsid w:val="00DD1318"/>
    <w:rsid w:val="00DD3A18"/>
    <w:rsid w:val="00DF18CF"/>
    <w:rsid w:val="00DF3E6E"/>
    <w:rsid w:val="00E07FE7"/>
    <w:rsid w:val="00E6686B"/>
    <w:rsid w:val="00E73156"/>
    <w:rsid w:val="00E83C53"/>
    <w:rsid w:val="00EA54DF"/>
    <w:rsid w:val="00ED436A"/>
    <w:rsid w:val="00EE2F2C"/>
    <w:rsid w:val="00EF68A4"/>
    <w:rsid w:val="00EF716A"/>
    <w:rsid w:val="00F11DB1"/>
    <w:rsid w:val="00F46F04"/>
    <w:rsid w:val="00F75F43"/>
    <w:rsid w:val="00F82C0A"/>
    <w:rsid w:val="00F85778"/>
    <w:rsid w:val="00FB5A4F"/>
    <w:rsid w:val="00FF3B0E"/>
    <w:rsid w:val="2E65397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59" w:semiHidden="0" w:name="Table Grid"/>
    <w:lsdException w:qFormat="1" w:unhideWhenUsed="0" w:uiPriority="99" w:name="Placeholder Text"/>
    <w:lsdException w:qFormat="1" w:unhideWhenUsed="0" w:uiPriority="34" w:semiHidden="0" w:name="List Paragraph"/>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fr-FR" w:eastAsia="fr-FR" w:bidi="ar-SA"/>
    </w:rPr>
  </w:style>
  <w:style w:type="paragraph" w:styleId="2">
    <w:name w:val="heading 1"/>
    <w:basedOn w:val="1"/>
    <w:next w:val="1"/>
    <w:link w:val="28"/>
    <w:qFormat/>
    <w:uiPriority w:val="0"/>
    <w:pPr>
      <w:keepNext/>
      <w:jc w:val="both"/>
      <w:outlineLvl w:val="0"/>
    </w:pPr>
    <w:rPr>
      <w:sz w:val="24"/>
      <w:lang w:val="en-GB"/>
    </w:rPr>
  </w:style>
  <w:style w:type="paragraph" w:styleId="3">
    <w:name w:val="heading 2"/>
    <w:basedOn w:val="1"/>
    <w:next w:val="1"/>
    <w:link w:val="29"/>
    <w:qFormat/>
    <w:uiPriority w:val="0"/>
    <w:pPr>
      <w:keepNext/>
      <w:jc w:val="center"/>
      <w:outlineLvl w:val="1"/>
    </w:pPr>
    <w:rPr>
      <w:i/>
      <w:iCs/>
      <w:sz w:val="24"/>
      <w:u w:val="single"/>
    </w:rPr>
  </w:style>
  <w:style w:type="paragraph" w:styleId="4">
    <w:name w:val="heading 3"/>
    <w:basedOn w:val="1"/>
    <w:next w:val="1"/>
    <w:link w:val="30"/>
    <w:qFormat/>
    <w:uiPriority w:val="0"/>
    <w:pPr>
      <w:keepNext/>
      <w:jc w:val="center"/>
      <w:outlineLvl w:val="2"/>
    </w:pPr>
    <w:rPr>
      <w:sz w:val="24"/>
    </w:rPr>
  </w:style>
  <w:style w:type="paragraph" w:styleId="5">
    <w:name w:val="heading 4"/>
    <w:basedOn w:val="1"/>
    <w:next w:val="1"/>
    <w:link w:val="25"/>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qFormat/>
    <w:uiPriority w:val="0"/>
    <w:pPr>
      <w:keepNext/>
      <w:overflowPunct/>
      <w:autoSpaceDE/>
      <w:autoSpaceDN/>
      <w:adjustRightInd/>
      <w:jc w:val="center"/>
      <w:textAlignment w:val="auto"/>
      <w:outlineLvl w:val="4"/>
    </w:pPr>
    <w:rPr>
      <w:sz w:val="24"/>
    </w:rPr>
  </w:style>
  <w:style w:type="paragraph" w:styleId="7">
    <w:name w:val="heading 6"/>
    <w:basedOn w:val="1"/>
    <w:next w:val="1"/>
    <w:qFormat/>
    <w:uiPriority w:val="0"/>
    <w:pPr>
      <w:keepNext/>
      <w:overflowPunct/>
      <w:autoSpaceDE/>
      <w:autoSpaceDN/>
      <w:adjustRightInd/>
      <w:ind w:left="2124" w:hanging="2124"/>
      <w:jc w:val="both"/>
      <w:textAlignment w:val="auto"/>
      <w:outlineLvl w:val="5"/>
    </w:pPr>
    <w:rPr>
      <w:sz w:val="24"/>
    </w:rPr>
  </w:style>
  <w:style w:type="paragraph" w:styleId="8">
    <w:name w:val="heading 7"/>
    <w:basedOn w:val="1"/>
    <w:next w:val="1"/>
    <w:qFormat/>
    <w:uiPriority w:val="0"/>
    <w:pPr>
      <w:keepNext/>
      <w:overflowPunct/>
      <w:autoSpaceDE/>
      <w:autoSpaceDN/>
      <w:adjustRightInd/>
      <w:jc w:val="both"/>
      <w:textAlignment w:val="auto"/>
      <w:outlineLvl w:val="6"/>
    </w:pPr>
    <w:rPr>
      <w:color w:val="008000"/>
      <w:sz w:val="28"/>
      <w:u w:val="single"/>
    </w:rPr>
  </w:style>
  <w:style w:type="paragraph" w:styleId="9">
    <w:name w:val="heading 8"/>
    <w:basedOn w:val="1"/>
    <w:next w:val="1"/>
    <w:link w:val="26"/>
    <w:semiHidden/>
    <w:unhideWhenUsed/>
    <w:qFormat/>
    <w:uiPriority w:val="9"/>
    <w:pPr>
      <w:keepNext/>
      <w:keepLines/>
      <w:spacing w:before="200"/>
      <w:outlineLvl w:val="7"/>
    </w:pPr>
    <w:rPr>
      <w:rFonts w:asciiTheme="majorHAnsi" w:hAnsiTheme="majorHAnsi" w:eastAsiaTheme="majorEastAsia" w:cstheme="majorBidi"/>
      <w:color w:val="404040" w:themeColor="text1" w:themeTint="BF"/>
      <w14:textFill>
        <w14:solidFill>
          <w14:schemeClr w14:val="tx1">
            <w14:lumMod w14:val="75000"/>
            <w14:lumOff w14:val="25000"/>
          </w14:schemeClr>
        </w14:solidFill>
      </w14:textFill>
    </w:rPr>
  </w:style>
  <w:style w:type="character" w:default="1" w:styleId="10">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character" w:styleId="11">
    <w:name w:val="page number"/>
    <w:basedOn w:val="10"/>
    <w:semiHidden/>
    <w:qFormat/>
    <w:uiPriority w:val="0"/>
  </w:style>
  <w:style w:type="paragraph" w:styleId="12">
    <w:name w:val="Body Text 3"/>
    <w:basedOn w:val="1"/>
    <w:link w:val="27"/>
    <w:semiHidden/>
    <w:unhideWhenUsed/>
    <w:uiPriority w:val="99"/>
    <w:pPr>
      <w:spacing w:after="120"/>
    </w:pPr>
    <w:rPr>
      <w:sz w:val="16"/>
      <w:szCs w:val="16"/>
    </w:rPr>
  </w:style>
  <w:style w:type="paragraph" w:styleId="13">
    <w:name w:val="Body Text"/>
    <w:basedOn w:val="1"/>
    <w:semiHidden/>
    <w:qFormat/>
    <w:uiPriority w:val="0"/>
    <w:pPr>
      <w:jc w:val="both"/>
    </w:pPr>
    <w:rPr>
      <w:sz w:val="24"/>
    </w:rPr>
  </w:style>
  <w:style w:type="paragraph" w:styleId="14">
    <w:name w:val="Balloon Text"/>
    <w:basedOn w:val="1"/>
    <w:link w:val="21"/>
    <w:semiHidden/>
    <w:unhideWhenUsed/>
    <w:uiPriority w:val="99"/>
    <w:rPr>
      <w:rFonts w:ascii="Tahoma" w:hAnsi="Tahoma" w:cs="Tahoma"/>
      <w:sz w:val="16"/>
      <w:szCs w:val="16"/>
    </w:rPr>
  </w:style>
  <w:style w:type="paragraph" w:styleId="15">
    <w:name w:val="Body Text 2"/>
    <w:basedOn w:val="1"/>
    <w:semiHidden/>
    <w:qFormat/>
    <w:uiPriority w:val="0"/>
    <w:pPr>
      <w:jc w:val="both"/>
    </w:pPr>
    <w:rPr>
      <w:i/>
      <w:sz w:val="24"/>
      <w:u w:val="single"/>
    </w:rPr>
  </w:style>
  <w:style w:type="paragraph" w:styleId="16">
    <w:name w:val="Normal (Web)"/>
    <w:basedOn w:val="1"/>
    <w:semiHidden/>
    <w:unhideWhenUsed/>
    <w:uiPriority w:val="99"/>
    <w:pPr>
      <w:overflowPunct/>
      <w:autoSpaceDE/>
      <w:autoSpaceDN/>
      <w:adjustRightInd/>
      <w:spacing w:before="100" w:beforeAutospacing="1" w:after="100" w:afterAutospacing="1"/>
      <w:textAlignment w:val="auto"/>
    </w:pPr>
    <w:rPr>
      <w:rFonts w:eastAsiaTheme="minorEastAsia"/>
      <w:sz w:val="24"/>
      <w:szCs w:val="24"/>
    </w:rPr>
  </w:style>
  <w:style w:type="paragraph" w:styleId="17">
    <w:name w:val="footer"/>
    <w:basedOn w:val="1"/>
    <w:link w:val="32"/>
    <w:qFormat/>
    <w:uiPriority w:val="99"/>
    <w:pPr>
      <w:tabs>
        <w:tab w:val="center" w:pos="4536"/>
        <w:tab w:val="right" w:pos="9072"/>
      </w:tabs>
    </w:pPr>
  </w:style>
  <w:style w:type="paragraph" w:styleId="18">
    <w:name w:val="header"/>
    <w:basedOn w:val="1"/>
    <w:semiHidden/>
    <w:qFormat/>
    <w:uiPriority w:val="0"/>
    <w:pPr>
      <w:tabs>
        <w:tab w:val="center" w:pos="4536"/>
        <w:tab w:val="right" w:pos="9072"/>
      </w:tabs>
    </w:pPr>
  </w:style>
  <w:style w:type="paragraph" w:styleId="19">
    <w:name w:val="Title"/>
    <w:basedOn w:val="1"/>
    <w:link w:val="31"/>
    <w:qFormat/>
    <w:uiPriority w:val="0"/>
    <w:pPr>
      <w:pBdr>
        <w:top w:val="single" w:color="auto" w:sz="6" w:space="1"/>
        <w:left w:val="single" w:color="auto" w:sz="6" w:space="1"/>
        <w:bottom w:val="single" w:color="auto" w:sz="6" w:space="1"/>
        <w:right w:val="single" w:color="auto" w:sz="6" w:space="1"/>
      </w:pBdr>
      <w:jc w:val="center"/>
    </w:pPr>
    <w:rPr>
      <w:sz w:val="32"/>
    </w:rPr>
  </w:style>
  <w:style w:type="character" w:customStyle="1" w:styleId="21">
    <w:name w:val="Texte de bulles Car"/>
    <w:basedOn w:val="10"/>
    <w:link w:val="14"/>
    <w:semiHidden/>
    <w:qFormat/>
    <w:uiPriority w:val="99"/>
    <w:rPr>
      <w:rFonts w:ascii="Tahoma" w:hAnsi="Tahoma" w:cs="Tahoma"/>
      <w:sz w:val="16"/>
      <w:szCs w:val="16"/>
    </w:rPr>
  </w:style>
  <w:style w:type="table" w:styleId="22">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List Paragraph"/>
    <w:basedOn w:val="1"/>
    <w:qFormat/>
    <w:uiPriority w:val="34"/>
    <w:pPr>
      <w:ind w:left="720"/>
      <w:contextualSpacing/>
    </w:pPr>
  </w:style>
  <w:style w:type="character" w:styleId="24">
    <w:name w:val="Placeholder Text"/>
    <w:basedOn w:val="10"/>
    <w:semiHidden/>
    <w:qFormat/>
    <w:uiPriority w:val="99"/>
    <w:rPr>
      <w:color w:val="808080"/>
    </w:rPr>
  </w:style>
  <w:style w:type="character" w:customStyle="1" w:styleId="25">
    <w:name w:val="Titre 4 Car"/>
    <w:basedOn w:val="10"/>
    <w:link w:val="5"/>
    <w:uiPriority w:val="0"/>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Titre 8 Car"/>
    <w:basedOn w:val="10"/>
    <w:link w:val="9"/>
    <w:semiHidden/>
    <w:uiPriority w:val="9"/>
    <w:rPr>
      <w:rFonts w:asciiTheme="majorHAnsi" w:hAnsiTheme="majorHAnsi" w:eastAsiaTheme="majorEastAsia" w:cstheme="majorBidi"/>
      <w:color w:val="404040" w:themeColor="text1" w:themeTint="BF"/>
      <w14:textFill>
        <w14:solidFill>
          <w14:schemeClr w14:val="tx1">
            <w14:lumMod w14:val="75000"/>
            <w14:lumOff w14:val="25000"/>
          </w14:schemeClr>
        </w14:solidFill>
      </w14:textFill>
    </w:rPr>
  </w:style>
  <w:style w:type="character" w:customStyle="1" w:styleId="27">
    <w:name w:val="Corps de texte 3 Car"/>
    <w:basedOn w:val="10"/>
    <w:link w:val="12"/>
    <w:semiHidden/>
    <w:qFormat/>
    <w:uiPriority w:val="99"/>
    <w:rPr>
      <w:sz w:val="16"/>
      <w:szCs w:val="16"/>
    </w:rPr>
  </w:style>
  <w:style w:type="character" w:customStyle="1" w:styleId="28">
    <w:name w:val="Titre 1 Car"/>
    <w:basedOn w:val="10"/>
    <w:link w:val="2"/>
    <w:uiPriority w:val="0"/>
    <w:rPr>
      <w:sz w:val="24"/>
      <w:lang w:val="en-GB"/>
    </w:rPr>
  </w:style>
  <w:style w:type="character" w:customStyle="1" w:styleId="29">
    <w:name w:val="Titre 2 Car"/>
    <w:basedOn w:val="10"/>
    <w:link w:val="3"/>
    <w:qFormat/>
    <w:uiPriority w:val="0"/>
    <w:rPr>
      <w:i/>
      <w:iCs/>
      <w:sz w:val="24"/>
      <w:u w:val="single"/>
    </w:rPr>
  </w:style>
  <w:style w:type="character" w:customStyle="1" w:styleId="30">
    <w:name w:val="Titre 3 Car"/>
    <w:basedOn w:val="10"/>
    <w:link w:val="4"/>
    <w:qFormat/>
    <w:uiPriority w:val="0"/>
    <w:rPr>
      <w:sz w:val="24"/>
    </w:rPr>
  </w:style>
  <w:style w:type="character" w:customStyle="1" w:styleId="31">
    <w:name w:val="Titre Car"/>
    <w:basedOn w:val="10"/>
    <w:link w:val="19"/>
    <w:qFormat/>
    <w:uiPriority w:val="0"/>
    <w:rPr>
      <w:sz w:val="32"/>
    </w:rPr>
  </w:style>
  <w:style w:type="character" w:customStyle="1" w:styleId="32">
    <w:name w:val="Pied de page Car"/>
    <w:basedOn w:val="10"/>
    <w:link w:val="17"/>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1832</Words>
  <Characters>10081</Characters>
  <Lines>84</Lines>
  <Paragraphs>23</Paragraphs>
  <TotalTime>36</TotalTime>
  <ScaleCrop>false</ScaleCrop>
  <LinksUpToDate>false</LinksUpToDate>
  <CharactersWithSpaces>11890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2022-01-12T16:56:00Z</dcterms:created>
  <dc:creator>Catherine DHERBECOURT</dc:creator>
  <cp:lastModifiedBy>Toufik Masmoudi</cp:lastModifiedBy>
  <cp:lastPrinted>2021-12-13T18:33:00Z</cp:lastPrinted>
  <dcterms:modified xsi:type="dcterms:W3CDTF">2024-05-10T12:22:59Z</dcterms:modified>
  <dc:title>DS et PVHT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1036-12.2.0.16909</vt:lpwstr>
  </property>
  <property fmtid="{D5CDD505-2E9C-101B-9397-08002B2CF9AE}" pid="3" name="ICV">
    <vt:lpwstr>ABE6F918B29C4284B9B4B50014B54EA7_13</vt:lpwstr>
  </property>
</Properties>
</file>