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32" w:rsidRPr="006E1BF9" w:rsidRDefault="00A04432" w:rsidP="002C5C2C">
      <w:pPr>
        <w:spacing w:after="0" w:line="240" w:lineRule="auto"/>
        <w:jc w:val="center"/>
        <w:rPr>
          <w:rFonts w:ascii="Gabriola" w:hAnsi="Gabriola"/>
          <w:b/>
          <w:bCs/>
          <w:sz w:val="40"/>
          <w:szCs w:val="40"/>
          <w:u w:val="single"/>
          <w:lang w:val="fr-FR"/>
        </w:rPr>
      </w:pPr>
      <w:bookmarkStart w:id="0" w:name="_GoBack"/>
      <w:bookmarkEnd w:id="0"/>
      <w:r w:rsidRPr="006E1BF9">
        <w:rPr>
          <w:rFonts w:ascii="Gabriola" w:hAnsi="Gabriola"/>
          <w:b/>
          <w:bCs/>
          <w:sz w:val="40"/>
          <w:szCs w:val="40"/>
          <w:u w:val="single"/>
          <w:lang w:val="fr-FR"/>
        </w:rPr>
        <w:t>Module MST</w:t>
      </w:r>
    </w:p>
    <w:p w:rsidR="006E1BF9" w:rsidRPr="006E1BF9" w:rsidRDefault="006E1BF9" w:rsidP="002C5C2C">
      <w:pPr>
        <w:spacing w:after="0" w:line="240" w:lineRule="auto"/>
        <w:ind w:left="142"/>
        <w:jc w:val="center"/>
        <w:rPr>
          <w:rFonts w:ascii="Gabriola" w:hAnsi="Gabriola" w:cstheme="majorHAnsi"/>
          <w:b/>
          <w:bCs/>
          <w:sz w:val="40"/>
          <w:szCs w:val="40"/>
          <w:lang w:val="fr-FR"/>
        </w:rPr>
      </w:pPr>
      <w:r w:rsidRPr="006E1BF9">
        <w:rPr>
          <w:rFonts w:ascii="Gabriola" w:hAnsi="Gabriola" w:cstheme="majorHAnsi"/>
          <w:b/>
          <w:bCs/>
          <w:sz w:val="40"/>
          <w:szCs w:val="40"/>
          <w:u w:val="single"/>
          <w:lang w:val="fr-FR"/>
        </w:rPr>
        <w:t>TP 1 : Le microscope</w:t>
      </w:r>
    </w:p>
    <w:p w:rsidR="003D23B0" w:rsidRPr="006E1BF9" w:rsidRDefault="003D23B0" w:rsidP="002C5C2C">
      <w:pPr>
        <w:spacing w:after="0" w:line="240" w:lineRule="auto"/>
        <w:jc w:val="center"/>
        <w:rPr>
          <w:rFonts w:ascii="Gabriola" w:hAnsi="Gabriola"/>
          <w:b/>
          <w:bCs/>
          <w:sz w:val="40"/>
          <w:szCs w:val="40"/>
          <w:u w:val="single"/>
          <w:lang w:val="fr-FR"/>
        </w:rPr>
      </w:pPr>
      <w:r w:rsidRPr="006E1BF9">
        <w:rPr>
          <w:rFonts w:ascii="Gabriola" w:hAnsi="Gabriola"/>
          <w:b/>
          <w:bCs/>
          <w:sz w:val="40"/>
          <w:szCs w:val="40"/>
          <w:u w:val="single"/>
          <w:lang w:val="fr-FR"/>
        </w:rPr>
        <w:t>Objectif du TP</w:t>
      </w:r>
    </w:p>
    <w:p w:rsidR="003D23B0" w:rsidRPr="003A079A" w:rsidRDefault="006E1BF9" w:rsidP="006E1BF9">
      <w:pPr>
        <w:pStyle w:val="ListParagraph"/>
        <w:numPr>
          <w:ilvl w:val="0"/>
          <w:numId w:val="7"/>
        </w:numPr>
        <w:spacing w:after="0"/>
        <w:rPr>
          <w:rFonts w:ascii="Gabriola" w:hAnsi="Gabriola"/>
          <w:b/>
          <w:bCs/>
          <w:sz w:val="32"/>
          <w:szCs w:val="32"/>
          <w:lang w:val="fr-FR"/>
        </w:rPr>
      </w:pPr>
      <w:r>
        <w:rPr>
          <w:rFonts w:ascii="Gabriola" w:hAnsi="Gabriola"/>
          <w:b/>
          <w:bCs/>
          <w:sz w:val="32"/>
          <w:szCs w:val="32"/>
          <w:lang w:val="fr-FR"/>
        </w:rPr>
        <w:t>I</w:t>
      </w:r>
      <w:r w:rsidRPr="006E1BF9">
        <w:rPr>
          <w:rFonts w:ascii="Gabriola" w:hAnsi="Gabriola"/>
          <w:b/>
          <w:bCs/>
          <w:sz w:val="32"/>
          <w:szCs w:val="32"/>
          <w:lang w:val="fr-FR"/>
        </w:rPr>
        <w:t xml:space="preserve">dentifier les parties du microscope </w:t>
      </w:r>
      <w:r>
        <w:rPr>
          <w:rFonts w:ascii="Gabriola" w:hAnsi="Gabriola"/>
          <w:b/>
          <w:bCs/>
          <w:sz w:val="32"/>
          <w:szCs w:val="32"/>
          <w:lang w:val="fr-FR"/>
        </w:rPr>
        <w:t xml:space="preserve"> </w:t>
      </w:r>
    </w:p>
    <w:p w:rsidR="003D23B0" w:rsidRPr="003A079A" w:rsidRDefault="003A079A" w:rsidP="003A079A">
      <w:pPr>
        <w:pStyle w:val="ListParagraph"/>
        <w:numPr>
          <w:ilvl w:val="0"/>
          <w:numId w:val="7"/>
        </w:numPr>
        <w:spacing w:after="0"/>
        <w:rPr>
          <w:rFonts w:ascii="Gabriola" w:hAnsi="Gabriola"/>
          <w:b/>
          <w:bCs/>
          <w:sz w:val="32"/>
          <w:szCs w:val="32"/>
          <w:lang w:val="fr-FR"/>
        </w:rPr>
      </w:pPr>
      <w:r w:rsidRPr="003A079A">
        <w:rPr>
          <w:rFonts w:ascii="Gabriola" w:hAnsi="Gabriola"/>
          <w:b/>
          <w:bCs/>
          <w:sz w:val="32"/>
          <w:szCs w:val="32"/>
          <w:lang w:val="fr-FR"/>
        </w:rPr>
        <w:t>Préparation des échantillons</w:t>
      </w:r>
    </w:p>
    <w:p w:rsidR="006E1BF9" w:rsidRPr="002C5C2C" w:rsidRDefault="003A079A" w:rsidP="002C5C2C">
      <w:pPr>
        <w:pStyle w:val="ListParagraph"/>
        <w:numPr>
          <w:ilvl w:val="0"/>
          <w:numId w:val="7"/>
        </w:numPr>
        <w:spacing w:after="0"/>
        <w:rPr>
          <w:sz w:val="24"/>
          <w:szCs w:val="24"/>
          <w:lang w:val="fr-FR"/>
        </w:rPr>
      </w:pPr>
      <w:r w:rsidRPr="002C5C2C">
        <w:rPr>
          <w:rFonts w:ascii="Gabriola" w:hAnsi="Gabriola"/>
          <w:b/>
          <w:bCs/>
          <w:sz w:val="32"/>
          <w:szCs w:val="32"/>
          <w:lang w:val="fr-FR"/>
        </w:rPr>
        <w:t>Principe d’utilisation du microscope</w:t>
      </w:r>
    </w:p>
    <w:p w:rsidR="006E1BF9" w:rsidRPr="006E1BF9" w:rsidRDefault="006E1BF9" w:rsidP="006E1BF9">
      <w:pPr>
        <w:rPr>
          <w:rFonts w:ascii="Arial" w:eastAsia="Times New Roman" w:hAnsi="Arial" w:cs="Arial"/>
          <w:color w:val="3366CC"/>
          <w:sz w:val="21"/>
          <w:szCs w:val="21"/>
          <w:u w:val="single"/>
          <w:shd w:val="clear" w:color="auto" w:fill="FFFFFF"/>
        </w:rPr>
      </w:pPr>
      <w:r w:rsidRPr="006E1BF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E1BF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"https://fr.wikipedia.org/wiki/Microscope_optique" \l "Principe_du_microscope_optique_de_base" </w:instrText>
      </w:r>
      <w:r w:rsidRPr="006E1BF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6E1BF9" w:rsidRPr="003D22EB" w:rsidRDefault="002C5C2C" w:rsidP="006E1BF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C5C2C">
        <w:rPr>
          <w:rFonts w:ascii="Arial" w:eastAsia="Times New Roman" w:hAnsi="Arial" w:cs="Arial"/>
          <w:color w:val="3366CC"/>
          <w:sz w:val="21"/>
          <w:szCs w:val="21"/>
          <w:shd w:val="clear" w:color="auto" w:fill="FFFFFF"/>
        </w:rPr>
        <w:t xml:space="preserve">     </w:t>
      </w:r>
      <w:r w:rsidR="006E1BF9" w:rsidRPr="003D22EB">
        <w:rPr>
          <w:rFonts w:ascii="Arial" w:eastAsia="Times New Roman" w:hAnsi="Arial" w:cs="Arial"/>
          <w:color w:val="3366CC"/>
          <w:sz w:val="21"/>
          <w:szCs w:val="21"/>
          <w:u w:val="single"/>
          <w:shd w:val="clear" w:color="auto" w:fill="FFFFFF"/>
          <w:lang w:val="fr-FR"/>
        </w:rPr>
        <w:t>Principe du microscope</w:t>
      </w:r>
    </w:p>
    <w:p w:rsidR="003427F3" w:rsidRDefault="006E1BF9" w:rsidP="006E1BF9">
      <w:pPr>
        <w:ind w:firstLine="142"/>
        <w:jc w:val="center"/>
        <w:rPr>
          <w:sz w:val="24"/>
          <w:szCs w:val="24"/>
          <w:lang w:val="fr-FR"/>
        </w:rPr>
      </w:pPr>
      <w:r w:rsidRPr="006E1BF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sz w:val="24"/>
          <w:szCs w:val="24"/>
          <w:lang w:val="fr-FR"/>
        </w:rPr>
        <w:t xml:space="preserve"> </w:t>
      </w:r>
      <w:r w:rsidR="005E4C1D" w:rsidRPr="00CC3179">
        <w:rPr>
          <w:sz w:val="24"/>
          <w:szCs w:val="24"/>
          <w:lang w:val="fr-FR"/>
        </w:rPr>
        <w:t>Un microscope sert à observer des objets invisibles à l’œil nu, c a d microscopiques, en grossissant leur image. L’objet à observer doit être très mince pour être traversé par la lumière du microscope.</w:t>
      </w:r>
    </w:p>
    <w:p w:rsidR="003427F3" w:rsidRPr="00CC3179" w:rsidRDefault="003427F3" w:rsidP="006E1BF9">
      <w:pPr>
        <w:ind w:firstLine="426"/>
        <w:jc w:val="center"/>
        <w:rPr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D0C97A4" wp14:editId="13564336">
            <wp:extent cx="4411345" cy="3460115"/>
            <wp:effectExtent l="0" t="0" r="8255" b="6985"/>
            <wp:docPr id="4" name="Picture 2" descr="composants microscope obse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osants microscope obsev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345" cy="34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C1D" w:rsidRPr="005E4C1D" w:rsidRDefault="005E4C1D" w:rsidP="0068379C">
      <w:pPr>
        <w:spacing w:after="0"/>
        <w:jc w:val="center"/>
        <w:rPr>
          <w:sz w:val="36"/>
          <w:szCs w:val="36"/>
          <w:lang w:val="fr-FR"/>
        </w:rPr>
      </w:pPr>
      <w:r w:rsidRPr="005E4C1D">
        <w:rPr>
          <w:sz w:val="36"/>
          <w:szCs w:val="36"/>
          <w:lang w:val="fr-FR"/>
        </w:rPr>
        <w:t xml:space="preserve">FICHE </w:t>
      </w:r>
      <w:r w:rsidR="00E53275" w:rsidRPr="005E4C1D">
        <w:rPr>
          <w:sz w:val="36"/>
          <w:szCs w:val="36"/>
          <w:lang w:val="fr-FR"/>
        </w:rPr>
        <w:t>M</w:t>
      </w:r>
      <w:r w:rsidR="00E53275">
        <w:rPr>
          <w:sz w:val="36"/>
          <w:szCs w:val="36"/>
          <w:lang w:val="fr-FR"/>
        </w:rPr>
        <w:t>E</w:t>
      </w:r>
      <w:r w:rsidR="00E53275" w:rsidRPr="005E4C1D">
        <w:rPr>
          <w:sz w:val="36"/>
          <w:szCs w:val="36"/>
          <w:lang w:val="fr-FR"/>
        </w:rPr>
        <w:t>THODE :</w:t>
      </w:r>
    </w:p>
    <w:p w:rsidR="005E4C1D" w:rsidRPr="005E4C1D" w:rsidRDefault="005E4C1D" w:rsidP="0068379C">
      <w:pPr>
        <w:jc w:val="center"/>
        <w:rPr>
          <w:sz w:val="36"/>
          <w:szCs w:val="36"/>
          <w:lang w:val="fr-FR"/>
        </w:rPr>
      </w:pPr>
      <w:r w:rsidRPr="005E4C1D">
        <w:rPr>
          <w:sz w:val="36"/>
          <w:szCs w:val="36"/>
          <w:lang w:val="fr-FR"/>
        </w:rPr>
        <w:t>Réaliser une préparation microscopique</w:t>
      </w:r>
    </w:p>
    <w:p w:rsidR="005E4C1D" w:rsidRDefault="005E4C1D" w:rsidP="0068379C">
      <w:pPr>
        <w:spacing w:after="0"/>
        <w:jc w:val="center"/>
        <w:rPr>
          <w:lang w:val="fr-FR"/>
        </w:rPr>
      </w:pPr>
      <w:r>
        <w:rPr>
          <w:lang w:val="fr-FR"/>
        </w:rPr>
        <w:t xml:space="preserve">Pourquoi réaliser une préparation </w:t>
      </w:r>
      <w:r w:rsidR="007C1B80">
        <w:rPr>
          <w:lang w:val="fr-FR"/>
        </w:rPr>
        <w:t>microscopique ?</w:t>
      </w:r>
    </w:p>
    <w:p w:rsidR="005E4C1D" w:rsidRPr="00E53275" w:rsidRDefault="005E4C1D" w:rsidP="006E1BF9">
      <w:pPr>
        <w:pStyle w:val="ListParagraph"/>
        <w:numPr>
          <w:ilvl w:val="0"/>
          <w:numId w:val="3"/>
        </w:numPr>
        <w:spacing w:after="0"/>
        <w:ind w:left="851"/>
        <w:jc w:val="center"/>
        <w:rPr>
          <w:lang w:val="fr-FR"/>
        </w:rPr>
      </w:pPr>
      <w:r w:rsidRPr="00E53275">
        <w:rPr>
          <w:lang w:val="fr-FR"/>
        </w:rPr>
        <w:t xml:space="preserve">Observer au microscope optique permet </w:t>
      </w:r>
      <w:r w:rsidR="007C1B80" w:rsidRPr="00E53275">
        <w:rPr>
          <w:lang w:val="fr-FR"/>
        </w:rPr>
        <w:t xml:space="preserve">d’identifier des structures invisibles à l’œil nu en les </w:t>
      </w:r>
      <w:r w:rsidR="007C1B80" w:rsidRPr="00E53275">
        <w:rPr>
          <w:b/>
          <w:bCs/>
          <w:lang w:val="fr-FR"/>
        </w:rPr>
        <w:t>grossissant</w:t>
      </w:r>
      <w:r w:rsidR="007C1B80" w:rsidRPr="00E53275">
        <w:rPr>
          <w:lang w:val="fr-FR"/>
        </w:rPr>
        <w:t>.</w:t>
      </w:r>
    </w:p>
    <w:p w:rsidR="00E53275" w:rsidRDefault="00E53275" w:rsidP="0068379C">
      <w:pPr>
        <w:spacing w:after="0"/>
        <w:jc w:val="center"/>
        <w:rPr>
          <w:lang w:val="fr-FR"/>
        </w:rPr>
      </w:pPr>
    </w:p>
    <w:p w:rsidR="007C1B80" w:rsidRPr="00E53275" w:rsidRDefault="007C1B80" w:rsidP="0068379C">
      <w:pPr>
        <w:spacing w:after="0"/>
        <w:jc w:val="center"/>
        <w:rPr>
          <w:b/>
          <w:bCs/>
          <w:lang w:val="fr-FR"/>
        </w:rPr>
      </w:pPr>
      <w:r w:rsidRPr="00E53275">
        <w:rPr>
          <w:b/>
          <w:bCs/>
          <w:lang w:val="fr-FR"/>
        </w:rPr>
        <w:t>Pour réaliser une préparation microscopique, il faut suivre le mode opératoire suivant :</w:t>
      </w:r>
    </w:p>
    <w:p w:rsidR="007C1B80" w:rsidRDefault="007C1B80" w:rsidP="0068379C">
      <w:pPr>
        <w:pStyle w:val="ListParagraph"/>
        <w:numPr>
          <w:ilvl w:val="0"/>
          <w:numId w:val="1"/>
        </w:numPr>
        <w:spacing w:after="0"/>
        <w:jc w:val="center"/>
        <w:rPr>
          <w:lang w:val="fr-FR"/>
        </w:rPr>
      </w:pPr>
      <w:r>
        <w:rPr>
          <w:lang w:val="fr-FR"/>
        </w:rPr>
        <w:t xml:space="preserve">Le matériel utilisé doit être adapté à l’observation : échantillon fin permettant le passage de la </w:t>
      </w:r>
      <w:r w:rsidR="009152EE">
        <w:rPr>
          <w:lang w:val="fr-FR"/>
        </w:rPr>
        <w:t>lumière</w:t>
      </w:r>
      <w:r>
        <w:rPr>
          <w:lang w:val="fr-FR"/>
        </w:rPr>
        <w:t>.</w:t>
      </w:r>
    </w:p>
    <w:p w:rsidR="007C1B80" w:rsidRDefault="007C1B80" w:rsidP="006E1BF9">
      <w:pPr>
        <w:pStyle w:val="ListParagraph"/>
        <w:numPr>
          <w:ilvl w:val="0"/>
          <w:numId w:val="1"/>
        </w:numPr>
        <w:spacing w:after="0"/>
        <w:ind w:left="426"/>
        <w:jc w:val="center"/>
        <w:rPr>
          <w:lang w:val="fr-FR"/>
        </w:rPr>
      </w:pPr>
      <w:r>
        <w:rPr>
          <w:lang w:val="fr-FR"/>
        </w:rPr>
        <w:t xml:space="preserve">Une coloration </w:t>
      </w:r>
      <w:r w:rsidR="00E53275">
        <w:rPr>
          <w:lang w:val="fr-FR"/>
        </w:rPr>
        <w:t>spécifique peut</w:t>
      </w:r>
      <w:r>
        <w:rPr>
          <w:lang w:val="fr-FR"/>
        </w:rPr>
        <w:t xml:space="preserve"> </w:t>
      </w:r>
      <w:r w:rsidR="009152EE">
        <w:rPr>
          <w:lang w:val="fr-FR"/>
        </w:rPr>
        <w:t>être</w:t>
      </w:r>
      <w:r>
        <w:rPr>
          <w:lang w:val="fr-FR"/>
        </w:rPr>
        <w:t xml:space="preserve"> </w:t>
      </w:r>
      <w:r w:rsidR="009152EE">
        <w:rPr>
          <w:lang w:val="fr-FR"/>
        </w:rPr>
        <w:t>réalisée</w:t>
      </w:r>
      <w:r>
        <w:rPr>
          <w:lang w:val="fr-FR"/>
        </w:rPr>
        <w:t xml:space="preserve"> afin de mettre en </w:t>
      </w:r>
      <w:r w:rsidR="00E53275">
        <w:rPr>
          <w:lang w:val="fr-FR"/>
        </w:rPr>
        <w:t>évidence des</w:t>
      </w:r>
      <w:r>
        <w:rPr>
          <w:lang w:val="fr-FR"/>
        </w:rPr>
        <w:t xml:space="preserve"> structures </w:t>
      </w:r>
      <w:r w:rsidR="009152EE">
        <w:rPr>
          <w:lang w:val="fr-FR"/>
        </w:rPr>
        <w:t>particulières</w:t>
      </w:r>
      <w:r w:rsidR="00E53275">
        <w:rPr>
          <w:lang w:val="fr-FR"/>
        </w:rPr>
        <w:t>.</w:t>
      </w:r>
    </w:p>
    <w:p w:rsidR="006E1BF9" w:rsidRDefault="006E1BF9" w:rsidP="006E1BF9">
      <w:pPr>
        <w:spacing w:after="0"/>
        <w:jc w:val="center"/>
        <w:rPr>
          <w:lang w:val="fr-FR"/>
        </w:rPr>
      </w:pPr>
    </w:p>
    <w:p w:rsidR="006E1BF9" w:rsidRDefault="006E1BF9" w:rsidP="006E1BF9">
      <w:pPr>
        <w:spacing w:after="0"/>
        <w:jc w:val="center"/>
        <w:rPr>
          <w:lang w:val="fr-FR"/>
        </w:rPr>
      </w:pPr>
    </w:p>
    <w:p w:rsidR="006E1BF9" w:rsidRDefault="006E1BF9" w:rsidP="006E1BF9">
      <w:pPr>
        <w:spacing w:after="0"/>
        <w:jc w:val="center"/>
        <w:rPr>
          <w:lang w:val="fr-FR"/>
        </w:rPr>
      </w:pPr>
    </w:p>
    <w:p w:rsidR="002C5C2C" w:rsidRPr="006E1BF9" w:rsidRDefault="002C5C2C" w:rsidP="006E1BF9">
      <w:pPr>
        <w:spacing w:after="0"/>
        <w:jc w:val="center"/>
        <w:rPr>
          <w:lang w:val="fr-FR"/>
        </w:rPr>
      </w:pPr>
    </w:p>
    <w:p w:rsidR="00E53275" w:rsidRDefault="00E53275" w:rsidP="0068379C">
      <w:pPr>
        <w:pStyle w:val="ListParagraph"/>
        <w:spacing w:after="0"/>
        <w:ind w:left="765"/>
        <w:jc w:val="center"/>
        <w:rPr>
          <w:lang w:val="fr-FR"/>
        </w:rPr>
      </w:pPr>
    </w:p>
    <w:tbl>
      <w:tblPr>
        <w:tblStyle w:val="TableGrid"/>
        <w:tblW w:w="0" w:type="auto"/>
        <w:tblInd w:w="1957" w:type="dxa"/>
        <w:tblLook w:val="04A0" w:firstRow="1" w:lastRow="0" w:firstColumn="1" w:lastColumn="0" w:noHBand="0" w:noVBand="1"/>
      </w:tblPr>
      <w:tblGrid>
        <w:gridCol w:w="5098"/>
        <w:gridCol w:w="1020"/>
        <w:gridCol w:w="1559"/>
      </w:tblGrid>
      <w:tr w:rsidR="009152EE" w:rsidRPr="00EE38A0" w:rsidTr="003427F3">
        <w:tc>
          <w:tcPr>
            <w:tcW w:w="7677" w:type="dxa"/>
            <w:gridSpan w:val="3"/>
          </w:tcPr>
          <w:p w:rsidR="009152EE" w:rsidRPr="00EE38A0" w:rsidRDefault="009152EE" w:rsidP="003427F3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E38A0">
              <w:rPr>
                <w:b/>
                <w:bCs/>
                <w:sz w:val="24"/>
                <w:szCs w:val="24"/>
                <w:lang w:val="fr-FR"/>
              </w:rPr>
              <w:lastRenderedPageBreak/>
              <w:t xml:space="preserve">Grille d’évaluation de la </w:t>
            </w:r>
            <w:r w:rsidR="00EE38A0" w:rsidRPr="00EE38A0">
              <w:rPr>
                <w:b/>
                <w:bCs/>
                <w:sz w:val="24"/>
                <w:szCs w:val="24"/>
                <w:lang w:val="fr-FR"/>
              </w:rPr>
              <w:t>réalisation</w:t>
            </w:r>
            <w:r w:rsidRPr="00EE38A0">
              <w:rPr>
                <w:b/>
                <w:bCs/>
                <w:sz w:val="24"/>
                <w:szCs w:val="24"/>
                <w:lang w:val="fr-FR"/>
              </w:rPr>
              <w:t xml:space="preserve"> d’une </w:t>
            </w:r>
            <w:r w:rsidR="00EE38A0" w:rsidRPr="00EE38A0">
              <w:rPr>
                <w:b/>
                <w:bCs/>
                <w:sz w:val="24"/>
                <w:szCs w:val="24"/>
                <w:lang w:val="fr-FR"/>
              </w:rPr>
              <w:t>préparation</w:t>
            </w:r>
            <w:r w:rsidRPr="00EE38A0">
              <w:rPr>
                <w:b/>
                <w:bCs/>
                <w:sz w:val="24"/>
                <w:szCs w:val="24"/>
                <w:lang w:val="fr-FR"/>
              </w:rPr>
              <w:t xml:space="preserve"> microscopique</w:t>
            </w:r>
          </w:p>
        </w:tc>
      </w:tr>
      <w:tr w:rsidR="003427F3" w:rsidTr="003427F3">
        <w:tc>
          <w:tcPr>
            <w:tcW w:w="5098" w:type="dxa"/>
          </w:tcPr>
          <w:p w:rsidR="003427F3" w:rsidRPr="00EE38A0" w:rsidRDefault="003427F3" w:rsidP="0068379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E38A0">
              <w:rPr>
                <w:b/>
                <w:bCs/>
                <w:sz w:val="24"/>
                <w:szCs w:val="24"/>
                <w:lang w:val="fr-FR"/>
              </w:rPr>
              <w:t>Date</w:t>
            </w:r>
          </w:p>
          <w:p w:rsidR="003427F3" w:rsidRDefault="003427F3" w:rsidP="0068379C">
            <w:pPr>
              <w:jc w:val="center"/>
              <w:rPr>
                <w:lang w:val="fr-FR"/>
              </w:rPr>
            </w:pPr>
            <w:r w:rsidRPr="00EE38A0">
              <w:rPr>
                <w:b/>
                <w:bCs/>
                <w:sz w:val="24"/>
                <w:szCs w:val="24"/>
                <w:lang w:val="fr-FR"/>
              </w:rPr>
              <w:t>Critères d’évaluation</w:t>
            </w:r>
          </w:p>
        </w:tc>
        <w:tc>
          <w:tcPr>
            <w:tcW w:w="1020" w:type="dxa"/>
          </w:tcPr>
          <w:p w:rsidR="003427F3" w:rsidRDefault="003427F3" w:rsidP="0068379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</w:tcPr>
          <w:p w:rsidR="003427F3" w:rsidRDefault="003427F3" w:rsidP="0068379C">
            <w:pPr>
              <w:jc w:val="center"/>
              <w:rPr>
                <w:lang w:val="fr-FR"/>
              </w:rPr>
            </w:pPr>
          </w:p>
        </w:tc>
      </w:tr>
      <w:tr w:rsidR="003427F3" w:rsidTr="003427F3">
        <w:tc>
          <w:tcPr>
            <w:tcW w:w="5098" w:type="dxa"/>
          </w:tcPr>
          <w:p w:rsidR="003427F3" w:rsidRDefault="003427F3" w:rsidP="003D23B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L’échantillon est fin  </w:t>
            </w:r>
          </w:p>
        </w:tc>
        <w:tc>
          <w:tcPr>
            <w:tcW w:w="1020" w:type="dxa"/>
          </w:tcPr>
          <w:p w:rsidR="003427F3" w:rsidRPr="00EE38A0" w:rsidRDefault="003427F3" w:rsidP="0068379C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0.25</w:t>
            </w:r>
          </w:p>
        </w:tc>
        <w:tc>
          <w:tcPr>
            <w:tcW w:w="1559" w:type="dxa"/>
          </w:tcPr>
          <w:p w:rsidR="003427F3" w:rsidRDefault="003427F3" w:rsidP="0068379C">
            <w:pPr>
              <w:jc w:val="center"/>
              <w:rPr>
                <w:lang w:val="fr-FR"/>
              </w:rPr>
            </w:pPr>
          </w:p>
        </w:tc>
      </w:tr>
      <w:tr w:rsidR="003427F3" w:rsidTr="003427F3">
        <w:tc>
          <w:tcPr>
            <w:tcW w:w="5098" w:type="dxa"/>
          </w:tcPr>
          <w:p w:rsidR="003427F3" w:rsidRDefault="003427F3" w:rsidP="0068379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 liquide de montage ne déborde pas</w:t>
            </w:r>
          </w:p>
        </w:tc>
        <w:tc>
          <w:tcPr>
            <w:tcW w:w="1020" w:type="dxa"/>
          </w:tcPr>
          <w:p w:rsidR="003427F3" w:rsidRPr="00EE38A0" w:rsidRDefault="003427F3" w:rsidP="0068379C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0.25</w:t>
            </w:r>
          </w:p>
        </w:tc>
        <w:tc>
          <w:tcPr>
            <w:tcW w:w="1559" w:type="dxa"/>
          </w:tcPr>
          <w:p w:rsidR="003427F3" w:rsidRDefault="003427F3" w:rsidP="0068379C">
            <w:pPr>
              <w:jc w:val="center"/>
              <w:rPr>
                <w:lang w:val="fr-FR"/>
              </w:rPr>
            </w:pPr>
          </w:p>
        </w:tc>
      </w:tr>
      <w:tr w:rsidR="003427F3" w:rsidTr="003427F3">
        <w:tc>
          <w:tcPr>
            <w:tcW w:w="5098" w:type="dxa"/>
          </w:tcPr>
          <w:p w:rsidR="003427F3" w:rsidRDefault="003427F3" w:rsidP="0068379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Sans bulles d’air qui gênent  l’observation</w:t>
            </w:r>
          </w:p>
        </w:tc>
        <w:tc>
          <w:tcPr>
            <w:tcW w:w="1020" w:type="dxa"/>
          </w:tcPr>
          <w:p w:rsidR="003427F3" w:rsidRPr="00EE38A0" w:rsidRDefault="003427F3" w:rsidP="0068379C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0.25</w:t>
            </w:r>
          </w:p>
        </w:tc>
        <w:tc>
          <w:tcPr>
            <w:tcW w:w="1559" w:type="dxa"/>
          </w:tcPr>
          <w:p w:rsidR="003427F3" w:rsidRDefault="003427F3" w:rsidP="0068379C">
            <w:pPr>
              <w:jc w:val="center"/>
              <w:rPr>
                <w:lang w:val="fr-FR"/>
              </w:rPr>
            </w:pPr>
          </w:p>
        </w:tc>
      </w:tr>
      <w:tr w:rsidR="003427F3" w:rsidTr="003427F3">
        <w:tc>
          <w:tcPr>
            <w:tcW w:w="5098" w:type="dxa"/>
          </w:tcPr>
          <w:p w:rsidR="003427F3" w:rsidRDefault="003427F3" w:rsidP="0068379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L’objet à  observer est visible au microscope</w:t>
            </w:r>
          </w:p>
        </w:tc>
        <w:tc>
          <w:tcPr>
            <w:tcW w:w="1020" w:type="dxa"/>
          </w:tcPr>
          <w:p w:rsidR="003427F3" w:rsidRPr="00EE38A0" w:rsidRDefault="003427F3" w:rsidP="0068379C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O.25</w:t>
            </w:r>
          </w:p>
        </w:tc>
        <w:tc>
          <w:tcPr>
            <w:tcW w:w="1559" w:type="dxa"/>
          </w:tcPr>
          <w:p w:rsidR="003427F3" w:rsidRDefault="003427F3" w:rsidP="0068379C">
            <w:pPr>
              <w:jc w:val="center"/>
              <w:rPr>
                <w:lang w:val="fr-FR"/>
              </w:rPr>
            </w:pPr>
          </w:p>
        </w:tc>
      </w:tr>
      <w:tr w:rsidR="003427F3" w:rsidTr="003427F3">
        <w:tc>
          <w:tcPr>
            <w:tcW w:w="5098" w:type="dxa"/>
          </w:tcPr>
          <w:p w:rsidR="003427F3" w:rsidRPr="00EE38A0" w:rsidRDefault="003427F3" w:rsidP="0068379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E38A0">
              <w:rPr>
                <w:b/>
                <w:bCs/>
                <w:sz w:val="24"/>
                <w:szCs w:val="24"/>
                <w:lang w:val="fr-FR"/>
              </w:rPr>
              <w:t>Note globale</w:t>
            </w:r>
          </w:p>
        </w:tc>
        <w:tc>
          <w:tcPr>
            <w:tcW w:w="1020" w:type="dxa"/>
          </w:tcPr>
          <w:p w:rsidR="003427F3" w:rsidRPr="00EE38A0" w:rsidRDefault="003D23B0" w:rsidP="0068379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1559" w:type="dxa"/>
          </w:tcPr>
          <w:p w:rsidR="003427F3" w:rsidRPr="00EE38A0" w:rsidRDefault="003427F3" w:rsidP="0068379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:rsidR="009152EE" w:rsidRPr="002C5C2C" w:rsidRDefault="009152EE" w:rsidP="0068379C">
      <w:pPr>
        <w:jc w:val="center"/>
        <w:rPr>
          <w:sz w:val="16"/>
          <w:szCs w:val="16"/>
          <w:lang w:val="fr-FR"/>
        </w:rPr>
      </w:pPr>
    </w:p>
    <w:p w:rsidR="007C1B80" w:rsidRPr="003D23B0" w:rsidRDefault="00EE38A0" w:rsidP="002C5C2C">
      <w:pPr>
        <w:spacing w:after="0"/>
        <w:jc w:val="center"/>
        <w:rPr>
          <w:b/>
          <w:bCs/>
          <w:sz w:val="32"/>
          <w:szCs w:val="32"/>
          <w:lang w:val="fr-FR"/>
        </w:rPr>
      </w:pPr>
      <w:r w:rsidRPr="003D23B0">
        <w:rPr>
          <w:b/>
          <w:bCs/>
          <w:sz w:val="32"/>
          <w:szCs w:val="32"/>
          <w:lang w:val="fr-FR"/>
        </w:rPr>
        <w:t>Matériel nécessaire :</w:t>
      </w:r>
    </w:p>
    <w:p w:rsidR="00E53275" w:rsidRPr="003427F3" w:rsidRDefault="00EE38A0" w:rsidP="002C5C2C">
      <w:pPr>
        <w:pStyle w:val="ListParagraph"/>
        <w:numPr>
          <w:ilvl w:val="0"/>
          <w:numId w:val="2"/>
        </w:numPr>
        <w:spacing w:after="0"/>
        <w:jc w:val="center"/>
        <w:rPr>
          <w:lang w:val="fr-FR"/>
        </w:rPr>
      </w:pPr>
      <w:r w:rsidRPr="00EE38A0">
        <w:rPr>
          <w:lang w:val="fr-FR"/>
        </w:rPr>
        <w:t xml:space="preserve">Objet </w:t>
      </w:r>
      <w:r>
        <w:rPr>
          <w:lang w:val="fr-FR"/>
        </w:rPr>
        <w:t>à observer</w:t>
      </w:r>
      <w:r w:rsidR="00E53275">
        <w:rPr>
          <w:lang w:val="fr-FR"/>
        </w:rPr>
        <w:t xml:space="preserve"> (Echantillon</w:t>
      </w:r>
      <w:r>
        <w:rPr>
          <w:lang w:val="fr-FR"/>
        </w:rPr>
        <w:t xml:space="preserve"> végétale </w:t>
      </w:r>
      <w:r w:rsidR="00E53275">
        <w:rPr>
          <w:lang w:val="fr-FR"/>
        </w:rPr>
        <w:t>ou animale</w:t>
      </w:r>
      <w:r>
        <w:rPr>
          <w:lang w:val="fr-FR"/>
        </w:rPr>
        <w:t xml:space="preserve">) ; Lame et lamelle ; Eau </w:t>
      </w:r>
      <w:r w:rsidR="00E53275">
        <w:rPr>
          <w:lang w:val="fr-FR"/>
        </w:rPr>
        <w:t>distillée</w:t>
      </w:r>
      <w:r>
        <w:rPr>
          <w:lang w:val="fr-FR"/>
        </w:rPr>
        <w:t xml:space="preserve"> ; </w:t>
      </w:r>
      <w:r w:rsidR="00E53275">
        <w:rPr>
          <w:lang w:val="fr-FR"/>
        </w:rPr>
        <w:t>Colorant (si</w:t>
      </w:r>
      <w:r>
        <w:rPr>
          <w:lang w:val="fr-FR"/>
        </w:rPr>
        <w:t xml:space="preserve"> nécessaire) ; Micro-pipete </w:t>
      </w:r>
      <w:r w:rsidR="00E53275">
        <w:rPr>
          <w:lang w:val="fr-FR"/>
        </w:rPr>
        <w:t>compte</w:t>
      </w:r>
      <w:r>
        <w:rPr>
          <w:lang w:val="fr-FR"/>
        </w:rPr>
        <w:t xml:space="preserve"> –</w:t>
      </w:r>
      <w:r w:rsidR="003427F3">
        <w:rPr>
          <w:lang w:val="fr-FR"/>
        </w:rPr>
        <w:t>gouttes</w:t>
      </w:r>
    </w:p>
    <w:p w:rsidR="00E53275" w:rsidRDefault="002C5C2C" w:rsidP="0068379C">
      <w:pPr>
        <w:pStyle w:val="ListParagraph"/>
        <w:jc w:val="center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2B41242B" wp14:editId="7D155006">
            <wp:simplePos x="0" y="0"/>
            <wp:positionH relativeFrom="page">
              <wp:posOffset>847446</wp:posOffset>
            </wp:positionH>
            <wp:positionV relativeFrom="paragraph">
              <wp:posOffset>33020</wp:posOffset>
            </wp:positionV>
            <wp:extent cx="6453505" cy="7309669"/>
            <wp:effectExtent l="19050" t="19050" r="23495" b="247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29" t="17793" r="31285" b="11810"/>
                    <a:stretch/>
                  </pic:blipFill>
                  <pic:spPr bwMode="auto">
                    <a:xfrm>
                      <a:off x="0" y="0"/>
                      <a:ext cx="6453505" cy="730966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275" w:rsidRDefault="00E53275" w:rsidP="0068379C">
      <w:pPr>
        <w:pStyle w:val="ListParagraph"/>
        <w:jc w:val="center"/>
        <w:rPr>
          <w:lang w:val="fr-FR"/>
        </w:rPr>
      </w:pPr>
    </w:p>
    <w:p w:rsidR="00E53275" w:rsidRDefault="00E53275" w:rsidP="0068379C">
      <w:pPr>
        <w:pStyle w:val="ListParagraph"/>
        <w:jc w:val="center"/>
        <w:rPr>
          <w:lang w:val="fr-FR"/>
        </w:rPr>
      </w:pPr>
    </w:p>
    <w:p w:rsidR="00E53275" w:rsidRDefault="00E53275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DA38E0" w:rsidRDefault="00DA38E0" w:rsidP="0068379C">
      <w:pPr>
        <w:pStyle w:val="ListParagraph"/>
        <w:jc w:val="center"/>
        <w:rPr>
          <w:lang w:val="fr-FR"/>
        </w:rPr>
      </w:pPr>
    </w:p>
    <w:p w:rsidR="008F16B9" w:rsidRPr="002C5C2C" w:rsidRDefault="008F16B9" w:rsidP="002C5C2C">
      <w:pPr>
        <w:rPr>
          <w:b/>
          <w:bCs/>
          <w:sz w:val="28"/>
          <w:szCs w:val="28"/>
          <w:lang w:val="fr-FR"/>
        </w:rPr>
      </w:pPr>
    </w:p>
    <w:p w:rsidR="002C5C2C" w:rsidRDefault="002C5C2C" w:rsidP="0068379C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DA38E0" w:rsidRPr="003427F3" w:rsidRDefault="00DA38E0" w:rsidP="0068379C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Les étapes d’utilisation du microscope</w:t>
      </w:r>
    </w:p>
    <w:p w:rsidR="008F16B9" w:rsidRPr="003427F3" w:rsidRDefault="008F16B9" w:rsidP="0068379C">
      <w:pPr>
        <w:pStyle w:val="ListParagraph"/>
        <w:jc w:val="center"/>
        <w:rPr>
          <w:rFonts w:asciiTheme="majorBidi" w:hAnsiTheme="majorBidi" w:cstheme="majorBidi"/>
          <w:noProof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Ne jamais   ‟ </w:t>
      </w:r>
      <w:proofErr w:type="gramStart"/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Forcer</w:t>
      </w:r>
      <w:r w:rsidRPr="003427F3">
        <w:rPr>
          <w:rFonts w:asciiTheme="majorBidi" w:hAnsiTheme="majorBidi" w:cstheme="majorBidi"/>
          <w:noProof/>
          <w:sz w:val="24"/>
          <w:szCs w:val="24"/>
          <w:lang w:val="fr-FR"/>
        </w:rPr>
        <w:t xml:space="preserve">  ‟</w:t>
      </w:r>
      <w:proofErr w:type="gramEnd"/>
    </w:p>
    <w:p w:rsidR="008F16B9" w:rsidRPr="003427F3" w:rsidRDefault="008F16B9" w:rsidP="0068379C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8F16B9" w:rsidRPr="003427F3" w:rsidRDefault="008F16B9" w:rsidP="0068379C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Etape n° 1 : installer Le microscope</w:t>
      </w:r>
    </w:p>
    <w:p w:rsidR="008F16B9" w:rsidRPr="003427F3" w:rsidRDefault="008F16B9" w:rsidP="0068379C">
      <w:pPr>
        <w:pStyle w:val="ListParagraph"/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Le microscope est à manipuler avec </w:t>
      </w:r>
      <w:r w:rsidR="00C055BE" w:rsidRPr="003427F3">
        <w:rPr>
          <w:rFonts w:asciiTheme="majorBidi" w:hAnsiTheme="majorBidi" w:cstheme="majorBidi"/>
          <w:sz w:val="24"/>
          <w:szCs w:val="24"/>
          <w:lang w:val="fr-FR"/>
        </w:rPr>
        <w:t xml:space="preserve">délicatesse. La potence doit </w:t>
      </w:r>
      <w:r w:rsidR="00C220ED" w:rsidRPr="003427F3">
        <w:rPr>
          <w:rFonts w:asciiTheme="majorBidi" w:hAnsiTheme="majorBidi" w:cstheme="majorBidi"/>
          <w:sz w:val="24"/>
          <w:szCs w:val="24"/>
          <w:lang w:val="fr-FR"/>
        </w:rPr>
        <w:t>êtr</w:t>
      </w:r>
      <w:r w:rsidR="00C220ED">
        <w:rPr>
          <w:rFonts w:asciiTheme="majorBidi" w:hAnsiTheme="majorBidi" w:cstheme="majorBidi"/>
          <w:sz w:val="24"/>
          <w:szCs w:val="24"/>
          <w:lang w:val="fr-FR"/>
        </w:rPr>
        <w:t xml:space="preserve">e face à vous </w:t>
      </w:r>
      <w:r w:rsidR="00C055BE" w:rsidRPr="003427F3">
        <w:rPr>
          <w:rFonts w:asciiTheme="majorBidi" w:hAnsiTheme="majorBidi" w:cstheme="majorBidi"/>
          <w:sz w:val="24"/>
          <w:szCs w:val="24"/>
          <w:lang w:val="fr-FR"/>
        </w:rPr>
        <w:t>ainsi que l’oculaire. Plac</w:t>
      </w:r>
      <w:r w:rsidR="00C220ED">
        <w:rPr>
          <w:rFonts w:asciiTheme="majorBidi" w:hAnsiTheme="majorBidi" w:cstheme="majorBidi"/>
          <w:sz w:val="24"/>
          <w:szCs w:val="24"/>
          <w:lang w:val="fr-FR"/>
        </w:rPr>
        <w:t xml:space="preserve">er le petit objectif. Remonter </w:t>
      </w:r>
      <w:r w:rsidR="00C055BE" w:rsidRPr="003427F3">
        <w:rPr>
          <w:rFonts w:asciiTheme="majorBidi" w:hAnsiTheme="majorBidi" w:cstheme="majorBidi"/>
          <w:sz w:val="24"/>
          <w:szCs w:val="24"/>
          <w:lang w:val="fr-FR"/>
        </w:rPr>
        <w:t>au maximum l’ensemble optique avec la vis de réglage. Dérouler le fil et brancher.</w:t>
      </w:r>
    </w:p>
    <w:p w:rsidR="00C055BE" w:rsidRPr="003427F3" w:rsidRDefault="00C055BE" w:rsidP="0068379C">
      <w:pPr>
        <w:pStyle w:val="ListParagrap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8F16B9" w:rsidRPr="003427F3" w:rsidRDefault="008F16B9" w:rsidP="0068379C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Etape n° </w:t>
      </w:r>
      <w:r w:rsidR="00C055BE"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2</w:t>
      </w: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 : </w:t>
      </w:r>
      <w:r w:rsidR="00C055BE"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Placer l’objet à observer.</w:t>
      </w:r>
    </w:p>
    <w:p w:rsidR="00C055BE" w:rsidRPr="003427F3" w:rsidRDefault="00C055BE" w:rsidP="0068379C">
      <w:pPr>
        <w:pStyle w:val="ListParagraph"/>
        <w:numPr>
          <w:ilvl w:val="0"/>
          <w:numId w:val="4"/>
        </w:numPr>
        <w:tabs>
          <w:tab w:val="left" w:pos="720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>Sélectionner le plus petit objectif.</w:t>
      </w:r>
    </w:p>
    <w:p w:rsidR="00C055BE" w:rsidRPr="003427F3" w:rsidRDefault="00C055BE" w:rsidP="0068379C">
      <w:pPr>
        <w:pStyle w:val="ListParagraph"/>
        <w:numPr>
          <w:ilvl w:val="0"/>
          <w:numId w:val="4"/>
        </w:numPr>
        <w:tabs>
          <w:tab w:val="left" w:pos="720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>Déposer la préparation sur la platine en la fixant avec les valets.</w:t>
      </w:r>
    </w:p>
    <w:p w:rsidR="00C055BE" w:rsidRPr="003427F3" w:rsidRDefault="00C055BE" w:rsidP="0068379C">
      <w:pPr>
        <w:pStyle w:val="ListParagraph"/>
        <w:numPr>
          <w:ilvl w:val="0"/>
          <w:numId w:val="4"/>
        </w:numPr>
        <w:tabs>
          <w:tab w:val="left" w:pos="720"/>
        </w:tabs>
        <w:ind w:left="993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>Régler la luminosité avec le diaphragme (largeur du faisceau de lumière) et l’intensité lumineuse</w:t>
      </w:r>
    </w:p>
    <w:p w:rsidR="00C055BE" w:rsidRPr="003427F3" w:rsidRDefault="00C055BE" w:rsidP="0068379C">
      <w:pPr>
        <w:pStyle w:val="ListParagraph"/>
        <w:numPr>
          <w:ilvl w:val="0"/>
          <w:numId w:val="4"/>
        </w:numPr>
        <w:tabs>
          <w:tab w:val="left" w:pos="567"/>
        </w:tabs>
        <w:ind w:left="993"/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Descendre complètement la platine afin d’éviter de </w:t>
      </w: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casser la lame</w:t>
      </w:r>
    </w:p>
    <w:p w:rsidR="00C055BE" w:rsidRPr="003427F3" w:rsidRDefault="00C055BE" w:rsidP="0068379C">
      <w:pPr>
        <w:pStyle w:val="ListParagraph"/>
        <w:tabs>
          <w:tab w:val="left" w:pos="720"/>
        </w:tabs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8F16B9" w:rsidRPr="003427F3" w:rsidRDefault="008F16B9" w:rsidP="0068379C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Etape n° </w:t>
      </w:r>
      <w:r w:rsidR="005177D9"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3</w:t>
      </w: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 : </w:t>
      </w:r>
      <w:r w:rsidR="005177D9"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faire la mise au point</w:t>
      </w:r>
    </w:p>
    <w:p w:rsidR="005177D9" w:rsidRPr="003427F3" w:rsidRDefault="005177D9" w:rsidP="0068379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Remonter la platine au plus </w:t>
      </w:r>
      <w:r w:rsidR="00C354FD" w:rsidRPr="003427F3">
        <w:rPr>
          <w:rFonts w:asciiTheme="majorBidi" w:hAnsiTheme="majorBidi" w:cstheme="majorBidi"/>
          <w:sz w:val="24"/>
          <w:szCs w:val="24"/>
          <w:lang w:val="fr-FR"/>
        </w:rPr>
        <w:t>près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 de l’objectif la platine jusqu’au sans abimer la </w:t>
      </w:r>
      <w:r w:rsidR="002D34F3" w:rsidRPr="003427F3">
        <w:rPr>
          <w:rFonts w:asciiTheme="majorBidi" w:hAnsiTheme="majorBidi" w:cstheme="majorBidi"/>
          <w:sz w:val="24"/>
          <w:szCs w:val="24"/>
          <w:lang w:val="fr-FR"/>
        </w:rPr>
        <w:t>préparation (vis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 macro)</w:t>
      </w:r>
    </w:p>
    <w:p w:rsidR="005177D9" w:rsidRPr="003427F3" w:rsidRDefault="005177D9" w:rsidP="0068379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>Allumer le microscope</w:t>
      </w:r>
    </w:p>
    <w:p w:rsidR="005177D9" w:rsidRPr="003427F3" w:rsidRDefault="002D34F3" w:rsidP="0068379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>Regarder dans</w:t>
      </w:r>
      <w:r w:rsidR="005177D9" w:rsidRPr="003427F3">
        <w:rPr>
          <w:rFonts w:asciiTheme="majorBidi" w:hAnsiTheme="majorBidi" w:cstheme="majorBidi"/>
          <w:sz w:val="24"/>
          <w:szCs w:val="24"/>
          <w:lang w:val="fr-FR"/>
        </w:rPr>
        <w:t xml:space="preserve"> l’</w:t>
      </w:r>
      <w:r w:rsidR="00C354FD" w:rsidRPr="003427F3">
        <w:rPr>
          <w:rFonts w:asciiTheme="majorBidi" w:hAnsiTheme="majorBidi" w:cstheme="majorBidi"/>
          <w:sz w:val="24"/>
          <w:szCs w:val="24"/>
          <w:lang w:val="fr-FR"/>
        </w:rPr>
        <w:t>oc</w:t>
      </w:r>
      <w:r w:rsidR="005177D9" w:rsidRPr="003427F3">
        <w:rPr>
          <w:rFonts w:asciiTheme="majorBidi" w:hAnsiTheme="majorBidi" w:cstheme="majorBidi"/>
          <w:sz w:val="24"/>
          <w:szCs w:val="24"/>
          <w:lang w:val="fr-FR"/>
        </w:rPr>
        <w:t xml:space="preserve">ulaire puis descendre la platine jusqu’à </w:t>
      </w:r>
      <w:r w:rsidR="00C354FD" w:rsidRPr="003427F3">
        <w:rPr>
          <w:rFonts w:asciiTheme="majorBidi" w:hAnsiTheme="majorBidi" w:cstheme="majorBidi"/>
          <w:sz w:val="24"/>
          <w:szCs w:val="24"/>
          <w:lang w:val="fr-FR"/>
        </w:rPr>
        <w:t>netteté</w:t>
      </w:r>
      <w:r w:rsidR="005177D9" w:rsidRPr="003427F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>(vis</w:t>
      </w:r>
      <w:r w:rsidR="005177D9" w:rsidRPr="003427F3">
        <w:rPr>
          <w:rFonts w:asciiTheme="majorBidi" w:hAnsiTheme="majorBidi" w:cstheme="majorBidi"/>
          <w:sz w:val="24"/>
          <w:szCs w:val="24"/>
          <w:lang w:val="fr-FR"/>
        </w:rPr>
        <w:t xml:space="preserve"> macro).</w:t>
      </w:r>
    </w:p>
    <w:p w:rsidR="00C354FD" w:rsidRPr="003427F3" w:rsidRDefault="002D34F3" w:rsidP="0068379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>Améliorer</w:t>
      </w:r>
      <w:r w:rsidR="00C354FD" w:rsidRPr="003427F3">
        <w:rPr>
          <w:rFonts w:asciiTheme="majorBidi" w:hAnsiTheme="majorBidi" w:cstheme="majorBidi"/>
          <w:sz w:val="24"/>
          <w:szCs w:val="24"/>
          <w:lang w:val="fr-FR"/>
        </w:rPr>
        <w:t xml:space="preserve"> l’image en 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>réglant</w:t>
      </w:r>
      <w:r w:rsidR="00C354FD" w:rsidRPr="003427F3">
        <w:rPr>
          <w:rFonts w:asciiTheme="majorBidi" w:hAnsiTheme="majorBidi" w:cstheme="majorBidi"/>
          <w:sz w:val="24"/>
          <w:szCs w:val="24"/>
          <w:lang w:val="fr-FR"/>
        </w:rPr>
        <w:t xml:space="preserve"> la vis 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>micrométrique</w:t>
      </w:r>
      <w:r w:rsidR="00C354FD" w:rsidRPr="003427F3">
        <w:rPr>
          <w:rFonts w:asciiTheme="majorBidi" w:hAnsiTheme="majorBidi" w:cstheme="majorBidi"/>
          <w:sz w:val="24"/>
          <w:szCs w:val="24"/>
          <w:lang w:val="fr-FR"/>
        </w:rPr>
        <w:t xml:space="preserve">, et si possible la 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>lumière</w:t>
      </w:r>
      <w:r w:rsidR="00C354FD" w:rsidRPr="003427F3">
        <w:rPr>
          <w:rFonts w:asciiTheme="majorBidi" w:hAnsiTheme="majorBidi" w:cstheme="majorBidi"/>
          <w:sz w:val="24"/>
          <w:szCs w:val="24"/>
          <w:lang w:val="fr-FR"/>
        </w:rPr>
        <w:t xml:space="preserve">, le diaphragme et le 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>condenseur (variable</w:t>
      </w:r>
      <w:r w:rsidR="00C354FD" w:rsidRPr="003427F3">
        <w:rPr>
          <w:rFonts w:asciiTheme="majorBidi" w:hAnsiTheme="majorBidi" w:cstheme="majorBidi"/>
          <w:sz w:val="24"/>
          <w:szCs w:val="24"/>
          <w:lang w:val="fr-FR"/>
        </w:rPr>
        <w:t xml:space="preserve"> selon les 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>modèles</w:t>
      </w:r>
      <w:r w:rsidR="00C354FD" w:rsidRPr="003427F3">
        <w:rPr>
          <w:rFonts w:asciiTheme="majorBidi" w:hAnsiTheme="majorBidi" w:cstheme="majorBidi"/>
          <w:sz w:val="24"/>
          <w:szCs w:val="24"/>
          <w:lang w:val="fr-FR"/>
        </w:rPr>
        <w:t xml:space="preserve"> de microscope).</w:t>
      </w:r>
    </w:p>
    <w:p w:rsidR="00C354FD" w:rsidRPr="003427F3" w:rsidRDefault="002D34F3" w:rsidP="0068379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>Trouver une zone intéressante contenant ce l’on cherche (voir le début de protocole) et la placer le plus au centre possible.</w:t>
      </w:r>
    </w:p>
    <w:p w:rsidR="0068379C" w:rsidRPr="003427F3" w:rsidRDefault="0068379C" w:rsidP="0068379C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8F16B9" w:rsidRPr="003427F3" w:rsidRDefault="008F16B9" w:rsidP="0068379C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Etape n° </w:t>
      </w:r>
      <w:r w:rsidR="002D34F3"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4</w:t>
      </w: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 : </w:t>
      </w:r>
      <w:r w:rsidR="0068379C"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Changer l’objectif</w:t>
      </w:r>
    </w:p>
    <w:p w:rsidR="002D34F3" w:rsidRPr="003427F3" w:rsidRDefault="002D34F3" w:rsidP="0068379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Changer l’objectif en </w:t>
      </w:r>
      <w:r w:rsidR="0068379C" w:rsidRPr="003427F3">
        <w:rPr>
          <w:rFonts w:asciiTheme="majorBidi" w:hAnsiTheme="majorBidi" w:cstheme="majorBidi"/>
          <w:sz w:val="24"/>
          <w:szCs w:val="24"/>
          <w:lang w:val="fr-FR"/>
        </w:rPr>
        <w:t>plaçant le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 moyen objectif dans l’</w:t>
      </w:r>
      <w:r w:rsidR="003427F3">
        <w:rPr>
          <w:rFonts w:asciiTheme="majorBidi" w:hAnsiTheme="majorBidi" w:cstheme="majorBidi"/>
          <w:sz w:val="24"/>
          <w:szCs w:val="24"/>
          <w:lang w:val="fr-FR"/>
        </w:rPr>
        <w:t xml:space="preserve">axe 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de la lampe en tournant la tourelle porte-objectifs sans modifier les </w:t>
      </w:r>
      <w:r w:rsidR="0068379C" w:rsidRPr="003427F3">
        <w:rPr>
          <w:rFonts w:asciiTheme="majorBidi" w:hAnsiTheme="majorBidi" w:cstheme="majorBidi"/>
          <w:sz w:val="24"/>
          <w:szCs w:val="24"/>
          <w:lang w:val="fr-FR"/>
        </w:rPr>
        <w:t>réglages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>.</w:t>
      </w:r>
      <w:r w:rsidR="003427F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Si </w:t>
      </w:r>
      <w:r w:rsidR="0068379C" w:rsidRPr="003427F3">
        <w:rPr>
          <w:rFonts w:asciiTheme="majorBidi" w:hAnsiTheme="majorBidi" w:cstheme="majorBidi"/>
          <w:sz w:val="24"/>
          <w:szCs w:val="24"/>
          <w:lang w:val="fr-FR"/>
        </w:rPr>
        <w:t>ça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 bloque, appeler le professeur.</w:t>
      </w:r>
    </w:p>
    <w:p w:rsidR="0068379C" w:rsidRPr="003427F3" w:rsidRDefault="0068379C" w:rsidP="0068379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>Régler la</w:t>
      </w:r>
      <w:r w:rsidR="002D34F3" w:rsidRPr="003427F3">
        <w:rPr>
          <w:rFonts w:asciiTheme="majorBidi" w:hAnsiTheme="majorBidi" w:cstheme="majorBidi"/>
          <w:sz w:val="24"/>
          <w:szCs w:val="24"/>
          <w:lang w:val="fr-FR"/>
        </w:rPr>
        <w:t xml:space="preserve"> netteté avec la vis 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>micrométrique</w:t>
      </w:r>
      <w:r w:rsidR="002D34F3" w:rsidRPr="003427F3"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2D34F3" w:rsidRPr="003427F3">
        <w:rPr>
          <w:rFonts w:asciiTheme="majorBidi" w:hAnsiTheme="majorBidi" w:cstheme="majorBidi"/>
          <w:sz w:val="24"/>
          <w:szCs w:val="24"/>
          <w:lang w:val="fr-FR"/>
        </w:rPr>
        <w:t xml:space="preserve">Si vraiment la 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>netteté ne</w:t>
      </w:r>
      <w:r w:rsidR="002D34F3" w:rsidRPr="003427F3">
        <w:rPr>
          <w:rFonts w:asciiTheme="majorBidi" w:hAnsiTheme="majorBidi" w:cstheme="majorBidi"/>
          <w:sz w:val="24"/>
          <w:szCs w:val="24"/>
          <w:lang w:val="fr-FR"/>
        </w:rPr>
        <w:t xml:space="preserve"> se fait pas, 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>recommencer</w:t>
      </w:r>
      <w:r w:rsidR="002D34F3" w:rsidRPr="003427F3">
        <w:rPr>
          <w:rFonts w:asciiTheme="majorBidi" w:hAnsiTheme="majorBidi" w:cstheme="majorBidi"/>
          <w:sz w:val="24"/>
          <w:szCs w:val="24"/>
          <w:lang w:val="fr-FR"/>
        </w:rPr>
        <w:t xml:space="preserve"> au petit grossissement.</w:t>
      </w:r>
    </w:p>
    <w:p w:rsidR="002D34F3" w:rsidRPr="003427F3" w:rsidRDefault="002D34F3" w:rsidP="0068379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Recommencer la </w:t>
      </w:r>
      <w:r w:rsidR="0068379C" w:rsidRPr="003427F3">
        <w:rPr>
          <w:rFonts w:asciiTheme="majorBidi" w:hAnsiTheme="majorBidi" w:cstheme="majorBidi"/>
          <w:sz w:val="24"/>
          <w:szCs w:val="24"/>
          <w:lang w:val="fr-FR"/>
        </w:rPr>
        <w:t>même démarche du</w:t>
      </w: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 moyen ou gros objectif.</w:t>
      </w:r>
    </w:p>
    <w:p w:rsidR="007F76CF" w:rsidRPr="003427F3" w:rsidRDefault="002D34F3" w:rsidP="003427F3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>Choisir l’objectif le plus adapté à l’objet observé.</w:t>
      </w:r>
    </w:p>
    <w:p w:rsidR="0068379C" w:rsidRPr="003427F3" w:rsidRDefault="0068379C" w:rsidP="0068379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68379C" w:rsidRPr="003427F3" w:rsidRDefault="0068379C" w:rsidP="0068379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 la fin de l’observation, les </w:t>
      </w:r>
      <w:r w:rsidR="007F76CF"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réglages</w:t>
      </w: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du microscope sont les suivants :</w:t>
      </w:r>
    </w:p>
    <w:p w:rsidR="0068379C" w:rsidRPr="003427F3" w:rsidRDefault="0068379C" w:rsidP="0068379C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 xml:space="preserve">Petit objectif – platine remonté –microscope éteint </w:t>
      </w:r>
    </w:p>
    <w:p w:rsidR="00C220ED" w:rsidRDefault="0068379C" w:rsidP="00C220E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sz w:val="24"/>
          <w:szCs w:val="24"/>
          <w:lang w:val="fr-FR"/>
        </w:rPr>
        <w:t>Vous devez ranger votre microscope à la place indiques par l’enseignant.</w:t>
      </w:r>
    </w:p>
    <w:p w:rsidR="0068379C" w:rsidRPr="00C220ED" w:rsidRDefault="0068379C" w:rsidP="00C220E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C220ED">
        <w:rPr>
          <w:rFonts w:asciiTheme="majorBidi" w:hAnsiTheme="majorBidi" w:cstheme="majorBidi"/>
          <w:b/>
          <w:bCs/>
          <w:sz w:val="24"/>
          <w:szCs w:val="24"/>
          <w:lang w:val="fr-FR"/>
        </w:rPr>
        <w:t>Remarque :</w:t>
      </w:r>
    </w:p>
    <w:p w:rsidR="0068379C" w:rsidRPr="003427F3" w:rsidRDefault="0068379C" w:rsidP="0068379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Un microscope </w:t>
      </w:r>
      <w:r w:rsidR="00CC3179"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est</w:t>
      </w: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un appareil fragile, qu’il faut manipuler avec précaution. Pour déplacer un microscope, vous devez le tenir par la </w:t>
      </w:r>
      <w:r w:rsidR="00CC3179"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potence et</w:t>
      </w: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le socle, jamais par une autre </w:t>
      </w:r>
      <w:r w:rsidR="00CC3179"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partie (</w:t>
      </w: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oculaire, </w:t>
      </w:r>
      <w:r w:rsidR="00CC3179"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objectif…</w:t>
      </w: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)</w:t>
      </w:r>
    </w:p>
    <w:p w:rsidR="0068379C" w:rsidRPr="003427F3" w:rsidRDefault="00CC3179" w:rsidP="00CC3179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427F3">
        <w:rPr>
          <w:rFonts w:asciiTheme="majorBidi" w:hAnsiTheme="majorBidi" w:cstheme="majorBidi"/>
          <w:b/>
          <w:bCs/>
          <w:sz w:val="24"/>
          <w:szCs w:val="24"/>
          <w:lang w:val="fr-FR"/>
        </w:rPr>
        <w:t>L’observation est réussite quand une cellule est au centre de la préparation et que l’on voit nettement son contour et son intérieur</w:t>
      </w:r>
    </w:p>
    <w:p w:rsidR="008F16B9" w:rsidRPr="00C220ED" w:rsidRDefault="008F16B9" w:rsidP="00C220ED">
      <w:pPr>
        <w:rPr>
          <w:sz w:val="28"/>
          <w:szCs w:val="28"/>
          <w:lang w:val="fr-FR"/>
        </w:rPr>
      </w:pPr>
    </w:p>
    <w:sectPr w:rsidR="008F16B9" w:rsidRPr="00C220ED" w:rsidSect="006E1BF9">
      <w:pgSz w:w="12240" w:h="15840"/>
      <w:pgMar w:top="284" w:right="47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0BF6"/>
    <w:multiLevelType w:val="hybridMultilevel"/>
    <w:tmpl w:val="0FD8494C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A267F62"/>
    <w:multiLevelType w:val="hybridMultilevel"/>
    <w:tmpl w:val="27D6B828"/>
    <w:lvl w:ilvl="0" w:tplc="F04892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D53A69"/>
    <w:multiLevelType w:val="hybridMultilevel"/>
    <w:tmpl w:val="123E2848"/>
    <w:lvl w:ilvl="0" w:tplc="D9C29C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3255C"/>
    <w:multiLevelType w:val="hybridMultilevel"/>
    <w:tmpl w:val="AC00F03C"/>
    <w:lvl w:ilvl="0" w:tplc="C248B5A0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08B6EE8"/>
    <w:multiLevelType w:val="hybridMultilevel"/>
    <w:tmpl w:val="24F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67B38"/>
    <w:multiLevelType w:val="hybridMultilevel"/>
    <w:tmpl w:val="B97C7B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265BE8"/>
    <w:multiLevelType w:val="hybridMultilevel"/>
    <w:tmpl w:val="07406D52"/>
    <w:lvl w:ilvl="0" w:tplc="478E9E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1D"/>
    <w:rsid w:val="002C5C2C"/>
    <w:rsid w:val="002D34F3"/>
    <w:rsid w:val="003427F3"/>
    <w:rsid w:val="003A079A"/>
    <w:rsid w:val="003D22EB"/>
    <w:rsid w:val="003D23B0"/>
    <w:rsid w:val="004E44D7"/>
    <w:rsid w:val="005177D9"/>
    <w:rsid w:val="005E4C1D"/>
    <w:rsid w:val="0068379C"/>
    <w:rsid w:val="006E1BF9"/>
    <w:rsid w:val="007A25E9"/>
    <w:rsid w:val="007C1B80"/>
    <w:rsid w:val="007F76CF"/>
    <w:rsid w:val="008F16B9"/>
    <w:rsid w:val="00904C39"/>
    <w:rsid w:val="009152EE"/>
    <w:rsid w:val="00A04432"/>
    <w:rsid w:val="00C055BE"/>
    <w:rsid w:val="00C220ED"/>
    <w:rsid w:val="00C354FD"/>
    <w:rsid w:val="00C55F1F"/>
    <w:rsid w:val="00CC3179"/>
    <w:rsid w:val="00DA38E0"/>
    <w:rsid w:val="00E53275"/>
    <w:rsid w:val="00E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3BF11-EE41-41C5-A32F-CEFE05B1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0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B80"/>
    <w:pPr>
      <w:ind w:left="720"/>
      <w:contextualSpacing/>
    </w:pPr>
  </w:style>
  <w:style w:type="table" w:styleId="TableGrid">
    <w:name w:val="Table Grid"/>
    <w:basedOn w:val="TableNormal"/>
    <w:uiPriority w:val="39"/>
    <w:rsid w:val="0091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A07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3A079A"/>
  </w:style>
  <w:style w:type="character" w:customStyle="1" w:styleId="Heading3Char">
    <w:name w:val="Heading 3 Char"/>
    <w:basedOn w:val="DefaultParagraphFont"/>
    <w:link w:val="Heading3"/>
    <w:uiPriority w:val="9"/>
    <w:semiHidden/>
    <w:rsid w:val="003A07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1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2024-02-18T22:18:00Z</dcterms:created>
  <dcterms:modified xsi:type="dcterms:W3CDTF">2024-02-18T22:18:00Z</dcterms:modified>
</cp:coreProperties>
</file>