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8A" w:rsidRPr="00171281" w:rsidRDefault="00AE728A" w:rsidP="00AE728A">
      <w:pPr>
        <w:bidi/>
        <w:spacing w:before="240" w:line="240" w:lineRule="auto"/>
        <w:ind w:firstLine="566"/>
        <w:jc w:val="lowKashida"/>
        <w:rPr>
          <w:rFonts w:ascii="Simplified Arabic" w:hAnsi="Simplified Arabic" w:cs="Simplified Arabic"/>
          <w:sz w:val="32"/>
          <w:szCs w:val="32"/>
          <w:rtl/>
          <w:lang w:bidi="ar-DZ"/>
        </w:rPr>
      </w:pPr>
      <w:r w:rsidRPr="00171281">
        <w:rPr>
          <w:rFonts w:ascii="Simplified Arabic" w:hAnsi="Simplified Arabic" w:cs="Simplified Arabic" w:hint="cs"/>
          <w:b/>
          <w:bCs/>
          <w:sz w:val="32"/>
          <w:szCs w:val="32"/>
          <w:rtl/>
          <w:lang w:bidi="ar-DZ"/>
        </w:rPr>
        <w:t>ثالثا:</w:t>
      </w:r>
      <w:r w:rsidRPr="00171281">
        <w:rPr>
          <w:rFonts w:ascii="Simplified Arabic" w:hAnsi="Simplified Arabic" w:cs="Simplified Arabic" w:hint="cs"/>
          <w:sz w:val="32"/>
          <w:szCs w:val="32"/>
          <w:rtl/>
          <w:lang w:bidi="ar-DZ"/>
        </w:rPr>
        <w:t xml:space="preserve"> </w:t>
      </w:r>
      <w:r w:rsidRPr="00171281">
        <w:rPr>
          <w:rFonts w:ascii="Simplified Arabic" w:hAnsi="Simplified Arabic" w:cs="Simplified Arabic"/>
          <w:b/>
          <w:bCs/>
          <w:sz w:val="32"/>
          <w:szCs w:val="32"/>
          <w:rtl/>
          <w:lang w:bidi="ar-DZ"/>
        </w:rPr>
        <w:t>هيئات الرقابة</w:t>
      </w:r>
    </w:p>
    <w:p w:rsidR="00AE728A" w:rsidRPr="00355A74" w:rsidRDefault="00AE728A" w:rsidP="00AE728A">
      <w:pPr>
        <w:bidi/>
        <w:spacing w:before="240" w:line="240" w:lineRule="auto"/>
        <w:ind w:firstLine="566"/>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إن التنظيم لنظام المصرفي الجزائري الذي بموجبه فتح المجال أمام البنوك الخاصة الوطنية والأجنبية والتي يعتمد على قواعد السوق يتطلب أن تكون للسلطة النقدية آليات وهيئات الرقابة لضمان الانسجام والانضباط السوق المصرفي ويحافظ على الاستقرار نظام المصرفي ويتكون هيئات الرقابة من </w:t>
      </w:r>
      <w:r>
        <w:rPr>
          <w:rFonts w:ascii="Simplified Arabic" w:hAnsi="Simplified Arabic" w:cs="Simplified Arabic" w:hint="cs"/>
          <w:sz w:val="28"/>
          <w:szCs w:val="28"/>
          <w:rtl/>
          <w:lang w:bidi="ar-DZ"/>
        </w:rPr>
        <w:t>:</w:t>
      </w:r>
    </w:p>
    <w:p w:rsidR="00AE728A" w:rsidRDefault="00AE728A" w:rsidP="00AE728A">
      <w:pPr>
        <w:pStyle w:val="Paragraphedeliste"/>
        <w:numPr>
          <w:ilvl w:val="1"/>
          <w:numId w:val="2"/>
        </w:numPr>
        <w:tabs>
          <w:tab w:val="right" w:pos="566"/>
          <w:tab w:val="right" w:pos="1133"/>
        </w:tabs>
        <w:bidi/>
        <w:ind w:left="-1" w:firstLine="567"/>
        <w:jc w:val="lowKashida"/>
        <w:rPr>
          <w:rFonts w:ascii="Simplified Arabic" w:hAnsi="Simplified Arabic" w:cs="Simplified Arabic"/>
          <w:sz w:val="28"/>
          <w:szCs w:val="28"/>
          <w:lang w:bidi="ar-DZ"/>
        </w:rPr>
      </w:pPr>
      <w:r w:rsidRPr="00EB2692">
        <w:rPr>
          <w:rFonts w:ascii="Simplified Arabic" w:hAnsi="Simplified Arabic" w:cs="Simplified Arabic"/>
          <w:b/>
          <w:bCs/>
          <w:sz w:val="28"/>
          <w:szCs w:val="28"/>
          <w:rtl/>
          <w:lang w:bidi="ar-DZ"/>
        </w:rPr>
        <w:t>لجنة المصرفية (لجنة الرقابة المصرفية)</w:t>
      </w:r>
      <w:r w:rsidRPr="00EB2692">
        <w:rPr>
          <w:rFonts w:ascii="Simplified Arabic" w:hAnsi="Simplified Arabic" w:cs="Simplified Arabic"/>
          <w:sz w:val="28"/>
          <w:szCs w:val="28"/>
          <w:rtl/>
          <w:lang w:bidi="ar-DZ"/>
        </w:rPr>
        <w:t xml:space="preserve">: </w:t>
      </w:r>
    </w:p>
    <w:p w:rsidR="00AE728A" w:rsidRPr="00171281" w:rsidRDefault="00AE728A" w:rsidP="00AE728A">
      <w:pPr>
        <w:bidi/>
        <w:ind w:firstLine="566"/>
        <w:jc w:val="lowKashida"/>
        <w:rPr>
          <w:rFonts w:ascii="Simplified Arabic" w:hAnsi="Simplified Arabic" w:cs="Simplified Arabic"/>
          <w:sz w:val="28"/>
          <w:szCs w:val="28"/>
          <w:lang w:bidi="ar-DZ"/>
        </w:rPr>
      </w:pPr>
      <w:r w:rsidRPr="00171281">
        <w:rPr>
          <w:rFonts w:ascii="Simplified Arabic" w:hAnsi="Simplified Arabic" w:cs="Simplified Arabic"/>
          <w:sz w:val="28"/>
          <w:szCs w:val="28"/>
          <w:rtl/>
          <w:lang w:bidi="ar-DZ"/>
        </w:rPr>
        <w:t>نصت المادة 143 من قانون النقد والقرض على إنشاء هذه اللجنة وحددت أعضائها وصلاحياتها حيث كانت اللجنة تتشكل من 5 أعضاء وبعد التعديل وفق الأمر 03/11 المادة 105 أصبحت اللجنة تتكون من 6 أعضاء ثم ارتفع العدد إلى 8 أعضاء بموجب الأمر 10/04 المؤرخ في 26-08-2010 حيث يعين جميع أعضاء اللجنة بمرسوم رئاسي لمدة 5 سنوات وهم</w:t>
      </w:r>
      <w:r>
        <w:rPr>
          <w:rFonts w:ascii="Simplified Arabic" w:hAnsi="Simplified Arabic" w:cs="Simplified Arabic" w:hint="cs"/>
          <w:sz w:val="28"/>
          <w:szCs w:val="28"/>
          <w:rtl/>
          <w:lang w:bidi="ar-DZ"/>
        </w:rPr>
        <w:t>:</w:t>
      </w:r>
      <w:r w:rsidRPr="00171281">
        <w:rPr>
          <w:rFonts w:ascii="Simplified Arabic" w:hAnsi="Simplified Arabic" w:cs="Simplified Arabic"/>
          <w:sz w:val="28"/>
          <w:szCs w:val="28"/>
          <w:rtl/>
          <w:lang w:bidi="ar-DZ"/>
        </w:rPr>
        <w:t xml:space="preserve"> </w:t>
      </w:r>
    </w:p>
    <w:p w:rsidR="00AE728A" w:rsidRPr="00DA5D14" w:rsidRDefault="00AE728A" w:rsidP="00AE728A">
      <w:pPr>
        <w:pStyle w:val="Paragraphedeliste"/>
        <w:numPr>
          <w:ilvl w:val="0"/>
          <w:numId w:val="1"/>
        </w:numPr>
        <w:bidi/>
        <w:ind w:left="566" w:hanging="284"/>
        <w:jc w:val="lowKashida"/>
        <w:rPr>
          <w:rFonts w:ascii="Simplified Arabic" w:hAnsi="Simplified Arabic" w:cs="Simplified Arabic"/>
          <w:sz w:val="28"/>
          <w:szCs w:val="28"/>
          <w:lang w:bidi="ar-DZ"/>
        </w:rPr>
      </w:pPr>
      <w:r w:rsidRPr="00DA5D14">
        <w:rPr>
          <w:rFonts w:ascii="Simplified Arabic" w:hAnsi="Simplified Arabic" w:cs="Simplified Arabic"/>
          <w:sz w:val="28"/>
          <w:szCs w:val="28"/>
          <w:rtl/>
          <w:lang w:bidi="ar-DZ"/>
        </w:rPr>
        <w:t>محافظ بنك الجزائر رئيس</w:t>
      </w:r>
      <w:r>
        <w:rPr>
          <w:rFonts w:ascii="Simplified Arabic" w:hAnsi="Simplified Arabic" w:cs="Simplified Arabic" w:hint="cs"/>
          <w:sz w:val="28"/>
          <w:szCs w:val="28"/>
          <w:rtl/>
          <w:lang w:bidi="ar-DZ"/>
        </w:rPr>
        <w:t>.</w:t>
      </w:r>
      <w:r w:rsidRPr="00DA5D14">
        <w:rPr>
          <w:rFonts w:ascii="Simplified Arabic" w:hAnsi="Simplified Arabic" w:cs="Simplified Arabic"/>
          <w:sz w:val="28"/>
          <w:szCs w:val="28"/>
          <w:rtl/>
          <w:lang w:bidi="ar-DZ"/>
        </w:rPr>
        <w:t xml:space="preserve"> </w:t>
      </w:r>
    </w:p>
    <w:p w:rsidR="00AE728A" w:rsidRPr="00DA5D14" w:rsidRDefault="00AE728A" w:rsidP="00AE728A">
      <w:pPr>
        <w:pStyle w:val="Paragraphedeliste"/>
        <w:numPr>
          <w:ilvl w:val="0"/>
          <w:numId w:val="1"/>
        </w:numPr>
        <w:bidi/>
        <w:ind w:left="566" w:hanging="284"/>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3</w:t>
      </w:r>
      <w:r w:rsidRPr="00DA5D14">
        <w:rPr>
          <w:rFonts w:ascii="Simplified Arabic" w:hAnsi="Simplified Arabic" w:cs="Simplified Arabic"/>
          <w:sz w:val="28"/>
          <w:szCs w:val="28"/>
          <w:rtl/>
          <w:lang w:bidi="ar-DZ"/>
        </w:rPr>
        <w:t xml:space="preserve"> </w:t>
      </w:r>
      <w:proofErr w:type="gramStart"/>
      <w:r w:rsidRPr="00DA5D14">
        <w:rPr>
          <w:rFonts w:ascii="Simplified Arabic" w:hAnsi="Simplified Arabic" w:cs="Simplified Arabic"/>
          <w:sz w:val="28"/>
          <w:szCs w:val="28"/>
          <w:rtl/>
          <w:lang w:bidi="ar-DZ"/>
        </w:rPr>
        <w:t>أعضاء</w:t>
      </w:r>
      <w:proofErr w:type="gramEnd"/>
      <w:r w:rsidRPr="00DA5D14">
        <w:rPr>
          <w:rFonts w:ascii="Simplified Arabic" w:hAnsi="Simplified Arabic" w:cs="Simplified Arabic"/>
          <w:sz w:val="28"/>
          <w:szCs w:val="28"/>
          <w:rtl/>
          <w:lang w:bidi="ar-DZ"/>
        </w:rPr>
        <w:t xml:space="preserve"> يتم اختيارهم نظرا لكفاءتهم في مجال مالي وبنكي ومحاسبي</w:t>
      </w:r>
      <w:r>
        <w:rPr>
          <w:rFonts w:ascii="Simplified Arabic" w:hAnsi="Simplified Arabic" w:cs="Simplified Arabic" w:hint="cs"/>
          <w:sz w:val="28"/>
          <w:szCs w:val="28"/>
          <w:rtl/>
          <w:lang w:bidi="ar-DZ"/>
        </w:rPr>
        <w:t>.</w:t>
      </w:r>
    </w:p>
    <w:p w:rsidR="00AE728A" w:rsidRPr="00DA5D14" w:rsidRDefault="00AE728A" w:rsidP="00AE728A">
      <w:pPr>
        <w:pStyle w:val="Paragraphedeliste"/>
        <w:numPr>
          <w:ilvl w:val="0"/>
          <w:numId w:val="1"/>
        </w:numPr>
        <w:bidi/>
        <w:ind w:left="566" w:hanging="284"/>
        <w:jc w:val="lowKashida"/>
        <w:rPr>
          <w:rFonts w:ascii="Simplified Arabic" w:hAnsi="Simplified Arabic" w:cs="Simplified Arabic"/>
          <w:sz w:val="28"/>
          <w:szCs w:val="28"/>
          <w:lang w:bidi="ar-DZ"/>
        </w:rPr>
      </w:pPr>
      <w:r w:rsidRPr="00DA5D14">
        <w:rPr>
          <w:rFonts w:ascii="Simplified Arabic" w:hAnsi="Simplified Arabic" w:cs="Simplified Arabic"/>
          <w:sz w:val="28"/>
          <w:szCs w:val="28"/>
          <w:rtl/>
          <w:lang w:bidi="ar-DZ"/>
        </w:rPr>
        <w:t>قاضيان يندب أحدهما من محكمة العليا ويختاره رئيسها وثاني ي</w:t>
      </w:r>
      <w:r>
        <w:rPr>
          <w:rFonts w:ascii="Simplified Arabic" w:hAnsi="Simplified Arabic" w:cs="Simplified Arabic"/>
          <w:sz w:val="28"/>
          <w:szCs w:val="28"/>
          <w:rtl/>
          <w:lang w:bidi="ar-DZ"/>
        </w:rPr>
        <w:t>ندب من مجلس الدولة يختاره رئيسه</w:t>
      </w:r>
      <w:r>
        <w:rPr>
          <w:rFonts w:ascii="Simplified Arabic" w:hAnsi="Simplified Arabic" w:cs="Simplified Arabic" w:hint="cs"/>
          <w:sz w:val="28"/>
          <w:szCs w:val="28"/>
          <w:rtl/>
          <w:lang w:bidi="ar-DZ"/>
        </w:rPr>
        <w:t xml:space="preserve"> </w:t>
      </w:r>
      <w:r w:rsidRPr="00DA5D14">
        <w:rPr>
          <w:rFonts w:ascii="Simplified Arabic" w:hAnsi="Simplified Arabic" w:cs="Simplified Arabic"/>
          <w:sz w:val="28"/>
          <w:szCs w:val="28"/>
          <w:rtl/>
          <w:lang w:bidi="ar-DZ"/>
        </w:rPr>
        <w:t>بعد استشارة مجلس الأعلى للقضاء</w:t>
      </w:r>
      <w:r>
        <w:rPr>
          <w:rFonts w:ascii="Simplified Arabic" w:hAnsi="Simplified Arabic" w:cs="Simplified Arabic" w:hint="cs"/>
          <w:sz w:val="28"/>
          <w:szCs w:val="28"/>
          <w:rtl/>
          <w:lang w:bidi="ar-DZ"/>
        </w:rPr>
        <w:t>.</w:t>
      </w:r>
      <w:r w:rsidRPr="00DA5D14">
        <w:rPr>
          <w:rFonts w:ascii="Simplified Arabic" w:hAnsi="Simplified Arabic" w:cs="Simplified Arabic"/>
          <w:sz w:val="28"/>
          <w:szCs w:val="28"/>
          <w:rtl/>
          <w:lang w:bidi="ar-DZ"/>
        </w:rPr>
        <w:t xml:space="preserve"> </w:t>
      </w:r>
    </w:p>
    <w:p w:rsidR="00AE728A" w:rsidRPr="00DA5D14" w:rsidRDefault="00AE728A" w:rsidP="00AE728A">
      <w:pPr>
        <w:pStyle w:val="Paragraphedeliste"/>
        <w:numPr>
          <w:ilvl w:val="0"/>
          <w:numId w:val="1"/>
        </w:numPr>
        <w:bidi/>
        <w:ind w:left="566" w:hanging="284"/>
        <w:jc w:val="lowKashida"/>
        <w:rPr>
          <w:rFonts w:ascii="Simplified Arabic" w:hAnsi="Simplified Arabic" w:cs="Simplified Arabic"/>
          <w:sz w:val="28"/>
          <w:szCs w:val="28"/>
          <w:lang w:bidi="ar-DZ"/>
        </w:rPr>
      </w:pPr>
      <w:r w:rsidRPr="00DA5D14">
        <w:rPr>
          <w:rFonts w:ascii="Simplified Arabic" w:hAnsi="Simplified Arabic" w:cs="Simplified Arabic"/>
          <w:sz w:val="28"/>
          <w:szCs w:val="28"/>
          <w:rtl/>
          <w:lang w:bidi="ar-DZ"/>
        </w:rPr>
        <w:t xml:space="preserve">ممثل عن مجلس </w:t>
      </w:r>
      <w:proofErr w:type="gramStart"/>
      <w:r w:rsidRPr="00DA5D14">
        <w:rPr>
          <w:rFonts w:ascii="Simplified Arabic" w:hAnsi="Simplified Arabic" w:cs="Simplified Arabic"/>
          <w:sz w:val="28"/>
          <w:szCs w:val="28"/>
          <w:rtl/>
          <w:lang w:bidi="ar-DZ"/>
        </w:rPr>
        <w:t>المحاسبة</w:t>
      </w:r>
      <w:proofErr w:type="gramEnd"/>
      <w:r w:rsidRPr="00DA5D14">
        <w:rPr>
          <w:rFonts w:ascii="Simplified Arabic" w:hAnsi="Simplified Arabic" w:cs="Simplified Arabic"/>
          <w:sz w:val="28"/>
          <w:szCs w:val="28"/>
          <w:rtl/>
          <w:lang w:bidi="ar-DZ"/>
        </w:rPr>
        <w:t xml:space="preserve"> يختاره رئيسه من بين مستشارين الصنف الأول</w:t>
      </w:r>
      <w:r>
        <w:rPr>
          <w:rFonts w:ascii="Simplified Arabic" w:hAnsi="Simplified Arabic" w:cs="Simplified Arabic" w:hint="cs"/>
          <w:sz w:val="28"/>
          <w:szCs w:val="28"/>
          <w:rtl/>
          <w:lang w:bidi="ar-DZ"/>
        </w:rPr>
        <w:t>.</w:t>
      </w:r>
      <w:r w:rsidRPr="00DA5D14">
        <w:rPr>
          <w:rFonts w:ascii="Simplified Arabic" w:hAnsi="Simplified Arabic" w:cs="Simplified Arabic"/>
          <w:sz w:val="28"/>
          <w:szCs w:val="28"/>
          <w:rtl/>
          <w:lang w:bidi="ar-DZ"/>
        </w:rPr>
        <w:t xml:space="preserve"> </w:t>
      </w:r>
    </w:p>
    <w:p w:rsidR="00AE728A" w:rsidRPr="00DA5D14" w:rsidRDefault="00AE728A" w:rsidP="00AE728A">
      <w:pPr>
        <w:pStyle w:val="Paragraphedeliste"/>
        <w:numPr>
          <w:ilvl w:val="0"/>
          <w:numId w:val="1"/>
        </w:numPr>
        <w:bidi/>
        <w:ind w:left="566" w:hanging="284"/>
        <w:jc w:val="lowKashida"/>
        <w:rPr>
          <w:rFonts w:ascii="Simplified Arabic" w:hAnsi="Simplified Arabic" w:cs="Simplified Arabic"/>
          <w:sz w:val="28"/>
          <w:szCs w:val="28"/>
          <w:lang w:bidi="ar-DZ"/>
        </w:rPr>
      </w:pPr>
      <w:r w:rsidRPr="00DA5D14">
        <w:rPr>
          <w:rFonts w:ascii="Simplified Arabic" w:hAnsi="Simplified Arabic" w:cs="Simplified Arabic"/>
          <w:sz w:val="28"/>
          <w:szCs w:val="28"/>
          <w:rtl/>
          <w:lang w:bidi="ar-DZ"/>
        </w:rPr>
        <w:t>ممثل عن وزير المالية</w:t>
      </w:r>
      <w:r>
        <w:rPr>
          <w:rFonts w:ascii="Simplified Arabic" w:hAnsi="Simplified Arabic" w:cs="Simplified Arabic" w:hint="cs"/>
          <w:sz w:val="28"/>
          <w:szCs w:val="28"/>
          <w:rtl/>
          <w:lang w:bidi="ar-DZ"/>
        </w:rPr>
        <w:t>.</w:t>
      </w:r>
      <w:r w:rsidRPr="00DA5D14">
        <w:rPr>
          <w:rFonts w:ascii="Simplified Arabic" w:hAnsi="Simplified Arabic" w:cs="Simplified Arabic"/>
          <w:sz w:val="28"/>
          <w:szCs w:val="28"/>
          <w:rtl/>
          <w:lang w:bidi="ar-DZ"/>
        </w:rPr>
        <w:t xml:space="preserve"> </w:t>
      </w:r>
    </w:p>
    <w:p w:rsidR="00AE728A" w:rsidRPr="00355A74" w:rsidRDefault="00AE728A" w:rsidP="00AE728A">
      <w:pPr>
        <w:bidi/>
        <w:jc w:val="lowKashida"/>
        <w:rPr>
          <w:rFonts w:ascii="Simplified Arabic" w:hAnsi="Simplified Arabic" w:cs="Simplified Arabic"/>
          <w:b/>
          <w:bCs/>
          <w:sz w:val="28"/>
          <w:szCs w:val="28"/>
          <w:rtl/>
          <w:lang w:bidi="ar-DZ"/>
        </w:rPr>
      </w:pPr>
      <w:r w:rsidRPr="00355A74">
        <w:rPr>
          <w:rFonts w:ascii="Simplified Arabic" w:hAnsi="Simplified Arabic" w:cs="Simplified Arabic"/>
          <w:b/>
          <w:bCs/>
          <w:sz w:val="28"/>
          <w:szCs w:val="28"/>
          <w:rtl/>
          <w:lang w:bidi="ar-DZ"/>
        </w:rPr>
        <w:t>مهام اللجنة المصرفية</w:t>
      </w:r>
      <w:r>
        <w:rPr>
          <w:rFonts w:ascii="Simplified Arabic" w:hAnsi="Simplified Arabic" w:cs="Simplified Arabic" w:hint="cs"/>
          <w:b/>
          <w:bCs/>
          <w:sz w:val="28"/>
          <w:szCs w:val="28"/>
          <w:rtl/>
          <w:lang w:bidi="ar-DZ"/>
        </w:rPr>
        <w:t>:</w:t>
      </w:r>
      <w:r w:rsidRPr="00355A74">
        <w:rPr>
          <w:rFonts w:ascii="Simplified Arabic" w:hAnsi="Simplified Arabic" w:cs="Simplified Arabic"/>
          <w:b/>
          <w:bCs/>
          <w:sz w:val="28"/>
          <w:szCs w:val="28"/>
          <w:rtl/>
          <w:lang w:bidi="ar-DZ"/>
        </w:rPr>
        <w:t xml:space="preserve">  </w:t>
      </w:r>
    </w:p>
    <w:p w:rsidR="00AE728A" w:rsidRPr="00355A74" w:rsidRDefault="00AE728A" w:rsidP="00AE728A">
      <w:pPr>
        <w:pStyle w:val="Paragraphedeliste"/>
        <w:numPr>
          <w:ilvl w:val="0"/>
          <w:numId w:val="1"/>
        </w:numPr>
        <w:tabs>
          <w:tab w:val="right" w:pos="566"/>
        </w:tabs>
        <w:bidi/>
        <w:ind w:left="282" w:firstLine="0"/>
        <w:jc w:val="lowKashida"/>
        <w:rPr>
          <w:rFonts w:ascii="Simplified Arabic" w:hAnsi="Simplified Arabic" w:cs="Simplified Arabic"/>
          <w:b/>
          <w:bCs/>
          <w:sz w:val="28"/>
          <w:szCs w:val="28"/>
          <w:lang w:bidi="ar-DZ"/>
        </w:rPr>
      </w:pPr>
      <w:r w:rsidRPr="00355A74">
        <w:rPr>
          <w:rFonts w:ascii="Simplified Arabic" w:hAnsi="Simplified Arabic" w:cs="Simplified Arabic"/>
          <w:sz w:val="28"/>
          <w:szCs w:val="28"/>
          <w:rtl/>
          <w:lang w:bidi="ar-DZ"/>
        </w:rPr>
        <w:t>مراقبة مدى احترام البنوك والمؤسسات المالية للإحكام التشريعية والتنظيمية المطبقة عليه</w:t>
      </w:r>
    </w:p>
    <w:p w:rsidR="00AE728A" w:rsidRPr="00355A74" w:rsidRDefault="00AE728A" w:rsidP="00AE728A">
      <w:pPr>
        <w:pStyle w:val="Paragraphedeliste"/>
        <w:numPr>
          <w:ilvl w:val="0"/>
          <w:numId w:val="1"/>
        </w:numPr>
        <w:tabs>
          <w:tab w:val="right" w:pos="566"/>
        </w:tabs>
        <w:bidi/>
        <w:ind w:left="282" w:firstLine="0"/>
        <w:jc w:val="lowKashida"/>
        <w:rPr>
          <w:rFonts w:ascii="Simplified Arabic" w:hAnsi="Simplified Arabic" w:cs="Simplified Arabic"/>
          <w:b/>
          <w:bCs/>
          <w:sz w:val="28"/>
          <w:szCs w:val="28"/>
          <w:lang w:bidi="ar-DZ"/>
        </w:rPr>
      </w:pPr>
      <w:r w:rsidRPr="00355A74">
        <w:rPr>
          <w:rFonts w:ascii="Simplified Arabic" w:hAnsi="Simplified Arabic" w:cs="Simplified Arabic"/>
          <w:sz w:val="28"/>
          <w:szCs w:val="28"/>
          <w:rtl/>
          <w:lang w:bidi="ar-DZ"/>
        </w:rPr>
        <w:t xml:space="preserve">معاقبة هذه البنوك والمؤسسات المالية على </w:t>
      </w:r>
      <w:proofErr w:type="spellStart"/>
      <w:r w:rsidRPr="00355A74">
        <w:rPr>
          <w:rFonts w:ascii="Simplified Arabic" w:hAnsi="Simplified Arabic" w:cs="Simplified Arabic"/>
          <w:sz w:val="28"/>
          <w:szCs w:val="28"/>
          <w:rtl/>
          <w:lang w:bidi="ar-DZ"/>
        </w:rPr>
        <w:t>الاختلالات</w:t>
      </w:r>
      <w:proofErr w:type="spellEnd"/>
      <w:r w:rsidRPr="00355A74">
        <w:rPr>
          <w:rFonts w:ascii="Simplified Arabic" w:hAnsi="Simplified Arabic" w:cs="Simplified Arabic"/>
          <w:sz w:val="28"/>
          <w:szCs w:val="28"/>
          <w:rtl/>
          <w:lang w:bidi="ar-DZ"/>
        </w:rPr>
        <w:t xml:space="preserve"> التي تتم معاينتها </w:t>
      </w:r>
    </w:p>
    <w:p w:rsidR="00AE728A" w:rsidRPr="00355A74" w:rsidRDefault="00AE728A" w:rsidP="00AE728A">
      <w:pPr>
        <w:pStyle w:val="Paragraphedeliste"/>
        <w:numPr>
          <w:ilvl w:val="0"/>
          <w:numId w:val="1"/>
        </w:numPr>
        <w:tabs>
          <w:tab w:val="right" w:pos="566"/>
        </w:tabs>
        <w:bidi/>
        <w:ind w:left="282" w:firstLine="0"/>
        <w:jc w:val="lowKashida"/>
        <w:rPr>
          <w:rFonts w:ascii="Simplified Arabic" w:hAnsi="Simplified Arabic" w:cs="Simplified Arabic"/>
          <w:b/>
          <w:bCs/>
          <w:sz w:val="28"/>
          <w:szCs w:val="28"/>
          <w:lang w:bidi="ar-DZ"/>
        </w:rPr>
      </w:pPr>
      <w:proofErr w:type="gramStart"/>
      <w:r w:rsidRPr="00355A74">
        <w:rPr>
          <w:rFonts w:ascii="Simplified Arabic" w:hAnsi="Simplified Arabic" w:cs="Simplified Arabic"/>
          <w:sz w:val="28"/>
          <w:szCs w:val="28"/>
          <w:rtl/>
          <w:lang w:bidi="ar-DZ"/>
        </w:rPr>
        <w:t>فحص</w:t>
      </w:r>
      <w:proofErr w:type="gramEnd"/>
      <w:r w:rsidRPr="00355A74">
        <w:rPr>
          <w:rFonts w:ascii="Simplified Arabic" w:hAnsi="Simplified Arabic" w:cs="Simplified Arabic"/>
          <w:sz w:val="28"/>
          <w:szCs w:val="28"/>
          <w:rtl/>
          <w:lang w:bidi="ar-DZ"/>
        </w:rPr>
        <w:t xml:space="preserve"> شروط استغلال البنوك والمؤسسات المالية وتسهر على نوعية وضعيتها المالية كما تسهر على احترام قواعد قسم سير المهن</w:t>
      </w:r>
    </w:p>
    <w:p w:rsidR="00AE728A" w:rsidRPr="00D764BB" w:rsidRDefault="00AE728A" w:rsidP="00AE728A">
      <w:pPr>
        <w:pStyle w:val="Paragraphedeliste"/>
        <w:numPr>
          <w:ilvl w:val="0"/>
          <w:numId w:val="1"/>
        </w:numPr>
        <w:bidi/>
        <w:jc w:val="lowKashida"/>
        <w:rPr>
          <w:rFonts w:ascii="Simplified Arabic" w:hAnsi="Simplified Arabic" w:cs="Simplified Arabic"/>
          <w:b/>
          <w:bCs/>
          <w:sz w:val="28"/>
          <w:szCs w:val="28"/>
          <w:lang w:bidi="ar-DZ"/>
        </w:rPr>
      </w:pPr>
      <w:proofErr w:type="gramStart"/>
      <w:r w:rsidRPr="00355A74">
        <w:rPr>
          <w:rFonts w:ascii="Simplified Arabic" w:hAnsi="Simplified Arabic" w:cs="Simplified Arabic"/>
          <w:sz w:val="28"/>
          <w:szCs w:val="28"/>
          <w:rtl/>
          <w:lang w:bidi="ar-DZ"/>
        </w:rPr>
        <w:t>تقوم</w:t>
      </w:r>
      <w:proofErr w:type="gramEnd"/>
      <w:r w:rsidRPr="00355A74">
        <w:rPr>
          <w:rFonts w:ascii="Simplified Arabic" w:hAnsi="Simplified Arabic" w:cs="Simplified Arabic"/>
          <w:sz w:val="28"/>
          <w:szCs w:val="28"/>
          <w:rtl/>
          <w:lang w:bidi="ar-DZ"/>
        </w:rPr>
        <w:t xml:space="preserve"> اللجنة المصرفية بأعمالها الرقابية على البنوك والمؤسسات المالية أما على الأساس الوثائق أو في عين المكان عبر زيارتهم لهذه المؤسسة </w:t>
      </w:r>
    </w:p>
    <w:p w:rsidR="00AE728A" w:rsidRDefault="00AE728A" w:rsidP="00AE728A">
      <w:pPr>
        <w:bidi/>
        <w:ind w:firstLine="566"/>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3-2 مركزية المخاطر: </w:t>
      </w:r>
    </w:p>
    <w:p w:rsidR="00AE728A" w:rsidRPr="00B85C4D" w:rsidRDefault="00AE728A" w:rsidP="00AE728A">
      <w:pPr>
        <w:bidi/>
        <w:ind w:firstLine="566"/>
        <w:rPr>
          <w:rFonts w:ascii="Simplified Arabic" w:hAnsi="Simplified Arabic" w:cs="Simplified Arabic"/>
          <w:b/>
          <w:bCs/>
          <w:sz w:val="28"/>
          <w:szCs w:val="28"/>
          <w:lang w:bidi="ar-DZ"/>
        </w:rPr>
      </w:pPr>
      <w:r w:rsidRPr="00B85C4D">
        <w:rPr>
          <w:rFonts w:ascii="Simplified Arabic" w:hAnsi="Simplified Arabic" w:cs="Simplified Arabic"/>
          <w:sz w:val="28"/>
          <w:szCs w:val="28"/>
          <w:rtl/>
          <w:lang w:bidi="ar-DZ"/>
        </w:rPr>
        <w:lastRenderedPageBreak/>
        <w:t xml:space="preserve">في إطار الوضع الجديد المتسم بحرية المبادرة وقواعد السوق والعمل المصرفي ونظرا لحرية المنافسة بين البنوك تتزايد المخاطر المرتبطة في النشاط المصرفي وخاصة المرتبطة بالقروض يحاول البنك المركزي أن يجمع كل المعلومات التي تهدف </w:t>
      </w:r>
      <w:r w:rsidRPr="00B85C4D">
        <w:rPr>
          <w:rFonts w:ascii="Simplified Arabic" w:hAnsi="Simplified Arabic" w:cs="Simplified Arabic" w:hint="cs"/>
          <w:sz w:val="28"/>
          <w:szCs w:val="28"/>
          <w:rtl/>
          <w:lang w:bidi="ar-DZ"/>
        </w:rPr>
        <w:t>إلى</w:t>
      </w:r>
      <w:r w:rsidRPr="00B85C4D">
        <w:rPr>
          <w:rFonts w:ascii="Simplified Arabic" w:hAnsi="Simplified Arabic" w:cs="Simplified Arabic"/>
          <w:sz w:val="28"/>
          <w:szCs w:val="28"/>
          <w:rtl/>
          <w:lang w:bidi="ar-DZ"/>
        </w:rPr>
        <w:t xml:space="preserve"> مساعدة النظام البنكي على التقليل من هذه المخاطر وفي هذا الإطار أسس بموجب الأمر 03/11 في مادته 8 هيئة تقوم بتجميع هذه المعلومات سمية بمركزية المخاطر "" ينظم وسير بنك الجزائر مصلحة مركزية للمخاطر تدعى مركزية المخاطر تتكفل بجمع أسماء المستفيدين من القروض وطبيعة سقف القرض الممنوحة والمبالغ المسحوبة وضمانات المعطاة لكل قرض من جميع البنوك والمؤسسات المالية"" </w:t>
      </w:r>
    </w:p>
    <w:p w:rsidR="00AE728A" w:rsidRPr="00B85C4D" w:rsidRDefault="00AE728A" w:rsidP="00AE728A">
      <w:pPr>
        <w:bidi/>
        <w:ind w:firstLine="566"/>
        <w:jc w:val="lowKashida"/>
        <w:rPr>
          <w:rFonts w:ascii="Simplified Arabic" w:hAnsi="Simplified Arabic" w:cs="Simplified Arabic"/>
          <w:b/>
          <w:bCs/>
          <w:sz w:val="28"/>
          <w:szCs w:val="28"/>
          <w:lang w:bidi="ar-DZ"/>
        </w:rPr>
      </w:pPr>
      <w:r w:rsidRPr="00B85C4D">
        <w:rPr>
          <w:rFonts w:ascii="Simplified Arabic" w:hAnsi="Simplified Arabic" w:cs="Simplified Arabic"/>
          <w:sz w:val="28"/>
          <w:szCs w:val="28"/>
          <w:rtl/>
          <w:lang w:bidi="ar-DZ"/>
        </w:rPr>
        <w:t xml:space="preserve">يصنف النظام 92/01 المؤرخ في 22-03-1992 والصادر عن بنك الجزائر تنظيم مركزية المخاطر وطرق عملها حسب المادة الأولى من هذا النظام وتعتبر هيكل من هياكل بنك الجزائر وهيئة للمعلومات على مستوى البنك ولقد فرض بنك الجزائر على كل هيئات القرض التي لها نشاطها الوطني الانضمام </w:t>
      </w:r>
      <w:r w:rsidRPr="00B85C4D">
        <w:rPr>
          <w:rFonts w:ascii="Simplified Arabic" w:hAnsi="Simplified Arabic" w:cs="Simplified Arabic" w:hint="cs"/>
          <w:sz w:val="28"/>
          <w:szCs w:val="28"/>
          <w:rtl/>
          <w:lang w:bidi="ar-DZ"/>
        </w:rPr>
        <w:t>إلى</w:t>
      </w:r>
      <w:r w:rsidRPr="00B85C4D">
        <w:rPr>
          <w:rFonts w:ascii="Simplified Arabic" w:hAnsi="Simplified Arabic" w:cs="Simplified Arabic"/>
          <w:sz w:val="28"/>
          <w:szCs w:val="28"/>
          <w:rtl/>
          <w:lang w:bidi="ar-DZ"/>
        </w:rPr>
        <w:t xml:space="preserve"> هذه المركزية واحترام قواعد عملها لما ينبغي عليها أن تقدم تصريحات بكل القروض الممنوحة لزبائنها</w:t>
      </w:r>
      <w:r>
        <w:rPr>
          <w:rFonts w:ascii="Simplified Arabic" w:hAnsi="Simplified Arabic" w:cs="Simplified Arabic" w:hint="cs"/>
          <w:sz w:val="28"/>
          <w:szCs w:val="28"/>
          <w:rtl/>
          <w:lang w:bidi="ar-DZ"/>
        </w:rPr>
        <w:t>.</w:t>
      </w:r>
    </w:p>
    <w:p w:rsidR="00AE728A" w:rsidRDefault="00AE728A" w:rsidP="00AE728A">
      <w:pPr>
        <w:bidi/>
        <w:ind w:firstLine="566"/>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3-3 </w:t>
      </w:r>
      <w:r w:rsidRPr="00B85C4D">
        <w:rPr>
          <w:rFonts w:ascii="Simplified Arabic" w:hAnsi="Simplified Arabic" w:cs="Simplified Arabic"/>
          <w:b/>
          <w:bCs/>
          <w:sz w:val="28"/>
          <w:szCs w:val="28"/>
          <w:rtl/>
          <w:lang w:bidi="ar-DZ"/>
        </w:rPr>
        <w:t>مركزية عوارض الدفع</w:t>
      </w:r>
      <w:r w:rsidRPr="00B85C4D">
        <w:rPr>
          <w:rFonts w:ascii="Simplified Arabic" w:hAnsi="Simplified Arabic" w:cs="Simplified Arabic"/>
          <w:sz w:val="28"/>
          <w:szCs w:val="28"/>
          <w:rtl/>
          <w:lang w:bidi="ar-DZ"/>
        </w:rPr>
        <w:t xml:space="preserve"> : </w:t>
      </w:r>
    </w:p>
    <w:p w:rsidR="00AE728A" w:rsidRPr="00B85C4D" w:rsidRDefault="00AE728A" w:rsidP="00AE728A">
      <w:pPr>
        <w:bidi/>
        <w:ind w:firstLine="566"/>
        <w:jc w:val="lowKashida"/>
        <w:rPr>
          <w:rFonts w:ascii="Simplified Arabic" w:hAnsi="Simplified Arabic" w:cs="Simplified Arabic"/>
          <w:b/>
          <w:bCs/>
          <w:sz w:val="28"/>
          <w:szCs w:val="28"/>
          <w:lang w:bidi="ar-DZ"/>
        </w:rPr>
      </w:pPr>
      <w:r w:rsidRPr="00B85C4D">
        <w:rPr>
          <w:rFonts w:ascii="Simplified Arabic" w:hAnsi="Simplified Arabic" w:cs="Simplified Arabic"/>
          <w:sz w:val="28"/>
          <w:szCs w:val="28"/>
          <w:rtl/>
          <w:lang w:bidi="ar-DZ"/>
        </w:rPr>
        <w:t xml:space="preserve">رغم أن هناك مركزية المخاطر على مستوى بنك الجزائر تعطي مسبقا معلومات خاصة تتضمن أنواع القروض والزبائن إلا أن ذلك لا يلغى بشكل كامل المخاطر المرتبطة بهذه القروض ففي المحيط الاقتصادي والمالي الجديد الذي يتميز بعدم التغير والاستقرار تقوم البنوك والمؤسسات المالية بأنشطتها بمنح القروض إلى الزبائن وأثناء ذلك من المحتمل أن تحدت بعض المشاكل على مستوى استرجاع هذه القروض ولذلك قام البنك الجزائري بموجب النظام 92/02 المؤرخ في 22-03-1992 بإنشاء مركزية لعوارض الدفع فرض على كل الوساطة المالية الانضمام إلى هذه المركزية وتقديم كل المعلومات لها . وتقوم مركزية عوارض الدفع بتنظيم المعلومات المرتبطة بكل الحوادث والمشاكل التي تظهر عند استرجاع القروض أو التي لها علاقة باستعمال مختلف وسائل الدفع ويتلخص عملها في عنصرين </w:t>
      </w:r>
    </w:p>
    <w:p w:rsidR="00AE728A" w:rsidRPr="00171281" w:rsidRDefault="00AE728A" w:rsidP="00AE728A">
      <w:pPr>
        <w:bidi/>
        <w:ind w:firstLine="566"/>
        <w:jc w:val="lowKashida"/>
        <w:rPr>
          <w:rFonts w:ascii="Simplified Arabic" w:hAnsi="Simplified Arabic" w:cs="Simplified Arabic"/>
          <w:sz w:val="28"/>
          <w:szCs w:val="28"/>
          <w:rtl/>
          <w:lang w:bidi="ar-DZ"/>
        </w:rPr>
      </w:pPr>
      <w:r w:rsidRPr="00171281">
        <w:rPr>
          <w:rFonts w:ascii="Simplified Arabic" w:hAnsi="Simplified Arabic" w:cs="Simplified Arabic"/>
          <w:sz w:val="28"/>
          <w:szCs w:val="28"/>
          <w:rtl/>
          <w:lang w:bidi="ar-DZ"/>
        </w:rPr>
        <w:t>الأول : هو تنظيم بطاقة مركزية عوارض الدفع وما قد ينجم عنها وتسييرها وتتضمن كل الحوادث المسجلة بشأن مشاكل الدفع وتسديد القروض</w:t>
      </w:r>
      <w:r>
        <w:rPr>
          <w:rFonts w:ascii="Simplified Arabic" w:hAnsi="Simplified Arabic" w:cs="Simplified Arabic" w:hint="cs"/>
          <w:sz w:val="28"/>
          <w:szCs w:val="28"/>
          <w:rtl/>
          <w:lang w:bidi="ar-DZ"/>
        </w:rPr>
        <w:t>.</w:t>
      </w:r>
      <w:r w:rsidRPr="00171281">
        <w:rPr>
          <w:rFonts w:ascii="Simplified Arabic" w:hAnsi="Simplified Arabic" w:cs="Simplified Arabic"/>
          <w:sz w:val="28"/>
          <w:szCs w:val="28"/>
          <w:rtl/>
          <w:lang w:bidi="ar-DZ"/>
        </w:rPr>
        <w:t xml:space="preserve"> </w:t>
      </w:r>
    </w:p>
    <w:p w:rsidR="00AE728A" w:rsidRPr="00171281" w:rsidRDefault="00AE728A" w:rsidP="00AE728A">
      <w:pPr>
        <w:bidi/>
        <w:ind w:firstLine="566"/>
        <w:jc w:val="lowKashida"/>
        <w:rPr>
          <w:rFonts w:ascii="Simplified Arabic" w:hAnsi="Simplified Arabic" w:cs="Simplified Arabic"/>
          <w:sz w:val="28"/>
          <w:szCs w:val="28"/>
          <w:rtl/>
          <w:lang w:bidi="ar-DZ"/>
        </w:rPr>
      </w:pPr>
      <w:r w:rsidRPr="00171281">
        <w:rPr>
          <w:rFonts w:ascii="Simplified Arabic" w:hAnsi="Simplified Arabic" w:cs="Simplified Arabic"/>
          <w:sz w:val="28"/>
          <w:szCs w:val="28"/>
          <w:rtl/>
          <w:lang w:bidi="ar-DZ"/>
        </w:rPr>
        <w:lastRenderedPageBreak/>
        <w:t>ثاني: هو نشر قائمة عوارض الدفع وما يمكن أن ينجم عنها من تبعات وذلك بطريقة دورية وتبليغها إلى الوساطة المالية.</w:t>
      </w:r>
    </w:p>
    <w:p w:rsidR="00AE728A" w:rsidRPr="00B85C4D" w:rsidRDefault="00AE728A" w:rsidP="00AE728A">
      <w:pPr>
        <w:pStyle w:val="Paragraphedeliste"/>
        <w:numPr>
          <w:ilvl w:val="1"/>
          <w:numId w:val="3"/>
        </w:numPr>
        <w:tabs>
          <w:tab w:val="right" w:pos="566"/>
          <w:tab w:val="right" w:pos="1133"/>
        </w:tabs>
        <w:bidi/>
        <w:ind w:left="-1" w:firstLine="567"/>
        <w:jc w:val="lowKashida"/>
        <w:rPr>
          <w:rFonts w:ascii="Simplified Arabic" w:hAnsi="Simplified Arabic" w:cs="Simplified Arabic"/>
          <w:sz w:val="28"/>
          <w:szCs w:val="28"/>
          <w:rtl/>
          <w:lang w:bidi="ar-DZ"/>
        </w:rPr>
      </w:pPr>
      <w:proofErr w:type="gramStart"/>
      <w:r w:rsidRPr="00B85C4D">
        <w:rPr>
          <w:rFonts w:ascii="Simplified Arabic" w:hAnsi="Simplified Arabic" w:cs="Simplified Arabic"/>
          <w:b/>
          <w:bCs/>
          <w:sz w:val="28"/>
          <w:szCs w:val="28"/>
          <w:rtl/>
          <w:lang w:bidi="ar-DZ"/>
        </w:rPr>
        <w:t>جهاز</w:t>
      </w:r>
      <w:proofErr w:type="gramEnd"/>
      <w:r w:rsidRPr="00B85C4D">
        <w:rPr>
          <w:rFonts w:ascii="Simplified Arabic" w:hAnsi="Simplified Arabic" w:cs="Simplified Arabic"/>
          <w:b/>
          <w:bCs/>
          <w:sz w:val="28"/>
          <w:szCs w:val="28"/>
          <w:rtl/>
          <w:lang w:bidi="ar-DZ"/>
        </w:rPr>
        <w:t xml:space="preserve"> مكافحة إصدار شيكات بدون رصيد</w:t>
      </w:r>
      <w:r w:rsidRPr="00B85C4D">
        <w:rPr>
          <w:rFonts w:ascii="Simplified Arabic" w:hAnsi="Simplified Arabic" w:cs="Simplified Arabic"/>
          <w:sz w:val="28"/>
          <w:szCs w:val="28"/>
          <w:rtl/>
          <w:lang w:bidi="ar-DZ"/>
        </w:rPr>
        <w:t xml:space="preserve">: </w:t>
      </w:r>
    </w:p>
    <w:p w:rsidR="00AE728A" w:rsidRDefault="00AE728A" w:rsidP="00AE728A">
      <w:pPr>
        <w:bidi/>
        <w:ind w:firstLine="566"/>
        <w:jc w:val="lowKashida"/>
        <w:rPr>
          <w:rFonts w:ascii="Simplified Arabic" w:hAnsi="Simplified Arabic" w:cs="Simplified Arabic"/>
          <w:sz w:val="28"/>
          <w:szCs w:val="28"/>
          <w:rtl/>
          <w:lang w:bidi="ar-DZ"/>
        </w:rPr>
      </w:pPr>
      <w:r w:rsidRPr="00B85C4D">
        <w:rPr>
          <w:rFonts w:ascii="Simplified Arabic" w:hAnsi="Simplified Arabic" w:cs="Simplified Arabic"/>
          <w:sz w:val="28"/>
          <w:szCs w:val="28"/>
          <w:rtl/>
          <w:lang w:bidi="ar-DZ"/>
        </w:rPr>
        <w:t>أتى هذا الجهاز ليدعم ضبط قواعد العمل بأهم وسائل الدفع وهي الشيك ولقد تم انجاز هذا الجهاز بموجب النظام 92/03 المؤرخ في 22-03-1992 ويعمل هذا الجهاز على تجميع المعلومات المرتبطة بعوارض دفع الشيكات لعدم كفاية الرصيد والقيام بتبليغ هذه المعلومات إلى الوسائط الماليين المعنيين ويجب على الوسائط الذين وقعت لديهم عوارض الدفع لعدم كفاية الرصيد أو عدم وجوده أصلا أن يصرح بذلك إلى مركزية عوارض الدفع حيث يمكن استغلالها وتبليغها للذين يجب عليهم أن يتطلعوا على سجل عوارض الدفع قبل تسليم أول دفتر شيكات لزبون</w:t>
      </w:r>
      <w:r>
        <w:rPr>
          <w:rFonts w:ascii="Simplified Arabic" w:hAnsi="Simplified Arabic" w:cs="Simplified Arabic" w:hint="cs"/>
          <w:sz w:val="28"/>
          <w:szCs w:val="28"/>
          <w:rtl/>
          <w:lang w:bidi="ar-DZ"/>
        </w:rPr>
        <w:t>.</w:t>
      </w:r>
      <w:r w:rsidRPr="00B85C4D">
        <w:rPr>
          <w:rFonts w:ascii="Simplified Arabic" w:hAnsi="Simplified Arabic" w:cs="Simplified Arabic"/>
          <w:sz w:val="28"/>
          <w:szCs w:val="28"/>
          <w:rtl/>
          <w:lang w:bidi="ar-DZ"/>
        </w:rPr>
        <w:t xml:space="preserve"> </w:t>
      </w:r>
    </w:p>
    <w:p w:rsidR="00AE728A" w:rsidRDefault="00AE728A" w:rsidP="00AE728A">
      <w:pPr>
        <w:bidi/>
        <w:ind w:firstLine="566"/>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3-5 </w:t>
      </w:r>
      <w:r w:rsidRPr="00B85C4D">
        <w:rPr>
          <w:rFonts w:ascii="Simplified Arabic" w:hAnsi="Simplified Arabic" w:cs="Simplified Arabic"/>
          <w:b/>
          <w:bCs/>
          <w:sz w:val="28"/>
          <w:szCs w:val="28"/>
          <w:rtl/>
          <w:lang w:bidi="ar-DZ"/>
        </w:rPr>
        <w:t xml:space="preserve">مركزية الميزانيات </w:t>
      </w:r>
      <w:r w:rsidRPr="00B85C4D">
        <w:rPr>
          <w:rFonts w:ascii="Simplified Arabic" w:hAnsi="Simplified Arabic" w:cs="Simplified Arabic"/>
          <w:sz w:val="28"/>
          <w:szCs w:val="28"/>
          <w:rtl/>
          <w:lang w:bidi="ar-DZ"/>
        </w:rPr>
        <w:t xml:space="preserve">: </w:t>
      </w:r>
    </w:p>
    <w:p w:rsidR="00AE728A" w:rsidRDefault="00AE728A" w:rsidP="00AE728A">
      <w:pPr>
        <w:bidi/>
        <w:ind w:firstLine="566"/>
        <w:jc w:val="lowKashida"/>
        <w:rPr>
          <w:rFonts w:ascii="Simplified Arabic" w:hAnsi="Simplified Arabic" w:cs="Simplified Arabic"/>
          <w:b/>
          <w:bCs/>
          <w:sz w:val="28"/>
          <w:szCs w:val="28"/>
          <w:rtl/>
          <w:lang w:bidi="ar-DZ"/>
        </w:rPr>
      </w:pPr>
      <w:r w:rsidRPr="00B85C4D">
        <w:rPr>
          <w:rFonts w:ascii="Simplified Arabic" w:hAnsi="Simplified Arabic" w:cs="Simplified Arabic"/>
          <w:sz w:val="28"/>
          <w:szCs w:val="28"/>
          <w:rtl/>
          <w:lang w:bidi="ar-DZ"/>
        </w:rPr>
        <w:t>تقوم هذه الهيئة بجمع المعلومات المحاسبية والمالية لشركات الحاصلة على القروض من أجل التحليل المالي ولمعرفة إذا كانت دراسة الجدوى المقدمة للحصول على القرض مطابقة لدارسة المرسلة إلى البنك المركزي وهنا يراقب البنك إذا كانت هناك اختلاف بين الدراستين</w:t>
      </w:r>
      <w:r>
        <w:rPr>
          <w:rFonts w:ascii="Simplified Arabic" w:hAnsi="Simplified Arabic" w:cs="Simplified Arabic" w:hint="cs"/>
          <w:sz w:val="28"/>
          <w:szCs w:val="28"/>
          <w:rtl/>
          <w:lang w:bidi="ar-DZ"/>
        </w:rPr>
        <w:t>.</w:t>
      </w:r>
      <w:r w:rsidRPr="00B85C4D">
        <w:rPr>
          <w:rFonts w:ascii="Simplified Arabic" w:hAnsi="Simplified Arabic" w:cs="Simplified Arabic"/>
          <w:sz w:val="28"/>
          <w:szCs w:val="28"/>
          <w:rtl/>
          <w:lang w:bidi="ar-DZ"/>
        </w:rPr>
        <w:t xml:space="preserve"> </w:t>
      </w:r>
    </w:p>
    <w:p w:rsidR="00AE728A" w:rsidRPr="00355A74" w:rsidRDefault="00AE728A" w:rsidP="00AE728A">
      <w:pPr>
        <w:bidi/>
        <w:ind w:firstLine="566"/>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رابعا: </w:t>
      </w:r>
      <w:r>
        <w:rPr>
          <w:rFonts w:ascii="Simplified Arabic" w:hAnsi="Simplified Arabic" w:cs="Simplified Arabic"/>
          <w:b/>
          <w:bCs/>
          <w:sz w:val="28"/>
          <w:szCs w:val="28"/>
          <w:rtl/>
          <w:lang w:bidi="ar-DZ"/>
        </w:rPr>
        <w:t xml:space="preserve">البنوك المؤسسات المالية </w:t>
      </w:r>
      <w:r w:rsidRPr="00355A74">
        <w:rPr>
          <w:rFonts w:ascii="Simplified Arabic" w:hAnsi="Simplified Arabic" w:cs="Simplified Arabic"/>
          <w:b/>
          <w:bCs/>
          <w:sz w:val="28"/>
          <w:szCs w:val="28"/>
          <w:rtl/>
          <w:lang w:bidi="ar-DZ"/>
        </w:rPr>
        <w:t xml:space="preserve"> </w:t>
      </w:r>
    </w:p>
    <w:p w:rsidR="00AE728A" w:rsidRPr="00355A74" w:rsidRDefault="00AE728A" w:rsidP="00AE728A">
      <w:pPr>
        <w:bidi/>
        <w:ind w:firstLine="566"/>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أتاح قانون النقد والقرض إمكانية إنشاء هيئات مالية إما في شكل بنوك تجارية أو في شكل مؤسسات مالية</w:t>
      </w:r>
      <w:r>
        <w:rPr>
          <w:rFonts w:ascii="Simplified Arabic" w:hAnsi="Simplified Arabic" w:cs="Simplified Arabic" w:hint="cs"/>
          <w:sz w:val="28"/>
          <w:szCs w:val="28"/>
          <w:rtl/>
          <w:lang w:bidi="ar-DZ"/>
        </w:rPr>
        <w:t>:</w:t>
      </w:r>
    </w:p>
    <w:p w:rsidR="00AE728A" w:rsidRPr="00B85C4D" w:rsidRDefault="00AE728A" w:rsidP="00AE728A">
      <w:pPr>
        <w:bidi/>
        <w:ind w:firstLine="566"/>
        <w:jc w:val="lowKashida"/>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1- </w:t>
      </w:r>
      <w:r w:rsidRPr="00B85C4D">
        <w:rPr>
          <w:rFonts w:ascii="Simplified Arabic" w:hAnsi="Simplified Arabic" w:cs="Simplified Arabic"/>
          <w:b/>
          <w:bCs/>
          <w:sz w:val="28"/>
          <w:szCs w:val="28"/>
          <w:rtl/>
          <w:lang w:bidi="ar-DZ"/>
        </w:rPr>
        <w:t xml:space="preserve">البنوك التجارية : </w:t>
      </w:r>
      <w:r w:rsidRPr="00B85C4D">
        <w:rPr>
          <w:rFonts w:ascii="Simplified Arabic" w:hAnsi="Simplified Arabic" w:cs="Simplified Arabic"/>
          <w:sz w:val="28"/>
          <w:szCs w:val="28"/>
          <w:rtl/>
          <w:lang w:bidi="ar-DZ"/>
        </w:rPr>
        <w:t>حسب المادة 70 من القانون 03/11 المتعلق بالنقد والقرض يعتبر بنك التجاري كل بنك بوسعه القيام بجميع العمليات المنصوص عليها في المواد 66*67*68 على أساس أنها تمثل مهنته العادية وبرجوع إلى هذه المواد نجد أن البنوك التجارية هي تلك المؤسسات التي تقوم بعمليات التالية :"" تلقى الأموال من الجمهور لاسيما الودائع 'منح القروض 'توفير وسائل الدفع اللازمة ووضعها تحت تصرف الزبائن وإدارتها</w:t>
      </w:r>
      <w:r>
        <w:rPr>
          <w:rFonts w:ascii="Simplified Arabic" w:hAnsi="Simplified Arabic" w:cs="Simplified Arabic" w:hint="cs"/>
          <w:sz w:val="28"/>
          <w:szCs w:val="28"/>
          <w:rtl/>
          <w:lang w:bidi="ar-DZ"/>
        </w:rPr>
        <w:t>.</w:t>
      </w:r>
      <w:r w:rsidRPr="00B85C4D">
        <w:rPr>
          <w:rFonts w:ascii="Simplified Arabic" w:hAnsi="Simplified Arabic" w:cs="Simplified Arabic"/>
          <w:sz w:val="28"/>
          <w:szCs w:val="28"/>
          <w:rtl/>
          <w:lang w:bidi="ar-DZ"/>
        </w:rPr>
        <w:t xml:space="preserve"> </w:t>
      </w:r>
    </w:p>
    <w:p w:rsidR="00AE728A" w:rsidRPr="00B85C4D" w:rsidRDefault="00AE728A" w:rsidP="00AE728A">
      <w:pPr>
        <w:bidi/>
        <w:ind w:firstLine="566"/>
        <w:jc w:val="lowKashida"/>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Pr="00B85C4D">
        <w:rPr>
          <w:rFonts w:ascii="Simplified Arabic" w:hAnsi="Simplified Arabic" w:cs="Simplified Arabic"/>
          <w:b/>
          <w:bCs/>
          <w:sz w:val="28"/>
          <w:szCs w:val="28"/>
          <w:rtl/>
          <w:lang w:bidi="ar-DZ"/>
        </w:rPr>
        <w:t>المؤسسات المالية :</w:t>
      </w:r>
      <w:r w:rsidRPr="00B85C4D">
        <w:rPr>
          <w:rFonts w:ascii="Simplified Arabic" w:hAnsi="Simplified Arabic" w:cs="Simplified Arabic"/>
          <w:sz w:val="28"/>
          <w:szCs w:val="28"/>
          <w:rtl/>
          <w:lang w:bidi="ar-DZ"/>
        </w:rPr>
        <w:t xml:space="preserve">  حسب المادة 71 من القانون 03/11 المؤسسات المالية هي تلك المؤسسات التي يكون بوسعها القيام بكل العمليات المالية ماعدا تلقى الأموال من الجمهور وإدارة وسائل </w:t>
      </w:r>
      <w:r w:rsidRPr="00B85C4D">
        <w:rPr>
          <w:rFonts w:ascii="Simplified Arabic" w:hAnsi="Simplified Arabic" w:cs="Simplified Arabic"/>
          <w:sz w:val="28"/>
          <w:szCs w:val="28"/>
          <w:rtl/>
          <w:lang w:bidi="ar-DZ"/>
        </w:rPr>
        <w:lastRenderedPageBreak/>
        <w:t>الدفع ووضعها تحت تصرف الزبون ويعني ذلك أن المؤسسات المالية تقوم بالقرض دون استخدام أموال الغير</w:t>
      </w:r>
      <w:r>
        <w:rPr>
          <w:rFonts w:ascii="Simplified Arabic" w:hAnsi="Simplified Arabic" w:cs="Simplified Arabic" w:hint="cs"/>
          <w:sz w:val="28"/>
          <w:szCs w:val="28"/>
          <w:rtl/>
          <w:lang w:bidi="ar-DZ"/>
        </w:rPr>
        <w:t>.</w:t>
      </w:r>
      <w:r w:rsidRPr="00B85C4D">
        <w:rPr>
          <w:rFonts w:ascii="Simplified Arabic" w:hAnsi="Simplified Arabic" w:cs="Simplified Arabic"/>
          <w:sz w:val="28"/>
          <w:szCs w:val="28"/>
          <w:rtl/>
          <w:lang w:bidi="ar-DZ"/>
        </w:rPr>
        <w:t xml:space="preserve"> </w:t>
      </w:r>
    </w:p>
    <w:p w:rsidR="00AE728A" w:rsidRPr="00B85C4D" w:rsidRDefault="00AE728A" w:rsidP="00AE728A">
      <w:pPr>
        <w:bidi/>
        <w:ind w:firstLine="566"/>
        <w:jc w:val="lowKashida"/>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 </w:t>
      </w:r>
      <w:r w:rsidRPr="00B85C4D">
        <w:rPr>
          <w:rFonts w:ascii="Simplified Arabic" w:hAnsi="Simplified Arabic" w:cs="Simplified Arabic"/>
          <w:b/>
          <w:bCs/>
          <w:sz w:val="28"/>
          <w:szCs w:val="28"/>
          <w:rtl/>
          <w:lang w:bidi="ar-DZ"/>
        </w:rPr>
        <w:t>البنوك والمؤسسات المالية الوطنية الخاصة والأجنبية :</w:t>
      </w:r>
      <w:r w:rsidRPr="00B85C4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B85C4D">
        <w:rPr>
          <w:rFonts w:ascii="Simplified Arabic" w:hAnsi="Simplified Arabic" w:cs="Simplified Arabic"/>
          <w:sz w:val="28"/>
          <w:szCs w:val="28"/>
          <w:rtl/>
          <w:lang w:bidi="ar-DZ"/>
        </w:rPr>
        <w:t>بعد صدور قانون 90/10 أصبح بإمكان البنوك الخاصة الوطنية والأجنبية مزاولة نشاطها في السوق المصرفية الجزائرية طبقا لقواعد قانون الجزائري وكل بنك خاص وطني أو أجنبي يجب أن يحصل على اعتماد بمحنه مجلس النقد والقرض ويجب أن يستعمل هذه البنوك رأس مال يساوي أقل رأس مال الأدنى والمطلوب تأمينه من طرف البنوك المؤسسات المالية والأجنبية كما حدد النظام 93/01 المؤرخ في 03-01-1993 شروط تأسيس أي بنك أو مؤسسة مالية وشروط إقامة فروع للبنوك والمؤسسات المالية والأجن</w:t>
      </w:r>
      <w:r>
        <w:rPr>
          <w:rFonts w:ascii="Simplified Arabic" w:hAnsi="Simplified Arabic" w:cs="Simplified Arabic"/>
          <w:sz w:val="28"/>
          <w:szCs w:val="28"/>
          <w:rtl/>
          <w:lang w:bidi="ar-DZ"/>
        </w:rPr>
        <w:t>بية ومن بين هذه الشروط المطلوبة</w:t>
      </w:r>
      <w:r w:rsidRPr="00B85C4D">
        <w:rPr>
          <w:rFonts w:ascii="Simplified Arabic" w:hAnsi="Simplified Arabic" w:cs="Simplified Arabic"/>
          <w:sz w:val="28"/>
          <w:szCs w:val="28"/>
          <w:rtl/>
          <w:lang w:bidi="ar-DZ"/>
        </w:rPr>
        <w:t xml:space="preserve">: </w:t>
      </w:r>
    </w:p>
    <w:p w:rsidR="00AE728A" w:rsidRPr="00355A74" w:rsidRDefault="00AE728A" w:rsidP="00AE728A">
      <w:pPr>
        <w:pStyle w:val="Paragraphedeliste"/>
        <w:numPr>
          <w:ilvl w:val="0"/>
          <w:numId w:val="1"/>
        </w:numPr>
        <w:bidi/>
        <w:ind w:left="707" w:hanging="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القانون الأساسي للبنك أو </w:t>
      </w:r>
      <w:proofErr w:type="gramStart"/>
      <w:r w:rsidRPr="00355A74">
        <w:rPr>
          <w:rFonts w:ascii="Simplified Arabic" w:hAnsi="Simplified Arabic" w:cs="Simplified Arabic"/>
          <w:sz w:val="28"/>
          <w:szCs w:val="28"/>
          <w:rtl/>
          <w:lang w:bidi="ar-DZ"/>
        </w:rPr>
        <w:t>المؤسسة</w:t>
      </w:r>
      <w:proofErr w:type="gramEnd"/>
      <w:r w:rsidRPr="00355A74">
        <w:rPr>
          <w:rFonts w:ascii="Simplified Arabic" w:hAnsi="Simplified Arabic" w:cs="Simplified Arabic"/>
          <w:sz w:val="28"/>
          <w:szCs w:val="28"/>
          <w:rtl/>
          <w:lang w:bidi="ar-DZ"/>
        </w:rPr>
        <w:t xml:space="preserve"> المالية</w:t>
      </w:r>
      <w:r>
        <w:rPr>
          <w:rFonts w:ascii="Simplified Arabic" w:hAnsi="Simplified Arabic" w:cs="Simplified Arabic" w:hint="cs"/>
          <w:sz w:val="28"/>
          <w:szCs w:val="28"/>
          <w:rtl/>
          <w:lang w:bidi="ar-DZ"/>
        </w:rPr>
        <w:t>.</w:t>
      </w:r>
      <w:r w:rsidRPr="00355A74">
        <w:rPr>
          <w:rFonts w:ascii="Simplified Arabic" w:hAnsi="Simplified Arabic" w:cs="Simplified Arabic"/>
          <w:sz w:val="28"/>
          <w:szCs w:val="28"/>
          <w:rtl/>
          <w:lang w:bidi="ar-DZ"/>
        </w:rPr>
        <w:t xml:space="preserve"> </w:t>
      </w:r>
    </w:p>
    <w:p w:rsidR="00AE728A" w:rsidRPr="00355A74" w:rsidRDefault="00AE728A" w:rsidP="00AE728A">
      <w:pPr>
        <w:pStyle w:val="Paragraphedeliste"/>
        <w:numPr>
          <w:ilvl w:val="0"/>
          <w:numId w:val="1"/>
        </w:numPr>
        <w:bidi/>
        <w:ind w:left="707" w:hanging="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تحديد برنامج نشاط البنك</w:t>
      </w:r>
      <w:r>
        <w:rPr>
          <w:rFonts w:ascii="Simplified Arabic" w:hAnsi="Simplified Arabic" w:cs="Simplified Arabic" w:hint="cs"/>
          <w:sz w:val="28"/>
          <w:szCs w:val="28"/>
          <w:rtl/>
          <w:lang w:bidi="ar-DZ"/>
        </w:rPr>
        <w:t>.</w:t>
      </w:r>
      <w:r w:rsidRPr="00355A74">
        <w:rPr>
          <w:rFonts w:ascii="Simplified Arabic" w:hAnsi="Simplified Arabic" w:cs="Simplified Arabic"/>
          <w:sz w:val="28"/>
          <w:szCs w:val="28"/>
          <w:rtl/>
          <w:lang w:bidi="ar-DZ"/>
        </w:rPr>
        <w:t xml:space="preserve"> </w:t>
      </w:r>
    </w:p>
    <w:p w:rsidR="00AE728A" w:rsidRPr="00355A74" w:rsidRDefault="00AE728A" w:rsidP="00AE728A">
      <w:pPr>
        <w:pStyle w:val="Paragraphedeliste"/>
        <w:numPr>
          <w:ilvl w:val="0"/>
          <w:numId w:val="1"/>
        </w:numPr>
        <w:bidi/>
        <w:ind w:left="707" w:hanging="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الوسائل المستخدمة من طرف البنك أو </w:t>
      </w:r>
      <w:proofErr w:type="gramStart"/>
      <w:r w:rsidRPr="00355A74">
        <w:rPr>
          <w:rFonts w:ascii="Simplified Arabic" w:hAnsi="Simplified Arabic" w:cs="Simplified Arabic"/>
          <w:sz w:val="28"/>
          <w:szCs w:val="28"/>
          <w:rtl/>
          <w:lang w:bidi="ar-DZ"/>
        </w:rPr>
        <w:t>المؤسسات</w:t>
      </w:r>
      <w:proofErr w:type="gramEnd"/>
      <w:r w:rsidRPr="00355A74">
        <w:rPr>
          <w:rFonts w:ascii="Simplified Arabic" w:hAnsi="Simplified Arabic" w:cs="Simplified Arabic"/>
          <w:sz w:val="28"/>
          <w:szCs w:val="28"/>
          <w:rtl/>
          <w:lang w:bidi="ar-DZ"/>
        </w:rPr>
        <w:t xml:space="preserve"> المالية</w:t>
      </w:r>
      <w:r>
        <w:rPr>
          <w:rFonts w:ascii="Simplified Arabic" w:hAnsi="Simplified Arabic" w:cs="Simplified Arabic" w:hint="cs"/>
          <w:sz w:val="28"/>
          <w:szCs w:val="28"/>
          <w:rtl/>
          <w:lang w:bidi="ar-DZ"/>
        </w:rPr>
        <w:t>.</w:t>
      </w:r>
      <w:r w:rsidRPr="00355A74">
        <w:rPr>
          <w:rFonts w:ascii="Simplified Arabic" w:hAnsi="Simplified Arabic" w:cs="Simplified Arabic"/>
          <w:sz w:val="28"/>
          <w:szCs w:val="28"/>
          <w:rtl/>
          <w:lang w:bidi="ar-DZ"/>
        </w:rPr>
        <w:t xml:space="preserve"> </w:t>
      </w:r>
    </w:p>
    <w:p w:rsidR="00AE728A" w:rsidRDefault="00AE728A" w:rsidP="00AE728A">
      <w:pPr>
        <w:bidi/>
        <w:ind w:firstLine="566"/>
        <w:jc w:val="lowKashida"/>
        <w:rPr>
          <w:rFonts w:ascii="Simplified Arabic" w:hAnsi="Simplified Arabic" w:cs="Simplified Arabic"/>
          <w:sz w:val="28"/>
          <w:szCs w:val="28"/>
          <w:rtl/>
          <w:lang w:bidi="ar-DZ"/>
        </w:rPr>
      </w:pPr>
      <w:proofErr w:type="gramStart"/>
      <w:r w:rsidRPr="00355A74">
        <w:rPr>
          <w:rFonts w:ascii="Simplified Arabic" w:hAnsi="Simplified Arabic" w:cs="Simplified Arabic"/>
          <w:sz w:val="28"/>
          <w:szCs w:val="28"/>
          <w:rtl/>
          <w:lang w:bidi="ar-DZ"/>
        </w:rPr>
        <w:t>لقد</w:t>
      </w:r>
      <w:proofErr w:type="gramEnd"/>
      <w:r w:rsidRPr="00355A74">
        <w:rPr>
          <w:rFonts w:ascii="Simplified Arabic" w:hAnsi="Simplified Arabic" w:cs="Simplified Arabic"/>
          <w:sz w:val="28"/>
          <w:szCs w:val="28"/>
          <w:rtl/>
          <w:lang w:bidi="ar-DZ"/>
        </w:rPr>
        <w:t xml:space="preserve"> سمح صدور قانون 90-10 بإنشاء مؤسسات مصرفية جديدة خاصة ومختلطة جزائرية وأجنبية حيث ظهرت هذه البنوك لتدعيم البنوك العمومية وللمساهمة في ترقية النشاط المصرفي كنوع من المنافسة بين البنوك</w:t>
      </w:r>
      <w:r>
        <w:rPr>
          <w:rFonts w:ascii="Simplified Arabic" w:hAnsi="Simplified Arabic" w:cs="Simplified Arabic" w:hint="cs"/>
          <w:sz w:val="28"/>
          <w:szCs w:val="28"/>
          <w:rtl/>
          <w:lang w:bidi="ar-DZ"/>
        </w:rPr>
        <w:t>.</w:t>
      </w:r>
    </w:p>
    <w:p w:rsidR="00AE728A" w:rsidRDefault="00AE728A" w:rsidP="00AE728A">
      <w:pPr>
        <w:bidi/>
        <w:ind w:firstLine="566"/>
        <w:jc w:val="lowKashida"/>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بالنسبة لرأس المال الواجب توفره لافتتاح بنك أو مؤسسة مالية فلقد تغير حسب التعديلات كما هو موضح في الجدول رقم (1) كما يلي:</w:t>
      </w:r>
    </w:p>
    <w:p w:rsidR="00AE728A" w:rsidRPr="00355A74" w:rsidRDefault="00AE728A" w:rsidP="00AE728A">
      <w:pPr>
        <w:bidi/>
        <w:ind w:left="360"/>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جدول رقم (1): تطور رأس المال الأدنى للبنوك </w:t>
      </w:r>
      <w:proofErr w:type="gramStart"/>
      <w:r>
        <w:rPr>
          <w:rFonts w:ascii="Simplified Arabic" w:hAnsi="Simplified Arabic" w:cs="Simplified Arabic" w:hint="cs"/>
          <w:sz w:val="28"/>
          <w:szCs w:val="28"/>
          <w:rtl/>
          <w:lang w:bidi="ar-DZ"/>
        </w:rPr>
        <w:t>والمؤسسات</w:t>
      </w:r>
      <w:proofErr w:type="gramEnd"/>
      <w:r>
        <w:rPr>
          <w:rFonts w:ascii="Simplified Arabic" w:hAnsi="Simplified Arabic" w:cs="Simplified Arabic" w:hint="cs"/>
          <w:sz w:val="28"/>
          <w:szCs w:val="28"/>
          <w:rtl/>
          <w:lang w:bidi="ar-DZ"/>
        </w:rPr>
        <w:t xml:space="preserve"> المالية منذ 1990</w:t>
      </w:r>
    </w:p>
    <w:tbl>
      <w:tblPr>
        <w:tblStyle w:val="Grilledutableau"/>
        <w:bidiVisual/>
        <w:tblW w:w="0" w:type="auto"/>
        <w:tblInd w:w="107" w:type="dxa"/>
        <w:tblLook w:val="04A0"/>
      </w:tblPr>
      <w:tblGrid>
        <w:gridCol w:w="3228"/>
        <w:gridCol w:w="2969"/>
        <w:gridCol w:w="2983"/>
      </w:tblGrid>
      <w:tr w:rsidR="00AE728A" w:rsidRPr="00171281" w:rsidTr="0042642C">
        <w:tc>
          <w:tcPr>
            <w:tcW w:w="3228" w:type="dxa"/>
          </w:tcPr>
          <w:p w:rsidR="00AE728A" w:rsidRPr="00171281" w:rsidRDefault="00AE728A" w:rsidP="0042642C">
            <w:pPr>
              <w:bidi/>
              <w:jc w:val="lowKashida"/>
              <w:rPr>
                <w:rFonts w:ascii="Simplified Arabic" w:hAnsi="Simplified Arabic" w:cs="Simplified Arabic"/>
                <w:sz w:val="24"/>
                <w:szCs w:val="24"/>
                <w:rtl/>
                <w:lang w:bidi="ar-DZ"/>
              </w:rPr>
            </w:pPr>
          </w:p>
        </w:tc>
        <w:tc>
          <w:tcPr>
            <w:tcW w:w="2969" w:type="dxa"/>
          </w:tcPr>
          <w:p w:rsidR="00AE728A" w:rsidRPr="00171281" w:rsidRDefault="00AE728A" w:rsidP="0042642C">
            <w:pPr>
              <w:bidi/>
              <w:jc w:val="center"/>
              <w:rPr>
                <w:rFonts w:ascii="Simplified Arabic" w:hAnsi="Simplified Arabic" w:cs="Simplified Arabic"/>
                <w:sz w:val="24"/>
                <w:szCs w:val="24"/>
                <w:rtl/>
                <w:lang w:bidi="ar-DZ"/>
              </w:rPr>
            </w:pPr>
            <w:r w:rsidRPr="00171281">
              <w:rPr>
                <w:rFonts w:ascii="Simplified Arabic" w:hAnsi="Simplified Arabic" w:cs="Simplified Arabic" w:hint="cs"/>
                <w:sz w:val="24"/>
                <w:szCs w:val="24"/>
                <w:rtl/>
                <w:lang w:bidi="ar-DZ"/>
              </w:rPr>
              <w:t>رأس المال الأدنى للبنوك</w:t>
            </w:r>
          </w:p>
        </w:tc>
        <w:tc>
          <w:tcPr>
            <w:tcW w:w="2983" w:type="dxa"/>
          </w:tcPr>
          <w:p w:rsidR="00AE728A" w:rsidRPr="00171281" w:rsidRDefault="00AE728A" w:rsidP="0042642C">
            <w:pPr>
              <w:bidi/>
              <w:jc w:val="center"/>
              <w:rPr>
                <w:rFonts w:ascii="Simplified Arabic" w:hAnsi="Simplified Arabic" w:cs="Simplified Arabic"/>
                <w:sz w:val="24"/>
                <w:szCs w:val="24"/>
                <w:rtl/>
                <w:lang w:bidi="ar-DZ"/>
              </w:rPr>
            </w:pPr>
            <w:proofErr w:type="spellStart"/>
            <w:r w:rsidRPr="00171281">
              <w:rPr>
                <w:rFonts w:ascii="Simplified Arabic" w:hAnsi="Simplified Arabic" w:cs="Simplified Arabic" w:hint="cs"/>
                <w:sz w:val="24"/>
                <w:szCs w:val="24"/>
                <w:rtl/>
                <w:lang w:bidi="ar-DZ"/>
              </w:rPr>
              <w:t>راس</w:t>
            </w:r>
            <w:proofErr w:type="spellEnd"/>
            <w:r w:rsidRPr="00171281">
              <w:rPr>
                <w:rFonts w:ascii="Simplified Arabic" w:hAnsi="Simplified Arabic" w:cs="Simplified Arabic" w:hint="cs"/>
                <w:sz w:val="24"/>
                <w:szCs w:val="24"/>
                <w:rtl/>
                <w:lang w:bidi="ar-DZ"/>
              </w:rPr>
              <w:t xml:space="preserve"> المال </w:t>
            </w:r>
            <w:proofErr w:type="spellStart"/>
            <w:r w:rsidRPr="00171281">
              <w:rPr>
                <w:rFonts w:ascii="Simplified Arabic" w:hAnsi="Simplified Arabic" w:cs="Simplified Arabic" w:hint="cs"/>
                <w:sz w:val="24"/>
                <w:szCs w:val="24"/>
                <w:rtl/>
                <w:lang w:bidi="ar-DZ"/>
              </w:rPr>
              <w:t>الادنى</w:t>
            </w:r>
            <w:proofErr w:type="spellEnd"/>
            <w:r w:rsidRPr="00171281">
              <w:rPr>
                <w:rFonts w:ascii="Simplified Arabic" w:hAnsi="Simplified Arabic" w:cs="Simplified Arabic" w:hint="cs"/>
                <w:sz w:val="24"/>
                <w:szCs w:val="24"/>
                <w:rtl/>
                <w:lang w:bidi="ar-DZ"/>
              </w:rPr>
              <w:t xml:space="preserve"> للمؤسسات المالية</w:t>
            </w:r>
          </w:p>
        </w:tc>
      </w:tr>
      <w:tr w:rsidR="00AE728A" w:rsidRPr="00171281" w:rsidTr="0042642C">
        <w:tc>
          <w:tcPr>
            <w:tcW w:w="3228" w:type="dxa"/>
          </w:tcPr>
          <w:p w:rsidR="00AE728A" w:rsidRPr="00171281" w:rsidRDefault="00AE728A" w:rsidP="0042642C">
            <w:pPr>
              <w:bidi/>
              <w:jc w:val="center"/>
              <w:rPr>
                <w:rFonts w:ascii="Simplified Arabic" w:hAnsi="Simplified Arabic" w:cs="Simplified Arabic"/>
                <w:sz w:val="24"/>
                <w:szCs w:val="24"/>
                <w:rtl/>
                <w:lang w:bidi="ar-DZ"/>
              </w:rPr>
            </w:pPr>
            <w:r w:rsidRPr="00171281">
              <w:rPr>
                <w:rFonts w:ascii="Simplified Arabic" w:hAnsi="Simplified Arabic" w:cs="Simplified Arabic" w:hint="cs"/>
                <w:sz w:val="24"/>
                <w:szCs w:val="24"/>
                <w:rtl/>
                <w:lang w:bidi="ar-DZ"/>
              </w:rPr>
              <w:t>النظام 90-01 مؤرخ في 4جويلية 1990</w:t>
            </w:r>
          </w:p>
        </w:tc>
        <w:tc>
          <w:tcPr>
            <w:tcW w:w="2969"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500 </w:t>
            </w:r>
            <w:proofErr w:type="gramStart"/>
            <w:r>
              <w:rPr>
                <w:rFonts w:ascii="Simplified Arabic" w:hAnsi="Simplified Arabic" w:cs="Simplified Arabic" w:hint="cs"/>
                <w:sz w:val="24"/>
                <w:szCs w:val="24"/>
                <w:rtl/>
                <w:lang w:bidi="ar-DZ"/>
              </w:rPr>
              <w:t>مليون</w:t>
            </w:r>
            <w:proofErr w:type="gramEnd"/>
            <w:r>
              <w:rPr>
                <w:rFonts w:ascii="Simplified Arabic" w:hAnsi="Simplified Arabic" w:cs="Simplified Arabic" w:hint="cs"/>
                <w:sz w:val="24"/>
                <w:szCs w:val="24"/>
                <w:rtl/>
                <w:lang w:bidi="ar-DZ"/>
              </w:rPr>
              <w:t xml:space="preserve"> دينار</w:t>
            </w:r>
          </w:p>
        </w:tc>
        <w:tc>
          <w:tcPr>
            <w:tcW w:w="2983"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100 </w:t>
            </w:r>
            <w:proofErr w:type="gramStart"/>
            <w:r>
              <w:rPr>
                <w:rFonts w:ascii="Simplified Arabic" w:hAnsi="Simplified Arabic" w:cs="Simplified Arabic" w:hint="cs"/>
                <w:sz w:val="24"/>
                <w:szCs w:val="24"/>
                <w:rtl/>
                <w:lang w:bidi="ar-DZ"/>
              </w:rPr>
              <w:t>مليون</w:t>
            </w:r>
            <w:proofErr w:type="gramEnd"/>
            <w:r>
              <w:rPr>
                <w:rFonts w:ascii="Simplified Arabic" w:hAnsi="Simplified Arabic" w:cs="Simplified Arabic" w:hint="cs"/>
                <w:sz w:val="24"/>
                <w:szCs w:val="24"/>
                <w:rtl/>
                <w:lang w:bidi="ar-DZ"/>
              </w:rPr>
              <w:t xml:space="preserve"> دينار</w:t>
            </w:r>
          </w:p>
        </w:tc>
      </w:tr>
      <w:tr w:rsidR="00AE728A" w:rsidRPr="00171281" w:rsidTr="0042642C">
        <w:tc>
          <w:tcPr>
            <w:tcW w:w="3228" w:type="dxa"/>
          </w:tcPr>
          <w:p w:rsidR="00AE728A" w:rsidRPr="00171281" w:rsidRDefault="00AE728A" w:rsidP="0042642C">
            <w:pPr>
              <w:bidi/>
              <w:jc w:val="center"/>
              <w:rPr>
                <w:rFonts w:ascii="Simplified Arabic" w:hAnsi="Simplified Arabic" w:cs="Simplified Arabic"/>
                <w:sz w:val="24"/>
                <w:szCs w:val="24"/>
                <w:rtl/>
                <w:lang w:bidi="ar-DZ"/>
              </w:rPr>
            </w:pPr>
            <w:r w:rsidRPr="00171281">
              <w:rPr>
                <w:rFonts w:ascii="Simplified Arabic" w:hAnsi="Simplified Arabic" w:cs="Simplified Arabic" w:hint="cs"/>
                <w:sz w:val="24"/>
                <w:szCs w:val="24"/>
                <w:rtl/>
                <w:lang w:bidi="ar-DZ"/>
              </w:rPr>
              <w:t>النظام 04-01 مؤرخ في 4 مارس 2004</w:t>
            </w:r>
          </w:p>
        </w:tc>
        <w:tc>
          <w:tcPr>
            <w:tcW w:w="2969"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2.5 مليار دينار</w:t>
            </w:r>
          </w:p>
        </w:tc>
        <w:tc>
          <w:tcPr>
            <w:tcW w:w="2983"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500 </w:t>
            </w:r>
            <w:proofErr w:type="gramStart"/>
            <w:r>
              <w:rPr>
                <w:rFonts w:ascii="Simplified Arabic" w:hAnsi="Simplified Arabic" w:cs="Simplified Arabic" w:hint="cs"/>
                <w:sz w:val="24"/>
                <w:szCs w:val="24"/>
                <w:rtl/>
                <w:lang w:bidi="ar-DZ"/>
              </w:rPr>
              <w:t>مليون</w:t>
            </w:r>
            <w:proofErr w:type="gramEnd"/>
            <w:r>
              <w:rPr>
                <w:rFonts w:ascii="Simplified Arabic" w:hAnsi="Simplified Arabic" w:cs="Simplified Arabic" w:hint="cs"/>
                <w:sz w:val="24"/>
                <w:szCs w:val="24"/>
                <w:rtl/>
                <w:lang w:bidi="ar-DZ"/>
              </w:rPr>
              <w:t xml:space="preserve"> دينار</w:t>
            </w:r>
          </w:p>
        </w:tc>
      </w:tr>
      <w:tr w:rsidR="00AE728A" w:rsidRPr="00171281" w:rsidTr="0042642C">
        <w:tc>
          <w:tcPr>
            <w:tcW w:w="3228" w:type="dxa"/>
          </w:tcPr>
          <w:p w:rsidR="00AE728A" w:rsidRPr="00171281" w:rsidRDefault="00AE728A" w:rsidP="0042642C">
            <w:pPr>
              <w:bidi/>
              <w:jc w:val="center"/>
              <w:rPr>
                <w:rFonts w:ascii="Simplified Arabic" w:hAnsi="Simplified Arabic" w:cs="Simplified Arabic"/>
                <w:sz w:val="24"/>
                <w:szCs w:val="24"/>
                <w:rtl/>
                <w:lang w:bidi="ar-DZ"/>
              </w:rPr>
            </w:pPr>
            <w:r w:rsidRPr="00171281">
              <w:rPr>
                <w:rFonts w:ascii="Simplified Arabic" w:hAnsi="Simplified Arabic" w:cs="Simplified Arabic" w:hint="cs"/>
                <w:sz w:val="24"/>
                <w:szCs w:val="24"/>
                <w:rtl/>
                <w:lang w:bidi="ar-DZ"/>
              </w:rPr>
              <w:t>النظام 08-04 مؤرخ في 23 ديسمبر 2008</w:t>
            </w:r>
          </w:p>
        </w:tc>
        <w:tc>
          <w:tcPr>
            <w:tcW w:w="2969"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10 مليار دينار</w:t>
            </w:r>
          </w:p>
        </w:tc>
        <w:tc>
          <w:tcPr>
            <w:tcW w:w="2983" w:type="dxa"/>
          </w:tcPr>
          <w:p w:rsidR="00AE728A" w:rsidRPr="00171281" w:rsidRDefault="00AE728A" w:rsidP="0042642C">
            <w:pPr>
              <w:bidi/>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3.5 مليار دينار</w:t>
            </w:r>
          </w:p>
        </w:tc>
      </w:tr>
      <w:tr w:rsidR="00AE728A" w:rsidRPr="00171281" w:rsidTr="0042642C">
        <w:tc>
          <w:tcPr>
            <w:tcW w:w="3228" w:type="dxa"/>
          </w:tcPr>
          <w:p w:rsidR="00AE728A" w:rsidRPr="00171281" w:rsidRDefault="00AE728A" w:rsidP="0042642C">
            <w:pPr>
              <w:bidi/>
              <w:jc w:val="center"/>
              <w:rPr>
                <w:rFonts w:ascii="Simplified Arabic" w:hAnsi="Simplified Arabic" w:cs="Simplified Arabic" w:hint="cs"/>
                <w:sz w:val="24"/>
                <w:szCs w:val="24"/>
                <w:rtl/>
                <w:lang w:bidi="ar-DZ"/>
              </w:rPr>
            </w:pPr>
            <w:proofErr w:type="gramStart"/>
            <w:r>
              <w:rPr>
                <w:rFonts w:ascii="Simplified Arabic" w:hAnsi="Simplified Arabic" w:cs="Simplified Arabic" w:hint="cs"/>
                <w:sz w:val="24"/>
                <w:szCs w:val="24"/>
                <w:rtl/>
                <w:lang w:bidi="ar-DZ"/>
              </w:rPr>
              <w:t>تعديل</w:t>
            </w:r>
            <w:proofErr w:type="gramEnd"/>
            <w:r>
              <w:rPr>
                <w:rFonts w:ascii="Simplified Arabic" w:hAnsi="Simplified Arabic" w:cs="Simplified Arabic" w:hint="cs"/>
                <w:sz w:val="24"/>
                <w:szCs w:val="24"/>
                <w:rtl/>
                <w:lang w:bidi="ar-DZ"/>
              </w:rPr>
              <w:t xml:space="preserve"> 2018</w:t>
            </w:r>
          </w:p>
        </w:tc>
        <w:tc>
          <w:tcPr>
            <w:tcW w:w="2969" w:type="dxa"/>
          </w:tcPr>
          <w:p w:rsidR="00AE728A" w:rsidRDefault="00AE728A" w:rsidP="0042642C">
            <w:pPr>
              <w:bidi/>
              <w:jc w:val="center"/>
              <w:rPr>
                <w:rFonts w:ascii="Simplified Arabic" w:hAnsi="Simplified Arabic" w:cs="Simplified Arabic" w:hint="cs"/>
                <w:sz w:val="24"/>
                <w:szCs w:val="24"/>
                <w:rtl/>
                <w:lang w:bidi="ar-DZ"/>
              </w:rPr>
            </w:pPr>
            <w:r>
              <w:rPr>
                <w:rFonts w:ascii="Simplified Arabic" w:hAnsi="Simplified Arabic" w:cs="Simplified Arabic" w:hint="cs"/>
                <w:sz w:val="24"/>
                <w:szCs w:val="24"/>
                <w:rtl/>
                <w:lang w:bidi="ar-DZ"/>
              </w:rPr>
              <w:t>20 مليار دينار</w:t>
            </w:r>
          </w:p>
        </w:tc>
        <w:tc>
          <w:tcPr>
            <w:tcW w:w="2983" w:type="dxa"/>
          </w:tcPr>
          <w:p w:rsidR="00AE728A" w:rsidRDefault="00AE728A" w:rsidP="0042642C">
            <w:pPr>
              <w:bidi/>
              <w:jc w:val="center"/>
              <w:rPr>
                <w:rFonts w:ascii="Simplified Arabic" w:hAnsi="Simplified Arabic" w:cs="Simplified Arabic" w:hint="cs"/>
                <w:sz w:val="24"/>
                <w:szCs w:val="24"/>
                <w:rtl/>
                <w:lang w:bidi="ar-DZ"/>
              </w:rPr>
            </w:pPr>
          </w:p>
        </w:tc>
      </w:tr>
    </w:tbl>
    <w:p w:rsidR="00AE728A" w:rsidRPr="00AE728A" w:rsidRDefault="00AE728A" w:rsidP="00AE728A">
      <w:pPr>
        <w:bidi/>
        <w:ind w:left="360"/>
        <w:jc w:val="lowKashida"/>
        <w:rPr>
          <w:rFonts w:ascii="Simplified Arabic" w:hAnsi="Simplified Arabic" w:cs="Simplified Arabic"/>
          <w:sz w:val="24"/>
          <w:szCs w:val="24"/>
          <w:lang w:bidi="ar-DZ"/>
        </w:rPr>
      </w:pPr>
      <w:r w:rsidRPr="00171281">
        <w:rPr>
          <w:rFonts w:ascii="Simplified Arabic" w:hAnsi="Simplified Arabic" w:cs="Simplified Arabic" w:hint="cs"/>
          <w:sz w:val="24"/>
          <w:szCs w:val="24"/>
          <w:rtl/>
          <w:lang w:bidi="ar-DZ"/>
        </w:rPr>
        <w:t>المصدر: الطاهر لطرش، الاقتصاد النقدي والبنكي، ديوان المطبوعات الجامعية، الجزائر، 2013، ص 415.</w:t>
      </w:r>
    </w:p>
    <w:sectPr w:rsidR="00AE728A" w:rsidRPr="00AE728A" w:rsidSect="002166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20957"/>
    <w:multiLevelType w:val="multilevel"/>
    <w:tmpl w:val="EFE47E62"/>
    <w:lvl w:ilvl="0">
      <w:start w:val="3"/>
      <w:numFmt w:val="decimal"/>
      <w:lvlText w:val="%1"/>
      <w:lvlJc w:val="left"/>
      <w:pPr>
        <w:ind w:left="495" w:hanging="49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
    <w:nsid w:val="4505197F"/>
    <w:multiLevelType w:val="multilevel"/>
    <w:tmpl w:val="834C8D9A"/>
    <w:lvl w:ilvl="0">
      <w:start w:val="3"/>
      <w:numFmt w:val="decimal"/>
      <w:lvlText w:val="%1"/>
      <w:lvlJc w:val="left"/>
      <w:pPr>
        <w:ind w:left="495" w:hanging="49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58161DC4"/>
    <w:multiLevelType w:val="hybridMultilevel"/>
    <w:tmpl w:val="49C8EAE0"/>
    <w:lvl w:ilvl="0" w:tplc="28349918">
      <w:start w:val="1"/>
      <w:numFmt w:val="bullet"/>
      <w:lvlText w:val="-"/>
      <w:lvlJc w:val="left"/>
      <w:pPr>
        <w:ind w:left="360" w:hanging="360"/>
      </w:pPr>
      <w:rPr>
        <w:rFonts w:ascii="Arial" w:eastAsiaTheme="minorEastAsia" w:hAnsi="Arial" w:cs="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28A"/>
    <w:rsid w:val="002166B0"/>
    <w:rsid w:val="00AE72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28A"/>
    <w:pPr>
      <w:ind w:left="720"/>
      <w:contextualSpacing/>
    </w:pPr>
  </w:style>
  <w:style w:type="character" w:styleId="Appelnotedebasdep">
    <w:name w:val="footnote reference"/>
    <w:basedOn w:val="Policepardfaut"/>
    <w:semiHidden/>
    <w:unhideWhenUsed/>
    <w:rsid w:val="00AE728A"/>
    <w:rPr>
      <w:vertAlign w:val="superscript"/>
    </w:rPr>
  </w:style>
  <w:style w:type="table" w:styleId="Grilledutableau">
    <w:name w:val="Table Grid"/>
    <w:basedOn w:val="TableauNormal"/>
    <w:uiPriority w:val="59"/>
    <w:rsid w:val="00AE72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D26D-4359-410A-8CA8-102E4EDB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5355</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2024-04-23T18:46:00Z</dcterms:created>
  <dcterms:modified xsi:type="dcterms:W3CDTF">2024-04-23T18:49:00Z</dcterms:modified>
</cp:coreProperties>
</file>