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AC" w:rsidRPr="00672749" w:rsidRDefault="00EF57AC" w:rsidP="00EF57AC">
      <w:pPr>
        <w:pStyle w:val="Retraitcorpsdetexte"/>
        <w:ind w:left="0" w:right="360" w:firstLine="566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67274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67274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الثالث: مجموع التعديلات التي جاءت بعد 2003</w:t>
      </w:r>
    </w:p>
    <w:p w:rsidR="00EF57AC" w:rsidRPr="00355A74" w:rsidRDefault="00EF57AC" w:rsidP="00EF57AC">
      <w:pPr>
        <w:pStyle w:val="Retraitcorpsdetexte"/>
        <w:ind w:left="0" w:right="360"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>إضافة</w:t>
      </w:r>
      <w:proofErr w:type="gramEnd"/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قوانين أخرى:</w:t>
      </w:r>
    </w:p>
    <w:p w:rsidR="00EF57AC" w:rsidRPr="00355A74" w:rsidRDefault="00EF57AC" w:rsidP="00EF57AC">
      <w:pPr>
        <w:pStyle w:val="Retraitcorpsdetexte"/>
        <w:ind w:left="0" w:right="360"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+ </w:t>
      </w:r>
      <w:proofErr w:type="gramStart"/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>قانون</w:t>
      </w:r>
      <w:proofErr w:type="gramEnd"/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 04/01 الصادر في 4 مارس 2004 الذي يحدد الحد الأدنى لرأس مال البنوك والمؤسسات المالية العاملة بالجزائر.</w:t>
      </w:r>
    </w:p>
    <w:p w:rsidR="00EF57AC" w:rsidRPr="00355A74" w:rsidRDefault="00EF57AC" w:rsidP="00EF57AC">
      <w:pPr>
        <w:pStyle w:val="Retraitcorpsdetexte"/>
        <w:ind w:left="0" w:right="360"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+ قانون 04/02 الصادر في 4 مارس 2004 الذي يحدد شروط تكوين الاحتياطي الإجباري لدى البنك المركزي الذي يتراوح بين 0٪ و 15٪ كحد </w:t>
      </w:r>
      <w:proofErr w:type="gramStart"/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>أقصى .</w:t>
      </w:r>
      <w:proofErr w:type="gramEnd"/>
    </w:p>
    <w:p w:rsidR="00EF57AC" w:rsidRPr="00355A74" w:rsidRDefault="00EF57AC" w:rsidP="00EF57AC">
      <w:pPr>
        <w:pStyle w:val="Retraitcorpsdetexte"/>
        <w:ind w:left="0" w:right="360"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>+ قانون رقم 04/03 الصادر في 4 مارس 2004 و الخاص بنظام تأمين الودائع المصرفية.</w:t>
      </w:r>
    </w:p>
    <w:p w:rsidR="00EF57AC" w:rsidRPr="00355A74" w:rsidRDefault="00EF57AC" w:rsidP="00EF57AC">
      <w:pPr>
        <w:pStyle w:val="Retraitcorpsdetexte"/>
        <w:ind w:left="0" w:right="360"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+ </w:t>
      </w:r>
      <w:proofErr w:type="gramStart"/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>التعليمة</w:t>
      </w:r>
      <w:proofErr w:type="gramEnd"/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01/07 الصادر في 3 فيفري 2007 المتعلقة بالقواعد المطبقة على المعاملات الجارية مع الخارج والحسابات بالعملة الصعبة حيث يضطلع بنك الجزائر بإجراء رقابة بعدية بغرض التأكد من قانونية العمليات المنجزة في إطار هذا النظام.</w:t>
      </w:r>
    </w:p>
    <w:p w:rsidR="00EF57AC" w:rsidRPr="00355A74" w:rsidRDefault="00EF57AC" w:rsidP="00EF57AC">
      <w:pPr>
        <w:pStyle w:val="Retraitcorpsdetexte"/>
        <w:ind w:left="0" w:right="360"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5A74">
        <w:rPr>
          <w:rFonts w:ascii="Simplified Arabic" w:hAnsi="Simplified Arabic" w:cs="Simplified Arabic"/>
          <w:sz w:val="28"/>
          <w:szCs w:val="28"/>
          <w:rtl/>
          <w:lang w:bidi="ar-DZ"/>
        </w:rPr>
        <w:t>+ النظام رقم 08-04 المؤرخ في 23 ديسمبر 2008 المتعلق برأس المال الأدنى للبنوك و المؤسسات المالية.</w:t>
      </w:r>
    </w:p>
    <w:p w:rsidR="00EF57AC" w:rsidRDefault="00EF57AC" w:rsidP="00EF57AC">
      <w:pPr>
        <w:pStyle w:val="Retraitcorpsdetexte"/>
        <w:ind w:left="0" w:right="360" w:firstLine="566"/>
        <w:jc w:val="lowKashida"/>
        <w:rPr>
          <w:rFonts w:ascii="Simplified Arabic" w:hAnsi="Simplified Arabic" w:cs="Simplified Arabic"/>
          <w:sz w:val="28"/>
          <w:szCs w:val="28"/>
        </w:rPr>
      </w:pPr>
      <w:r w:rsidRPr="00355A74">
        <w:rPr>
          <w:rFonts w:ascii="Simplified Arabic" w:hAnsi="Simplified Arabic" w:cs="Simplified Arabic"/>
          <w:sz w:val="28"/>
          <w:szCs w:val="28"/>
          <w:rtl/>
        </w:rPr>
        <w:t>+ جاء تعديل 2010 بموجب الأمر 10-04 المؤرخ في 26 أوت 2010 الذي أدخل بعض التعديلات على نص الأمر 03-11 تركزت بشكل أساسي على تعزيز دور بنك الجزائر في الحفاظ على الاستقرار النقدي و المالي وتعزيز الدور الرقابي للجنة المصرفية إضافة إلى إعادة صياغة نسبة مساهمة رأس المال الأجنبي في البنوك العاملة في الجزائر.</w:t>
      </w:r>
    </w:p>
    <w:p w:rsidR="00EF57AC" w:rsidRPr="00586C14" w:rsidRDefault="00EF57AC" w:rsidP="00EF57AC">
      <w:pPr>
        <w:bidi/>
        <w:spacing w:after="0" w:line="20" w:lineRule="atLeast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proofErr w:type="gramStart"/>
      <w:r w:rsidRPr="00586C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مضمون</w:t>
      </w:r>
      <w:proofErr w:type="gramEnd"/>
      <w:r w:rsidRPr="00586C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الإصلاح:</w:t>
      </w: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جاء إصلاح 2010 معدلا متمما للأمر 03-11 وقد مس بعض الجوانب التنظيمية لعمل بنك الجزائر متمثلة في:</w:t>
      </w:r>
    </w:p>
    <w:p w:rsidR="00EF57AC" w:rsidRPr="00586C14" w:rsidRDefault="00EF57AC" w:rsidP="00EF57AC">
      <w:pPr>
        <w:pStyle w:val="Paragraphedeliste"/>
        <w:numPr>
          <w:ilvl w:val="0"/>
          <w:numId w:val="1"/>
        </w:numPr>
        <w:bidi/>
        <w:spacing w:after="0" w:line="20" w:lineRule="atLeast"/>
        <w:ind w:left="707"/>
        <w:jc w:val="lowKashida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جانب بنك الجزائر:</w:t>
      </w: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لقد واصل إصلاح 2010 إعطاء بنك الجزائر الكثير من الصلاحيات في مجال عمله والمتمثلة في النقاط </w:t>
      </w:r>
      <w:proofErr w:type="gramStart"/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التالية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gramEnd"/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العمل على استقرار الأسعار باعتبارها هدف من </w:t>
      </w:r>
      <w:r w:rsidRPr="00586C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السياسة النقدية.</w:t>
      </w:r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العمل على الاستقرار النقدي.</w:t>
      </w:r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ضبط سوق الصرف.</w:t>
      </w:r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يعِدُ بنك الجزائر </w:t>
      </w:r>
      <w:proofErr w:type="gramStart"/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ميزان</w:t>
      </w:r>
      <w:proofErr w:type="gramEnd"/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المدفوعات.</w:t>
      </w:r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الحرص على السير الحسن لنظم الدفع وفعاليتها وسلامتها.</w:t>
      </w:r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مراقبة نظم الدفع.</w:t>
      </w:r>
    </w:p>
    <w:p w:rsidR="00EF57AC" w:rsidRPr="00586C14" w:rsidRDefault="00EF57AC" w:rsidP="00EF57AC">
      <w:pPr>
        <w:pStyle w:val="Paragraphedeliste"/>
        <w:numPr>
          <w:ilvl w:val="0"/>
          <w:numId w:val="1"/>
        </w:numPr>
        <w:bidi/>
        <w:spacing w:after="0" w:line="20" w:lineRule="atLeast"/>
        <w:ind w:left="707"/>
        <w:jc w:val="lowKashida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lastRenderedPageBreak/>
        <w:t>جانب الرقابة (اللجنة المصرفية):</w:t>
      </w: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قدم إصلاح 2010 إعادة تنظيم اللجنة المصرفية من حيث تشكيلتها التي أصبحت تضم:</w:t>
      </w:r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المحافظ رئيسا</w:t>
      </w:r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ثلاث</w:t>
      </w:r>
      <w:proofErr w:type="gramEnd"/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(03) أعضاء يختارون بحكم كفاءتهم في الشؤون المصرفية والمالية </w:t>
      </w:r>
      <w:r w:rsidRPr="00586C14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وخاصة </w:t>
      </w:r>
      <w:r w:rsidRPr="00586C14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>المحاسبية</w:t>
      </w:r>
      <w:r w:rsidRPr="00586C1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قاضيان ينتدبان من المحكمة العليا.</w:t>
      </w:r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ممثل</w:t>
      </w:r>
      <w:proofErr w:type="gramEnd"/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 مجلس المحاسبة.</w:t>
      </w:r>
    </w:p>
    <w:p w:rsidR="00EF57AC" w:rsidRPr="00586C14" w:rsidRDefault="00EF57AC" w:rsidP="00EF57AC">
      <w:pPr>
        <w:pStyle w:val="Paragraphedeliste"/>
        <w:numPr>
          <w:ilvl w:val="0"/>
          <w:numId w:val="2"/>
        </w:numPr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ممثل عن وزارة المالية</w:t>
      </w:r>
    </w:p>
    <w:p w:rsidR="00EF57AC" w:rsidRPr="00586C14" w:rsidRDefault="00EF57AC" w:rsidP="00EF57AC">
      <w:pPr>
        <w:pStyle w:val="Paragraphedeliste"/>
        <w:bidi/>
        <w:spacing w:after="0" w:line="20" w:lineRule="atLeast"/>
        <w:ind w:left="99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86C14">
        <w:rPr>
          <w:rFonts w:ascii="Simplified Arabic" w:hAnsi="Simplified Arabic" w:cs="Simplified Arabic"/>
          <w:sz w:val="28"/>
          <w:szCs w:val="28"/>
          <w:rtl/>
          <w:lang w:bidi="ar-DZ"/>
        </w:rPr>
        <w:t>يعنون أعضاء اللجنة مدة 5 سنوات.</w:t>
      </w:r>
    </w:p>
    <w:p w:rsidR="00EF57AC" w:rsidRPr="00586C14" w:rsidRDefault="00EF57AC" w:rsidP="00EF57AC">
      <w:pPr>
        <w:pStyle w:val="Retraitcorpsdetexte"/>
        <w:ind w:left="0" w:right="360"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F57AC" w:rsidRPr="00355A74" w:rsidRDefault="00EF57AC" w:rsidP="00EF57AC">
      <w:pPr>
        <w:pStyle w:val="Retraitcorpsdetexte"/>
        <w:ind w:left="0" w:right="360"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355A74">
        <w:rPr>
          <w:rFonts w:ascii="Simplified Arabic" w:hAnsi="Simplified Arabic" w:cs="Simplified Arabic"/>
          <w:sz w:val="28"/>
          <w:szCs w:val="28"/>
          <w:rtl/>
        </w:rPr>
        <w:t xml:space="preserve">+ تعديل 2017 بموجب الأمر 17/10 المؤرخ في 11 أكتوبر2017 ووفق المادة الأولى يقوم بنك الجزائر </w:t>
      </w:r>
      <w:proofErr w:type="spellStart"/>
      <w:r w:rsidRPr="00355A74">
        <w:rPr>
          <w:rFonts w:ascii="Simplified Arabic" w:hAnsi="Simplified Arabic" w:cs="Simplified Arabic"/>
          <w:sz w:val="28"/>
          <w:szCs w:val="28"/>
          <w:rtl/>
        </w:rPr>
        <w:t>ابتداءا</w:t>
      </w:r>
      <w:proofErr w:type="spellEnd"/>
      <w:r w:rsidRPr="00355A74">
        <w:rPr>
          <w:rFonts w:ascii="Simplified Arabic" w:hAnsi="Simplified Arabic" w:cs="Simplified Arabic"/>
          <w:sz w:val="28"/>
          <w:szCs w:val="28"/>
          <w:rtl/>
        </w:rPr>
        <w:t xml:space="preserve"> من دخول هذا الحكم حيز التنفيذ، بشكل استثنائي ولمدة خمس سنوات بشراء مباشرة من الخزينة السندات المالية التي تصدرها هذه الأخيرة من اجل المساهمة على وجه الخصوص في ، تغطية احتياجات تمويل الخزينة ، تمويل الدين العمومي الداخلي، تمويل الصندوق الوطني للاستثمار. </w:t>
      </w:r>
    </w:p>
    <w:p w:rsidR="00EF57AC" w:rsidRDefault="00EF57AC" w:rsidP="00EF57AC">
      <w:pPr>
        <w:pStyle w:val="Retraitcorpsdetexte"/>
        <w:ind w:left="0" w:righ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EF57AC" w:rsidRDefault="00EF57AC" w:rsidP="00EF57AC">
      <w:pPr>
        <w:pStyle w:val="Retraitcorpsdetexte"/>
        <w:ind w:left="0" w:righ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EF57AC" w:rsidRDefault="00EF57AC" w:rsidP="00EF57AC">
      <w:pPr>
        <w:pStyle w:val="Retraitcorpsdetexte"/>
        <w:ind w:left="0" w:righ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EF57AC" w:rsidRDefault="00EF57AC" w:rsidP="00EF57AC">
      <w:pPr>
        <w:bidi/>
      </w:pPr>
    </w:p>
    <w:p w:rsidR="002166B0" w:rsidRPr="00EF57AC" w:rsidRDefault="002166B0" w:rsidP="00EF57AC">
      <w:pPr>
        <w:bidi/>
      </w:pPr>
    </w:p>
    <w:sectPr w:rsidR="002166B0" w:rsidRPr="00EF57AC" w:rsidSect="0021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138D0"/>
    <w:multiLevelType w:val="hybridMultilevel"/>
    <w:tmpl w:val="868AE7F2"/>
    <w:lvl w:ilvl="0" w:tplc="1E9ED596">
      <w:start w:val="2"/>
      <w:numFmt w:val="bullet"/>
      <w:lvlText w:val="-"/>
      <w:lvlJc w:val="left"/>
      <w:pPr>
        <w:ind w:left="1571" w:hanging="360"/>
      </w:pPr>
      <w:rPr>
        <w:rFonts w:ascii="Sakkal Majalla" w:eastAsiaTheme="minorHAnsi" w:hAnsi="Sakkal Majalla" w:cs="Sakkal Majalla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31733A7"/>
    <w:multiLevelType w:val="hybridMultilevel"/>
    <w:tmpl w:val="1E9237F8"/>
    <w:lvl w:ilvl="0" w:tplc="B4AEF87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40"/>
        <w:szCs w:val="40"/>
        <w:u w:val="none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7AC"/>
    <w:rsid w:val="002166B0"/>
    <w:rsid w:val="00EF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57AC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F57AC"/>
    <w:pPr>
      <w:bidi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EF57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AE70-DD16-4273-AA60-88DAD05F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2024-04-23T18:51:00Z</dcterms:created>
  <dcterms:modified xsi:type="dcterms:W3CDTF">2024-04-23T18:51:00Z</dcterms:modified>
</cp:coreProperties>
</file>